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7A8A55A" w14:textId="77777777" w:rsidR="00825418" w:rsidRPr="00E97FC1" w:rsidRDefault="00825418" w:rsidP="00C6715E">
      <w:pPr>
        <w:rPr>
          <w:rFonts w:eastAsia="Times New Roman" w:cs="Times New Roman"/>
          <w:szCs w:val="24"/>
          <w:shd w:val="clear" w:color="auto" w:fill="FFFFFF"/>
          <w:lang w:val="en-GB" w:eastAsia="en-GB"/>
        </w:rPr>
      </w:pPr>
    </w:p>
    <w:p w14:paraId="1BDC5E9D" w14:textId="77777777" w:rsidR="00C6715E" w:rsidRPr="00E97FC1" w:rsidRDefault="00C6715E" w:rsidP="00C6715E">
      <w:pPr>
        <w:rPr>
          <w:rFonts w:eastAsia="Times New Roman" w:cs="Times New Roman"/>
          <w:szCs w:val="24"/>
          <w:shd w:val="clear" w:color="auto" w:fill="FFFFFF"/>
          <w:lang w:val="en-GB" w:eastAsia="en-GB"/>
        </w:rPr>
      </w:pPr>
    </w:p>
    <w:p w14:paraId="70267CAE" w14:textId="77777777" w:rsidR="00C6715E" w:rsidRPr="00E97FC1" w:rsidRDefault="00C6715E" w:rsidP="00C6715E">
      <w:pPr>
        <w:autoSpaceDE w:val="0"/>
        <w:autoSpaceDN w:val="0"/>
        <w:adjustRightInd w:val="0"/>
        <w:spacing w:line="200" w:lineRule="exact"/>
        <w:rPr>
          <w:rFonts w:eastAsia="Times New Roman" w:cs="Times New Roman"/>
          <w:sz w:val="20"/>
          <w:szCs w:val="24"/>
          <w:shd w:val="clear" w:color="auto" w:fill="FFFFFF"/>
          <w:lang w:val="en-GB" w:eastAsia="zh-TW"/>
        </w:rPr>
      </w:pPr>
    </w:p>
    <w:p w14:paraId="0F8A22A3" w14:textId="77777777" w:rsidR="00C6715E" w:rsidRPr="00E97FC1" w:rsidRDefault="00800C67" w:rsidP="00C6715E">
      <w:pPr>
        <w:spacing w:line="240" w:lineRule="auto"/>
        <w:contextualSpacing/>
        <w:jc w:val="center"/>
        <w:rPr>
          <w:rFonts w:eastAsia="Times New Roman" w:cs="Times New Roman"/>
          <w:shd w:val="clear" w:color="auto" w:fill="FFFFFF"/>
          <w:lang w:val="en-GB" w:eastAsia="zh-TW"/>
        </w:rPr>
      </w:pPr>
      <w:r w:rsidRPr="00E97FC1">
        <w:rPr>
          <w:rFonts w:eastAsiaTheme="majorEastAsia" w:cs="Times New Roman"/>
          <w:b/>
          <w:spacing w:val="-10"/>
          <w:kern w:val="28"/>
          <w:sz w:val="36"/>
          <w:szCs w:val="56"/>
          <w:lang w:val="en-GB" w:eastAsia="zh-TW"/>
        </w:rPr>
        <w:t>Structural and mechanistic study of bacterial complex I and its cyanobacterial ortholog</w:t>
      </w:r>
    </w:p>
    <w:p w14:paraId="415F91C5" w14:textId="77777777" w:rsidR="00800C67" w:rsidRPr="00E97FC1" w:rsidRDefault="00800C67" w:rsidP="00C6715E">
      <w:pPr>
        <w:autoSpaceDE w:val="0"/>
        <w:autoSpaceDN w:val="0"/>
        <w:adjustRightInd w:val="0"/>
        <w:ind w:left="4463" w:right="4223"/>
        <w:rPr>
          <w:rFonts w:eastAsia="Times New Roman" w:cs="Times New Roman"/>
          <w:spacing w:val="-6"/>
          <w:w w:val="102"/>
          <w:sz w:val="28"/>
          <w:szCs w:val="28"/>
          <w:shd w:val="clear" w:color="auto" w:fill="FFFFFF"/>
          <w:lang w:val="en-GB" w:eastAsia="zh-TW"/>
        </w:rPr>
      </w:pPr>
    </w:p>
    <w:p w14:paraId="0A680225" w14:textId="77777777" w:rsidR="00C6715E" w:rsidRPr="00E97FC1" w:rsidRDefault="00800C67" w:rsidP="00C6715E">
      <w:pPr>
        <w:autoSpaceDE w:val="0"/>
        <w:autoSpaceDN w:val="0"/>
        <w:adjustRightInd w:val="0"/>
        <w:ind w:left="4463" w:right="4223"/>
        <w:rPr>
          <w:rFonts w:eastAsia="Times New Roman" w:cs="Times New Roman"/>
          <w:w w:val="102"/>
          <w:sz w:val="28"/>
          <w:szCs w:val="28"/>
          <w:shd w:val="clear" w:color="auto" w:fill="FFFFFF"/>
          <w:lang w:val="en-GB" w:eastAsia="zh-TW"/>
        </w:rPr>
      </w:pPr>
      <w:r w:rsidRPr="00E97FC1">
        <w:rPr>
          <w:rFonts w:eastAsia="Times New Roman" w:cs="Times New Roman"/>
          <w:spacing w:val="-6"/>
          <w:w w:val="102"/>
          <w:sz w:val="28"/>
          <w:szCs w:val="28"/>
          <w:shd w:val="clear" w:color="auto" w:fill="FFFFFF"/>
          <w:lang w:val="en-GB" w:eastAsia="zh-TW"/>
        </w:rPr>
        <w:t>b</w:t>
      </w:r>
      <w:r w:rsidR="00C6715E" w:rsidRPr="00E97FC1">
        <w:rPr>
          <w:rFonts w:eastAsia="Times New Roman" w:cs="Times New Roman"/>
          <w:w w:val="102"/>
          <w:sz w:val="28"/>
          <w:szCs w:val="28"/>
          <w:shd w:val="clear" w:color="auto" w:fill="FFFFFF"/>
          <w:lang w:val="en-GB" w:eastAsia="zh-TW"/>
        </w:rPr>
        <w:t>y</w:t>
      </w:r>
    </w:p>
    <w:p w14:paraId="5326F52B" w14:textId="77777777" w:rsidR="00C6715E" w:rsidRPr="00E97FC1" w:rsidRDefault="00C6715E" w:rsidP="00C6715E">
      <w:pPr>
        <w:autoSpaceDE w:val="0"/>
        <w:autoSpaceDN w:val="0"/>
        <w:adjustRightInd w:val="0"/>
        <w:spacing w:before="6" w:line="260" w:lineRule="exact"/>
        <w:rPr>
          <w:rFonts w:eastAsia="Times New Roman" w:cs="Times New Roman"/>
          <w:sz w:val="26"/>
          <w:szCs w:val="26"/>
          <w:shd w:val="clear" w:color="auto" w:fill="FFFFFF"/>
          <w:lang w:val="en-GB" w:eastAsia="zh-TW"/>
        </w:rPr>
      </w:pPr>
    </w:p>
    <w:p w14:paraId="18986783" w14:textId="77777777" w:rsidR="00C6715E" w:rsidRPr="00E97FC1" w:rsidRDefault="00C6715E" w:rsidP="00C6715E">
      <w:pPr>
        <w:autoSpaceDE w:val="0"/>
        <w:autoSpaceDN w:val="0"/>
        <w:adjustRightInd w:val="0"/>
        <w:jc w:val="center"/>
        <w:rPr>
          <w:rFonts w:eastAsia="Times New Roman" w:cs="Times New Roman"/>
          <w:sz w:val="28"/>
          <w:szCs w:val="28"/>
          <w:shd w:val="clear" w:color="auto" w:fill="FFFFFF"/>
          <w:lang w:val="en-GB" w:eastAsia="zh-TW"/>
        </w:rPr>
      </w:pPr>
      <w:r w:rsidRPr="00E97FC1">
        <w:rPr>
          <w:rFonts w:eastAsia="Times New Roman" w:cs="Times New Roman"/>
          <w:b/>
          <w:bCs/>
          <w:spacing w:val="-14"/>
          <w:sz w:val="28"/>
          <w:szCs w:val="28"/>
          <w:shd w:val="clear" w:color="auto" w:fill="FFFFFF"/>
          <w:lang w:val="en-GB" w:eastAsia="zh-TW"/>
        </w:rPr>
        <w:t>Vladyslav Kravchuk</w:t>
      </w:r>
    </w:p>
    <w:p w14:paraId="29C7CDDB" w14:textId="77777777" w:rsidR="00C6715E" w:rsidRPr="00E97FC1" w:rsidRDefault="00C6715E" w:rsidP="00C6715E">
      <w:pPr>
        <w:autoSpaceDE w:val="0"/>
        <w:autoSpaceDN w:val="0"/>
        <w:adjustRightInd w:val="0"/>
        <w:spacing w:before="1" w:line="190" w:lineRule="exact"/>
        <w:rPr>
          <w:rFonts w:eastAsia="Times New Roman" w:cs="Times New Roman"/>
          <w:sz w:val="19"/>
          <w:szCs w:val="19"/>
          <w:shd w:val="clear" w:color="auto" w:fill="FFFFFF"/>
          <w:lang w:val="en-GB" w:eastAsia="zh-TW"/>
        </w:rPr>
      </w:pPr>
    </w:p>
    <w:p w14:paraId="7131060D" w14:textId="3CEAD4A7" w:rsidR="00C6715E" w:rsidRPr="00E97FC1" w:rsidRDefault="00C80F3B" w:rsidP="00C6715E">
      <w:pPr>
        <w:autoSpaceDE w:val="0"/>
        <w:autoSpaceDN w:val="0"/>
        <w:adjustRightInd w:val="0"/>
        <w:jc w:val="center"/>
        <w:rPr>
          <w:rFonts w:eastAsia="Times New Roman" w:cs="Times New Roman"/>
          <w:sz w:val="28"/>
          <w:szCs w:val="28"/>
          <w:shd w:val="clear" w:color="auto" w:fill="FFFFFF"/>
          <w:lang w:val="en-GB" w:eastAsia="zh-TW"/>
        </w:rPr>
      </w:pPr>
      <w:r>
        <w:rPr>
          <w:rFonts w:eastAsia="Times New Roman" w:cs="Times New Roman"/>
          <w:spacing w:val="-9"/>
          <w:sz w:val="28"/>
          <w:szCs w:val="28"/>
          <w:shd w:val="clear" w:color="auto" w:fill="FFFFFF"/>
          <w:lang w:val="en-GB" w:eastAsia="zh-TW"/>
        </w:rPr>
        <w:t>March</w:t>
      </w:r>
      <w:r w:rsidR="0072602C" w:rsidRPr="00E97FC1">
        <w:rPr>
          <w:rFonts w:eastAsia="Times New Roman" w:cs="Times New Roman"/>
          <w:sz w:val="28"/>
          <w:szCs w:val="28"/>
          <w:shd w:val="clear" w:color="auto" w:fill="FFFFFF"/>
          <w:lang w:val="en-GB" w:eastAsia="zh-TW"/>
        </w:rPr>
        <w:t>, 2023</w:t>
      </w:r>
    </w:p>
    <w:p w14:paraId="00C2031C" w14:textId="77777777" w:rsidR="00C6715E" w:rsidRPr="00E97FC1" w:rsidRDefault="00C6715E" w:rsidP="00C6715E">
      <w:pPr>
        <w:autoSpaceDE w:val="0"/>
        <w:autoSpaceDN w:val="0"/>
        <w:adjustRightInd w:val="0"/>
        <w:spacing w:line="200" w:lineRule="exact"/>
        <w:rPr>
          <w:rFonts w:eastAsia="Times New Roman" w:cs="Times New Roman"/>
          <w:sz w:val="20"/>
          <w:szCs w:val="24"/>
          <w:shd w:val="clear" w:color="auto" w:fill="FFFFFF"/>
          <w:lang w:val="en-GB" w:eastAsia="zh-TW"/>
        </w:rPr>
      </w:pPr>
    </w:p>
    <w:p w14:paraId="2DFDE951" w14:textId="77777777" w:rsidR="00C6715E" w:rsidRPr="00E97FC1" w:rsidRDefault="00C6715E" w:rsidP="00C6715E">
      <w:pPr>
        <w:autoSpaceDE w:val="0"/>
        <w:autoSpaceDN w:val="0"/>
        <w:adjustRightInd w:val="0"/>
        <w:spacing w:line="200" w:lineRule="exact"/>
        <w:rPr>
          <w:rFonts w:eastAsia="Times New Roman" w:cs="Times New Roman"/>
          <w:sz w:val="20"/>
          <w:szCs w:val="24"/>
          <w:shd w:val="clear" w:color="auto" w:fill="FFFFFF"/>
          <w:lang w:val="en-GB" w:eastAsia="zh-TW"/>
        </w:rPr>
      </w:pPr>
    </w:p>
    <w:p w14:paraId="67841020" w14:textId="77777777" w:rsidR="00C6715E" w:rsidRPr="00E97FC1" w:rsidRDefault="00C6715E" w:rsidP="00C6715E">
      <w:pPr>
        <w:autoSpaceDE w:val="0"/>
        <w:autoSpaceDN w:val="0"/>
        <w:adjustRightInd w:val="0"/>
        <w:jc w:val="center"/>
        <w:rPr>
          <w:rFonts w:eastAsia="Times New Roman" w:cs="Times New Roman"/>
          <w:i/>
          <w:iCs/>
          <w:sz w:val="28"/>
          <w:szCs w:val="28"/>
          <w:shd w:val="clear" w:color="auto" w:fill="FFFFFF"/>
          <w:lang w:val="en-GB" w:eastAsia="zh-TW"/>
        </w:rPr>
      </w:pPr>
    </w:p>
    <w:p w14:paraId="1E3FAD5E" w14:textId="77777777" w:rsidR="00C12B16" w:rsidRPr="00C12B16" w:rsidRDefault="00C12B16" w:rsidP="00C12B16">
      <w:pPr>
        <w:autoSpaceDE w:val="0"/>
        <w:autoSpaceDN w:val="0"/>
        <w:adjustRightInd w:val="0"/>
        <w:jc w:val="center"/>
        <w:rPr>
          <w:rFonts w:eastAsia="Times New Roman" w:cs="Times New Roman"/>
          <w:i/>
          <w:iCs/>
          <w:sz w:val="28"/>
          <w:szCs w:val="28"/>
          <w:shd w:val="clear" w:color="auto" w:fill="FFFFFF"/>
          <w:lang w:eastAsia="zh-TW"/>
        </w:rPr>
      </w:pPr>
      <w:r w:rsidRPr="00C12B16">
        <w:rPr>
          <w:rFonts w:eastAsia="Times New Roman" w:cs="Times New Roman"/>
          <w:i/>
          <w:iCs/>
          <w:sz w:val="28"/>
          <w:szCs w:val="28"/>
          <w:shd w:val="clear" w:color="auto" w:fill="FFFFFF"/>
          <w:lang w:eastAsia="zh-TW"/>
        </w:rPr>
        <w:t xml:space="preserve">A thesis submitted to the </w:t>
      </w:r>
    </w:p>
    <w:p w14:paraId="0BEA9FDB" w14:textId="77777777" w:rsidR="00C12B16" w:rsidRPr="00C12B16" w:rsidRDefault="00C12B16" w:rsidP="00C12B16">
      <w:pPr>
        <w:autoSpaceDE w:val="0"/>
        <w:autoSpaceDN w:val="0"/>
        <w:adjustRightInd w:val="0"/>
        <w:jc w:val="center"/>
        <w:rPr>
          <w:rFonts w:eastAsia="Times New Roman" w:cs="Times New Roman"/>
          <w:i/>
          <w:iCs/>
          <w:sz w:val="28"/>
          <w:szCs w:val="28"/>
          <w:shd w:val="clear" w:color="auto" w:fill="FFFFFF"/>
          <w:lang w:eastAsia="zh-TW"/>
        </w:rPr>
      </w:pPr>
      <w:r w:rsidRPr="00C12B16">
        <w:rPr>
          <w:rFonts w:eastAsia="Times New Roman" w:cs="Times New Roman"/>
          <w:i/>
          <w:iCs/>
          <w:sz w:val="28"/>
          <w:szCs w:val="28"/>
          <w:shd w:val="clear" w:color="auto" w:fill="FFFFFF"/>
          <w:lang w:eastAsia="zh-TW"/>
        </w:rPr>
        <w:t>Graduate School</w:t>
      </w:r>
    </w:p>
    <w:p w14:paraId="43034A95" w14:textId="77777777" w:rsidR="00C12B16" w:rsidRPr="00C12B16" w:rsidRDefault="00C12B16" w:rsidP="00C12B16">
      <w:pPr>
        <w:autoSpaceDE w:val="0"/>
        <w:autoSpaceDN w:val="0"/>
        <w:adjustRightInd w:val="0"/>
        <w:jc w:val="center"/>
        <w:rPr>
          <w:rFonts w:eastAsia="Times New Roman" w:cs="Times New Roman"/>
          <w:i/>
          <w:iCs/>
          <w:sz w:val="28"/>
          <w:szCs w:val="28"/>
          <w:shd w:val="clear" w:color="auto" w:fill="FFFFFF"/>
          <w:lang w:eastAsia="zh-TW"/>
        </w:rPr>
      </w:pPr>
      <w:r w:rsidRPr="00C12B16">
        <w:rPr>
          <w:rFonts w:eastAsia="Times New Roman" w:cs="Times New Roman"/>
          <w:i/>
          <w:iCs/>
          <w:sz w:val="28"/>
          <w:szCs w:val="28"/>
          <w:shd w:val="clear" w:color="auto" w:fill="FFFFFF"/>
          <w:lang w:eastAsia="zh-TW"/>
        </w:rPr>
        <w:t xml:space="preserve">of the </w:t>
      </w:r>
    </w:p>
    <w:p w14:paraId="70510E8B" w14:textId="77777777" w:rsidR="00C12B16" w:rsidRPr="00C12B16" w:rsidRDefault="00C12B16" w:rsidP="00C12B16">
      <w:pPr>
        <w:autoSpaceDE w:val="0"/>
        <w:autoSpaceDN w:val="0"/>
        <w:adjustRightInd w:val="0"/>
        <w:jc w:val="center"/>
        <w:rPr>
          <w:rFonts w:eastAsia="Times New Roman" w:cs="Times New Roman"/>
          <w:i/>
          <w:iCs/>
          <w:sz w:val="28"/>
          <w:szCs w:val="28"/>
          <w:shd w:val="clear" w:color="auto" w:fill="FFFFFF"/>
          <w:lang w:eastAsia="zh-TW"/>
        </w:rPr>
      </w:pPr>
      <w:r w:rsidRPr="00C12B16">
        <w:rPr>
          <w:rFonts w:eastAsia="Times New Roman" w:cs="Times New Roman"/>
          <w:i/>
          <w:iCs/>
          <w:sz w:val="28"/>
          <w:szCs w:val="28"/>
          <w:shd w:val="clear" w:color="auto" w:fill="FFFFFF"/>
          <w:lang w:eastAsia="zh-TW"/>
        </w:rPr>
        <w:t>Institute of Science and Technology Austria</w:t>
      </w:r>
    </w:p>
    <w:p w14:paraId="70A7D138" w14:textId="77777777" w:rsidR="00C12B16" w:rsidRPr="00C12B16" w:rsidRDefault="00C12B16" w:rsidP="00C12B16">
      <w:pPr>
        <w:autoSpaceDE w:val="0"/>
        <w:autoSpaceDN w:val="0"/>
        <w:adjustRightInd w:val="0"/>
        <w:jc w:val="center"/>
        <w:rPr>
          <w:rFonts w:eastAsia="Times New Roman" w:cs="Times New Roman"/>
          <w:i/>
          <w:iCs/>
          <w:sz w:val="28"/>
          <w:szCs w:val="28"/>
          <w:shd w:val="clear" w:color="auto" w:fill="FFFFFF"/>
          <w:lang w:eastAsia="zh-TW"/>
        </w:rPr>
      </w:pPr>
      <w:r w:rsidRPr="00C12B16">
        <w:rPr>
          <w:rFonts w:eastAsia="Times New Roman" w:cs="Times New Roman"/>
          <w:i/>
          <w:iCs/>
          <w:sz w:val="28"/>
          <w:szCs w:val="28"/>
          <w:shd w:val="clear" w:color="auto" w:fill="FFFFFF"/>
          <w:lang w:eastAsia="zh-TW"/>
        </w:rPr>
        <w:t xml:space="preserve">in partial fulfillment of the requirements </w:t>
      </w:r>
    </w:p>
    <w:p w14:paraId="711252BE" w14:textId="77777777" w:rsidR="00C12B16" w:rsidRPr="00C12B16" w:rsidRDefault="00C12B16" w:rsidP="00C12B16">
      <w:pPr>
        <w:autoSpaceDE w:val="0"/>
        <w:autoSpaceDN w:val="0"/>
        <w:adjustRightInd w:val="0"/>
        <w:jc w:val="center"/>
        <w:rPr>
          <w:rFonts w:eastAsia="Times New Roman" w:cs="Times New Roman"/>
          <w:i/>
          <w:iCs/>
          <w:sz w:val="28"/>
          <w:szCs w:val="28"/>
          <w:shd w:val="clear" w:color="auto" w:fill="FFFFFF"/>
          <w:lang w:eastAsia="zh-TW"/>
        </w:rPr>
      </w:pPr>
      <w:r w:rsidRPr="00C12B16">
        <w:rPr>
          <w:rFonts w:eastAsia="Times New Roman" w:cs="Times New Roman"/>
          <w:i/>
          <w:iCs/>
          <w:sz w:val="28"/>
          <w:szCs w:val="28"/>
          <w:shd w:val="clear" w:color="auto" w:fill="FFFFFF"/>
          <w:lang w:eastAsia="zh-TW"/>
        </w:rPr>
        <w:t xml:space="preserve">for the degree of </w:t>
      </w:r>
    </w:p>
    <w:p w14:paraId="66FD3789" w14:textId="77777777" w:rsidR="00C12B16" w:rsidRPr="00C12B16" w:rsidRDefault="00C12B16" w:rsidP="00C12B16">
      <w:pPr>
        <w:autoSpaceDE w:val="0"/>
        <w:autoSpaceDN w:val="0"/>
        <w:adjustRightInd w:val="0"/>
        <w:jc w:val="center"/>
        <w:rPr>
          <w:rFonts w:eastAsia="Times New Roman" w:cs="Times New Roman"/>
          <w:i/>
          <w:iCs/>
          <w:sz w:val="28"/>
          <w:szCs w:val="28"/>
          <w:shd w:val="clear" w:color="auto" w:fill="FFFFFF"/>
          <w:lang w:eastAsia="zh-TW"/>
        </w:rPr>
      </w:pPr>
      <w:r w:rsidRPr="00C12B16">
        <w:rPr>
          <w:rFonts w:eastAsia="Times New Roman" w:cs="Times New Roman"/>
          <w:i/>
          <w:iCs/>
          <w:sz w:val="28"/>
          <w:szCs w:val="28"/>
          <w:shd w:val="clear" w:color="auto" w:fill="FFFFFF"/>
          <w:lang w:eastAsia="zh-TW"/>
        </w:rPr>
        <w:t>Doctor of Philosophy</w:t>
      </w:r>
    </w:p>
    <w:p w14:paraId="677D8C28" w14:textId="3DBA5156" w:rsidR="00F3102F" w:rsidRDefault="00F3102F" w:rsidP="00C6715E">
      <w:pPr>
        <w:autoSpaceDE w:val="0"/>
        <w:autoSpaceDN w:val="0"/>
        <w:adjustRightInd w:val="0"/>
        <w:jc w:val="center"/>
        <w:rPr>
          <w:rFonts w:eastAsia="Times New Roman" w:cs="Times New Roman"/>
          <w:i/>
          <w:iCs/>
          <w:w w:val="102"/>
          <w:sz w:val="28"/>
          <w:szCs w:val="28"/>
          <w:shd w:val="clear" w:color="auto" w:fill="FFFFFF"/>
          <w:lang w:val="en-GB" w:eastAsia="zh-TW"/>
        </w:rPr>
      </w:pPr>
    </w:p>
    <w:p w14:paraId="2FCF3685" w14:textId="1C2DFCC4" w:rsidR="00F3102F" w:rsidRDefault="00F3102F" w:rsidP="00C6715E">
      <w:pPr>
        <w:autoSpaceDE w:val="0"/>
        <w:autoSpaceDN w:val="0"/>
        <w:adjustRightInd w:val="0"/>
        <w:jc w:val="center"/>
        <w:rPr>
          <w:rFonts w:eastAsia="Times New Roman" w:cs="Times New Roman"/>
          <w:i/>
          <w:iCs/>
          <w:w w:val="102"/>
          <w:sz w:val="28"/>
          <w:szCs w:val="28"/>
          <w:shd w:val="clear" w:color="auto" w:fill="FFFFFF"/>
          <w:lang w:val="en-GB" w:eastAsia="zh-TW"/>
        </w:rPr>
      </w:pPr>
    </w:p>
    <w:p w14:paraId="3CB108E0" w14:textId="77777777" w:rsidR="00F3102F" w:rsidRPr="00F3102F" w:rsidRDefault="00F3102F" w:rsidP="00F3102F">
      <w:pPr>
        <w:autoSpaceDE w:val="0"/>
        <w:autoSpaceDN w:val="0"/>
        <w:adjustRightInd w:val="0"/>
        <w:jc w:val="center"/>
        <w:rPr>
          <w:rFonts w:eastAsia="Times New Roman" w:cs="Times New Roman"/>
          <w:iCs/>
          <w:w w:val="102"/>
          <w:szCs w:val="28"/>
          <w:shd w:val="clear" w:color="auto" w:fill="FFFFFF"/>
          <w:lang w:val="en-GB" w:eastAsia="zh-TW"/>
        </w:rPr>
      </w:pPr>
      <w:r w:rsidRPr="00F3102F">
        <w:rPr>
          <w:rFonts w:eastAsia="Times New Roman" w:cs="Times New Roman"/>
          <w:iCs/>
          <w:w w:val="102"/>
          <w:szCs w:val="28"/>
          <w:shd w:val="clear" w:color="auto" w:fill="FFFFFF"/>
          <w:lang w:val="en-GB" w:eastAsia="zh-TW"/>
        </w:rPr>
        <w:t>Committee in charge:</w:t>
      </w:r>
    </w:p>
    <w:p w14:paraId="6EAE455A" w14:textId="53C1250E" w:rsidR="00F3102F" w:rsidRPr="00F3102F" w:rsidRDefault="00D84225" w:rsidP="00F3102F">
      <w:pPr>
        <w:autoSpaceDE w:val="0"/>
        <w:autoSpaceDN w:val="0"/>
        <w:adjustRightInd w:val="0"/>
        <w:jc w:val="center"/>
        <w:rPr>
          <w:rFonts w:eastAsia="Times New Roman" w:cs="Times New Roman"/>
          <w:iCs/>
          <w:w w:val="102"/>
          <w:szCs w:val="28"/>
          <w:shd w:val="clear" w:color="auto" w:fill="FFFFFF"/>
          <w:lang w:val="en-GB" w:eastAsia="zh-TW"/>
        </w:rPr>
      </w:pPr>
      <w:r>
        <w:rPr>
          <w:rFonts w:eastAsia="Times New Roman" w:cs="Times New Roman"/>
          <w:iCs/>
          <w:w w:val="102"/>
          <w:szCs w:val="28"/>
          <w:shd w:val="clear" w:color="auto" w:fill="FFFFFF"/>
          <w:lang w:val="en-GB" w:eastAsia="zh-TW"/>
        </w:rPr>
        <w:t>Prof. Ryuichi S</w:t>
      </w:r>
      <w:r w:rsidRPr="00D84225">
        <w:rPr>
          <w:rFonts w:eastAsia="Times New Roman" w:cs="Times New Roman"/>
          <w:iCs/>
          <w:w w:val="102"/>
          <w:szCs w:val="28"/>
          <w:shd w:val="clear" w:color="auto" w:fill="FFFFFF"/>
          <w:lang w:val="en-GB" w:eastAsia="zh-TW"/>
        </w:rPr>
        <w:t>higemoto</w:t>
      </w:r>
      <w:r w:rsidR="00F3102F" w:rsidRPr="00F3102F">
        <w:rPr>
          <w:rFonts w:eastAsia="Times New Roman" w:cs="Times New Roman"/>
          <w:iCs/>
          <w:w w:val="102"/>
          <w:szCs w:val="28"/>
          <w:shd w:val="clear" w:color="auto" w:fill="FFFFFF"/>
          <w:lang w:val="en-GB" w:eastAsia="zh-TW"/>
        </w:rPr>
        <w:t>, Chair</w:t>
      </w:r>
    </w:p>
    <w:p w14:paraId="2EA76E94" w14:textId="0DAACAA9" w:rsidR="00F3102F" w:rsidRPr="00F3102F" w:rsidRDefault="00D84225" w:rsidP="00F3102F">
      <w:pPr>
        <w:autoSpaceDE w:val="0"/>
        <w:autoSpaceDN w:val="0"/>
        <w:adjustRightInd w:val="0"/>
        <w:jc w:val="center"/>
        <w:rPr>
          <w:rFonts w:eastAsia="Times New Roman" w:cs="Times New Roman"/>
          <w:iCs/>
          <w:w w:val="102"/>
          <w:szCs w:val="28"/>
          <w:shd w:val="clear" w:color="auto" w:fill="FFFFFF"/>
          <w:lang w:val="en-GB" w:eastAsia="zh-TW"/>
        </w:rPr>
      </w:pPr>
      <w:r>
        <w:rPr>
          <w:rFonts w:eastAsia="Times New Roman" w:cs="Times New Roman"/>
          <w:iCs/>
          <w:w w:val="102"/>
          <w:szCs w:val="28"/>
          <w:shd w:val="clear" w:color="auto" w:fill="FFFFFF"/>
          <w:lang w:val="en-GB" w:eastAsia="zh-TW"/>
        </w:rPr>
        <w:t>Prof. Leonid Sazanov</w:t>
      </w:r>
    </w:p>
    <w:p w14:paraId="6849F85C" w14:textId="2D51E28A" w:rsidR="00F3102F" w:rsidRPr="00F3102F" w:rsidRDefault="00D84225" w:rsidP="00F3102F">
      <w:pPr>
        <w:autoSpaceDE w:val="0"/>
        <w:autoSpaceDN w:val="0"/>
        <w:adjustRightInd w:val="0"/>
        <w:jc w:val="center"/>
        <w:rPr>
          <w:rFonts w:eastAsia="Times New Roman" w:cs="Times New Roman"/>
          <w:iCs/>
          <w:w w:val="102"/>
          <w:szCs w:val="28"/>
          <w:shd w:val="clear" w:color="auto" w:fill="FFFFFF"/>
          <w:lang w:val="en-GB" w:eastAsia="zh-TW"/>
        </w:rPr>
      </w:pPr>
      <w:r>
        <w:rPr>
          <w:rFonts w:eastAsia="Times New Roman" w:cs="Times New Roman"/>
          <w:iCs/>
          <w:w w:val="102"/>
          <w:szCs w:val="28"/>
          <w:shd w:val="clear" w:color="auto" w:fill="FFFFFF"/>
          <w:lang w:val="en-GB" w:eastAsia="zh-TW"/>
        </w:rPr>
        <w:t>Prof. Florian Schur</w:t>
      </w:r>
    </w:p>
    <w:p w14:paraId="2B46ADAB" w14:textId="234658BB" w:rsidR="00F3102F" w:rsidRDefault="00D84225" w:rsidP="00F3102F">
      <w:pPr>
        <w:autoSpaceDE w:val="0"/>
        <w:autoSpaceDN w:val="0"/>
        <w:adjustRightInd w:val="0"/>
        <w:jc w:val="center"/>
        <w:rPr>
          <w:rFonts w:eastAsia="Times New Roman" w:cs="Times New Roman"/>
          <w:iCs/>
          <w:w w:val="102"/>
          <w:szCs w:val="28"/>
          <w:shd w:val="clear" w:color="auto" w:fill="FFFFFF"/>
          <w:lang w:val="en-GB" w:eastAsia="zh-TW"/>
        </w:rPr>
      </w:pPr>
      <w:r>
        <w:rPr>
          <w:rFonts w:eastAsia="Times New Roman" w:cs="Times New Roman"/>
          <w:iCs/>
          <w:w w:val="102"/>
          <w:szCs w:val="28"/>
          <w:shd w:val="clear" w:color="auto" w:fill="FFFFFF"/>
          <w:lang w:val="en-GB" w:eastAsia="zh-TW"/>
        </w:rPr>
        <w:t xml:space="preserve">Prof. </w:t>
      </w:r>
      <w:r w:rsidRPr="00D84225">
        <w:rPr>
          <w:rFonts w:eastAsia="Times New Roman" w:cs="Times New Roman"/>
          <w:iCs/>
          <w:w w:val="102"/>
          <w:szCs w:val="28"/>
          <w:shd w:val="clear" w:color="auto" w:fill="FFFFFF"/>
          <w:lang w:val="en-GB" w:eastAsia="zh-TW"/>
        </w:rPr>
        <w:t>Clemens Plaschka</w:t>
      </w:r>
    </w:p>
    <w:p w14:paraId="573BEC8A" w14:textId="24F43F1E" w:rsidR="00D84225" w:rsidRDefault="00D84225" w:rsidP="00F3102F">
      <w:pPr>
        <w:autoSpaceDE w:val="0"/>
        <w:autoSpaceDN w:val="0"/>
        <w:adjustRightInd w:val="0"/>
        <w:jc w:val="center"/>
        <w:rPr>
          <w:rFonts w:eastAsia="Times New Roman" w:cs="Times New Roman"/>
          <w:iCs/>
          <w:w w:val="102"/>
          <w:szCs w:val="28"/>
          <w:shd w:val="clear" w:color="auto" w:fill="FFFFFF"/>
          <w:lang w:val="en-GB" w:eastAsia="zh-TW"/>
        </w:rPr>
      </w:pPr>
    </w:p>
    <w:p w14:paraId="49261646" w14:textId="77777777" w:rsidR="00D84225" w:rsidRPr="00F3102F" w:rsidRDefault="00D84225" w:rsidP="00F3102F">
      <w:pPr>
        <w:autoSpaceDE w:val="0"/>
        <w:autoSpaceDN w:val="0"/>
        <w:adjustRightInd w:val="0"/>
        <w:jc w:val="center"/>
        <w:rPr>
          <w:rFonts w:eastAsia="Times New Roman" w:cs="Times New Roman"/>
          <w:iCs/>
          <w:w w:val="102"/>
          <w:szCs w:val="28"/>
          <w:shd w:val="clear" w:color="auto" w:fill="FFFFFF"/>
          <w:lang w:val="en-GB" w:eastAsia="zh-TW"/>
        </w:rPr>
      </w:pPr>
    </w:p>
    <w:p w14:paraId="52B4F3A1" w14:textId="5AC838DC" w:rsidR="00C6715E" w:rsidRDefault="00D84225" w:rsidP="00D84225">
      <w:pPr>
        <w:jc w:val="center"/>
        <w:rPr>
          <w:rFonts w:eastAsia="Times New Roman" w:cs="Times New Roman"/>
          <w:i/>
          <w:iCs/>
          <w:w w:val="102"/>
          <w:sz w:val="28"/>
          <w:szCs w:val="28"/>
          <w:shd w:val="clear" w:color="auto" w:fill="FFFFFF"/>
          <w:lang w:val="en-GB" w:eastAsia="zh-TW"/>
        </w:rPr>
      </w:pPr>
      <w:r>
        <w:rPr>
          <w:noProof/>
        </w:rPr>
        <w:drawing>
          <wp:inline distT="0" distB="0" distL="0" distR="0" wp14:anchorId="7FF93734" wp14:editId="16C7B1F1">
            <wp:extent cx="1734863" cy="609999"/>
            <wp:effectExtent l="0" t="0" r="0" b="0"/>
            <wp:docPr id="22"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ISTA_Logo_4c_rgb.png"/>
                    <pic:cNvPicPr>
                      <a:picLocks noChangeAspect="1"/>
                    </pic:cNvPicPr>
                  </pic:nvPicPr>
                  <pic:blipFill>
                    <a:blip r:embed="rId8"/>
                    <a:stretch/>
                  </pic:blipFill>
                  <pic:spPr bwMode="auto">
                    <a:xfrm>
                      <a:off x="0" y="0"/>
                      <a:ext cx="1790594" cy="629595"/>
                    </a:xfrm>
                    <a:prstGeom prst="rect">
                      <a:avLst/>
                    </a:prstGeom>
                  </pic:spPr>
                </pic:pic>
              </a:graphicData>
            </a:graphic>
          </wp:inline>
        </w:drawing>
      </w:r>
    </w:p>
    <w:p w14:paraId="4E3A3885" w14:textId="3B71C082" w:rsidR="00C12B16" w:rsidRDefault="00C12B16" w:rsidP="00D84225">
      <w:pPr>
        <w:jc w:val="center"/>
        <w:rPr>
          <w:rFonts w:eastAsia="Times New Roman" w:cs="Times New Roman"/>
          <w:i/>
          <w:iCs/>
          <w:w w:val="102"/>
          <w:sz w:val="28"/>
          <w:szCs w:val="28"/>
          <w:shd w:val="clear" w:color="auto" w:fill="FFFFFF"/>
          <w:lang w:val="en-GB" w:eastAsia="zh-TW"/>
        </w:rPr>
      </w:pPr>
    </w:p>
    <w:p w14:paraId="15F2FCDE" w14:textId="53662B84" w:rsidR="00C12B16" w:rsidRDefault="00C12B16" w:rsidP="00D84225">
      <w:pPr>
        <w:jc w:val="center"/>
        <w:rPr>
          <w:rFonts w:eastAsia="Times New Roman" w:cs="Times New Roman"/>
          <w:i/>
          <w:iCs/>
          <w:w w:val="102"/>
          <w:sz w:val="28"/>
          <w:szCs w:val="28"/>
          <w:shd w:val="clear" w:color="auto" w:fill="FFFFFF"/>
          <w:lang w:val="en-GB" w:eastAsia="zh-TW"/>
        </w:rPr>
      </w:pPr>
    </w:p>
    <w:p w14:paraId="11A04C7C" w14:textId="77777777" w:rsidR="00C12B16" w:rsidRPr="00E97FC1" w:rsidRDefault="00C12B16" w:rsidP="00D84225">
      <w:pPr>
        <w:jc w:val="center"/>
        <w:rPr>
          <w:rFonts w:eastAsia="Times New Roman" w:cs="Times New Roman"/>
          <w:i/>
          <w:iCs/>
          <w:w w:val="102"/>
          <w:sz w:val="28"/>
          <w:szCs w:val="28"/>
          <w:shd w:val="clear" w:color="auto" w:fill="FFFFFF"/>
          <w:lang w:val="en-GB" w:eastAsia="zh-TW"/>
        </w:rPr>
      </w:pPr>
    </w:p>
    <w:p w14:paraId="02F35915" w14:textId="77777777" w:rsidR="00C6715E" w:rsidRPr="00E97FC1" w:rsidRDefault="00C6715E" w:rsidP="00C6715E">
      <w:pPr>
        <w:rPr>
          <w:rFonts w:eastAsia="Times New Roman" w:cs="Times New Roman"/>
          <w:i/>
          <w:iCs/>
          <w:w w:val="102"/>
          <w:sz w:val="28"/>
          <w:szCs w:val="28"/>
          <w:shd w:val="clear" w:color="auto" w:fill="FFFFFF"/>
          <w:lang w:val="en-GB" w:eastAsia="zh-TW"/>
        </w:rPr>
      </w:pPr>
      <w:r w:rsidRPr="00E97FC1">
        <w:rPr>
          <w:rFonts w:eastAsia="Times New Roman" w:cs="Times New Roman"/>
          <w:i/>
          <w:iCs/>
          <w:w w:val="102"/>
          <w:sz w:val="28"/>
          <w:szCs w:val="28"/>
          <w:shd w:val="clear" w:color="auto" w:fill="FFFFFF"/>
          <w:lang w:val="en-GB" w:eastAsia="zh-TW"/>
        </w:rPr>
        <w:br w:type="page"/>
      </w:r>
    </w:p>
    <w:p w14:paraId="4CAD3C31" w14:textId="14C7B4D1" w:rsidR="00C6715E" w:rsidRPr="00E97FC1" w:rsidRDefault="00C12B16" w:rsidP="00C6715E">
      <w:pPr>
        <w:rPr>
          <w:rFonts w:eastAsia="Times New Roman" w:cs="Times New Roman"/>
          <w:szCs w:val="24"/>
          <w:shd w:val="clear" w:color="auto" w:fill="FFFFFF"/>
          <w:lang w:val="en-GB" w:eastAsia="zh-TW"/>
        </w:rPr>
      </w:pPr>
      <w:r>
        <w:rPr>
          <w:rFonts w:eastAsia="Times New Roman" w:cs="Times New Roman"/>
          <w:szCs w:val="24"/>
          <w:shd w:val="clear" w:color="auto" w:fill="FFFFFF"/>
          <w:lang w:val="en-GB" w:eastAsia="zh-TW"/>
        </w:rPr>
        <w:lastRenderedPageBreak/>
        <w:t>The thesis</w:t>
      </w:r>
      <w:r w:rsidR="00C6715E" w:rsidRPr="00E97FC1">
        <w:rPr>
          <w:rFonts w:eastAsia="Times New Roman" w:cs="Times New Roman"/>
          <w:szCs w:val="24"/>
          <w:shd w:val="clear" w:color="auto" w:fill="FFFFFF"/>
          <w:lang w:val="en-GB" w:eastAsia="zh-TW"/>
        </w:rPr>
        <w:t xml:space="preserve"> of Vladyslav Kravchuk, titled “</w:t>
      </w:r>
      <w:r w:rsidRPr="00C12B16">
        <w:rPr>
          <w:rFonts w:eastAsia="Times New Roman" w:cs="Times New Roman"/>
          <w:szCs w:val="24"/>
          <w:shd w:val="clear" w:color="auto" w:fill="FFFFFF"/>
          <w:lang w:val="en-GB" w:eastAsia="zh-TW"/>
        </w:rPr>
        <w:t>Structural and mechanistic study of bacterial complex I and its cyanobacterial ortholog</w:t>
      </w:r>
      <w:r w:rsidR="00C6715E" w:rsidRPr="00E97FC1">
        <w:rPr>
          <w:rFonts w:eastAsia="Times New Roman" w:cs="Times New Roman"/>
          <w:szCs w:val="24"/>
          <w:shd w:val="clear" w:color="auto" w:fill="FFFFFF"/>
          <w:lang w:val="en-GB" w:eastAsia="en-GB"/>
        </w:rPr>
        <w:t>”</w:t>
      </w:r>
      <w:r w:rsidR="00C6715E" w:rsidRPr="00E97FC1">
        <w:rPr>
          <w:rFonts w:eastAsia="Times New Roman" w:cs="Times New Roman"/>
          <w:szCs w:val="24"/>
          <w:shd w:val="clear" w:color="auto" w:fill="FFFFFF"/>
          <w:lang w:val="en-GB" w:eastAsia="zh-TW"/>
        </w:rPr>
        <w:t>, is approved by:</w:t>
      </w:r>
    </w:p>
    <w:p w14:paraId="2CEAFB2C" w14:textId="77777777" w:rsidR="00C6715E" w:rsidRPr="00E97FC1" w:rsidRDefault="00C6715E" w:rsidP="00C6715E">
      <w:pPr>
        <w:autoSpaceDE w:val="0"/>
        <w:autoSpaceDN w:val="0"/>
        <w:adjustRightInd w:val="0"/>
        <w:rPr>
          <w:rFonts w:eastAsia="Times New Roman" w:cs="Times New Roman"/>
          <w:b/>
          <w:bCs/>
          <w:shd w:val="clear" w:color="auto" w:fill="FFFFFF"/>
          <w:lang w:val="en-GB" w:eastAsia="zh-TW"/>
        </w:rPr>
      </w:pPr>
    </w:p>
    <w:p w14:paraId="4DB28985" w14:textId="77777777" w:rsidR="00C6715E" w:rsidRPr="00E97FC1" w:rsidRDefault="00C6715E" w:rsidP="00C6715E">
      <w:pPr>
        <w:autoSpaceDE w:val="0"/>
        <w:autoSpaceDN w:val="0"/>
        <w:adjustRightInd w:val="0"/>
        <w:ind w:left="1440" w:hanging="1440"/>
        <w:rPr>
          <w:rFonts w:eastAsia="Times New Roman" w:cs="Times New Roman"/>
          <w:b/>
          <w:bCs/>
          <w:shd w:val="clear" w:color="auto" w:fill="FFFFFF"/>
          <w:lang w:val="en-GB" w:eastAsia="zh-TW"/>
        </w:rPr>
      </w:pPr>
    </w:p>
    <w:p w14:paraId="5552988B" w14:textId="77777777" w:rsidR="00C6715E" w:rsidRPr="00E97FC1" w:rsidRDefault="00C6715E" w:rsidP="00C6715E">
      <w:pPr>
        <w:autoSpaceDE w:val="0"/>
        <w:autoSpaceDN w:val="0"/>
        <w:adjustRightInd w:val="0"/>
        <w:ind w:left="1440" w:hanging="1440"/>
        <w:rPr>
          <w:rFonts w:eastAsia="Times New Roman" w:cs="Times New Roman"/>
          <w:b/>
          <w:bCs/>
          <w:shd w:val="clear" w:color="auto" w:fill="FFFFFF"/>
          <w:lang w:val="en-GB" w:eastAsia="zh-TW"/>
        </w:rPr>
      </w:pPr>
    </w:p>
    <w:p w14:paraId="5CB2F58B" w14:textId="77777777" w:rsidR="00C6715E" w:rsidRPr="00E97FC1" w:rsidRDefault="00C6715E" w:rsidP="00C6715E">
      <w:pPr>
        <w:autoSpaceDE w:val="0"/>
        <w:autoSpaceDN w:val="0"/>
        <w:adjustRightInd w:val="0"/>
        <w:ind w:left="1440" w:hanging="1440"/>
        <w:rPr>
          <w:rFonts w:eastAsia="Times New Roman" w:cs="Times New Roman"/>
          <w:b/>
          <w:bCs/>
          <w:shd w:val="clear" w:color="auto" w:fill="FFFFFF"/>
          <w:lang w:val="en-GB" w:eastAsia="zh-TW"/>
        </w:rPr>
      </w:pPr>
    </w:p>
    <w:p w14:paraId="5882C8A9" w14:textId="77777777" w:rsidR="00C6715E" w:rsidRPr="00E97FC1" w:rsidRDefault="00C6715E" w:rsidP="00C6715E">
      <w:pPr>
        <w:autoSpaceDE w:val="0"/>
        <w:autoSpaceDN w:val="0"/>
        <w:adjustRightInd w:val="0"/>
        <w:ind w:left="1440" w:hanging="1440"/>
        <w:rPr>
          <w:rFonts w:eastAsia="Times New Roman" w:cs="Times New Roman"/>
          <w:b/>
          <w:bCs/>
          <w:shd w:val="clear" w:color="auto" w:fill="FFFFFF"/>
          <w:lang w:val="en-GB" w:eastAsia="zh-TW"/>
        </w:rPr>
      </w:pPr>
    </w:p>
    <w:p w14:paraId="2C58DC34" w14:textId="77777777" w:rsidR="00C6715E" w:rsidRPr="00E97FC1" w:rsidRDefault="00C6715E" w:rsidP="00C6715E">
      <w:pPr>
        <w:autoSpaceDE w:val="0"/>
        <w:autoSpaceDN w:val="0"/>
        <w:adjustRightInd w:val="0"/>
        <w:ind w:left="1440" w:hanging="1440"/>
        <w:rPr>
          <w:rFonts w:eastAsia="Times New Roman" w:cs="Times New Roman"/>
          <w:b/>
          <w:bCs/>
          <w:shd w:val="clear" w:color="auto" w:fill="FFFFFF"/>
          <w:lang w:val="en-GB" w:eastAsia="zh-TW"/>
        </w:rPr>
      </w:pPr>
    </w:p>
    <w:p w14:paraId="68048470" w14:textId="77777777" w:rsidR="00C6715E" w:rsidRPr="00E97FC1" w:rsidRDefault="00C6715E" w:rsidP="00C6715E">
      <w:pPr>
        <w:autoSpaceDE w:val="0"/>
        <w:autoSpaceDN w:val="0"/>
        <w:adjustRightInd w:val="0"/>
        <w:ind w:left="1440" w:hanging="1440"/>
        <w:rPr>
          <w:rFonts w:eastAsia="Times New Roman" w:cs="Times New Roman"/>
          <w:b/>
          <w:bCs/>
          <w:shd w:val="clear" w:color="auto" w:fill="FFFFFF"/>
          <w:lang w:val="en-GB" w:eastAsia="zh-TW"/>
        </w:rPr>
      </w:pPr>
    </w:p>
    <w:p w14:paraId="1059BCD1" w14:textId="77777777" w:rsidR="00C6715E" w:rsidRPr="00E97FC1" w:rsidRDefault="00C6715E" w:rsidP="00C6715E">
      <w:pPr>
        <w:tabs>
          <w:tab w:val="right" w:pos="2088"/>
          <w:tab w:val="left" w:pos="2160"/>
        </w:tabs>
        <w:autoSpaceDE w:val="0"/>
        <w:autoSpaceDN w:val="0"/>
        <w:adjustRightInd w:val="0"/>
        <w:rPr>
          <w:rFonts w:eastAsia="Times New Roman" w:cs="Times New Roman"/>
          <w:szCs w:val="24"/>
          <w:shd w:val="clear" w:color="auto" w:fill="FFFFFF"/>
          <w:lang w:val="en-GB" w:eastAsia="zh-TW"/>
        </w:rPr>
      </w:pPr>
      <w:r w:rsidRPr="00E97FC1">
        <w:rPr>
          <w:rFonts w:eastAsia="Times New Roman" w:cs="Times New Roman"/>
          <w:b/>
          <w:bCs/>
          <w:shd w:val="clear" w:color="auto" w:fill="FFFFFF"/>
          <w:lang w:val="en-GB" w:eastAsia="zh-TW"/>
        </w:rPr>
        <w:tab/>
      </w:r>
      <w:r w:rsidRPr="00E97FC1">
        <w:rPr>
          <w:rFonts w:eastAsia="Times New Roman" w:cs="Times New Roman"/>
          <w:b/>
          <w:bCs/>
          <w:szCs w:val="24"/>
          <w:shd w:val="clear" w:color="auto" w:fill="FFFFFF"/>
          <w:lang w:val="en-GB" w:eastAsia="zh-TW"/>
        </w:rPr>
        <w:t>Supe</w:t>
      </w:r>
      <w:r w:rsidRPr="00E97FC1">
        <w:rPr>
          <w:rFonts w:eastAsia="Times New Roman" w:cs="Times New Roman"/>
          <w:b/>
          <w:bCs/>
          <w:spacing w:val="2"/>
          <w:szCs w:val="24"/>
          <w:shd w:val="clear" w:color="auto" w:fill="FFFFFF"/>
          <w:lang w:val="en-GB" w:eastAsia="zh-TW"/>
        </w:rPr>
        <w:t>r</w:t>
      </w:r>
      <w:r w:rsidRPr="00E97FC1">
        <w:rPr>
          <w:rFonts w:eastAsia="Times New Roman" w:cs="Times New Roman"/>
          <w:b/>
          <w:bCs/>
          <w:szCs w:val="24"/>
          <w:shd w:val="clear" w:color="auto" w:fill="FFFFFF"/>
          <w:lang w:val="en-GB" w:eastAsia="zh-TW"/>
        </w:rPr>
        <w:t>visor</w:t>
      </w:r>
      <w:r w:rsidRPr="00E97FC1">
        <w:rPr>
          <w:rFonts w:eastAsia="Times New Roman" w:cs="Times New Roman"/>
          <w:szCs w:val="24"/>
          <w:shd w:val="clear" w:color="auto" w:fill="FFFFFF"/>
          <w:lang w:val="en-GB" w:eastAsia="zh-TW"/>
        </w:rPr>
        <w:t>:</w:t>
      </w:r>
      <w:r w:rsidRPr="00E97FC1">
        <w:rPr>
          <w:rFonts w:eastAsia="Times New Roman" w:cs="Times New Roman"/>
          <w:szCs w:val="24"/>
          <w:shd w:val="clear" w:color="auto" w:fill="FFFFFF"/>
          <w:lang w:val="en-GB" w:eastAsia="zh-TW"/>
        </w:rPr>
        <w:tab/>
        <w:t>Leonid Sazanov,</w:t>
      </w:r>
      <w:r w:rsidRPr="00E97FC1">
        <w:rPr>
          <w:rFonts w:eastAsia="Times New Roman" w:cs="Times New Roman"/>
          <w:spacing w:val="-12"/>
          <w:szCs w:val="24"/>
          <w:shd w:val="clear" w:color="auto" w:fill="FFFFFF"/>
          <w:lang w:val="en-GB" w:eastAsia="zh-TW"/>
        </w:rPr>
        <w:t xml:space="preserve"> </w:t>
      </w:r>
      <w:r w:rsidRPr="00E97FC1">
        <w:rPr>
          <w:rFonts w:eastAsia="Times New Roman" w:cs="Times New Roman"/>
          <w:szCs w:val="24"/>
          <w:shd w:val="clear" w:color="auto" w:fill="FFFFFF"/>
          <w:lang w:val="en-GB" w:eastAsia="zh-TW"/>
        </w:rPr>
        <w:t>IST</w:t>
      </w:r>
      <w:r w:rsidRPr="00E97FC1">
        <w:rPr>
          <w:rFonts w:eastAsia="Times New Roman" w:cs="Times New Roman"/>
          <w:spacing w:val="-4"/>
          <w:szCs w:val="24"/>
          <w:shd w:val="clear" w:color="auto" w:fill="FFFFFF"/>
          <w:lang w:val="en-GB" w:eastAsia="zh-TW"/>
        </w:rPr>
        <w:t xml:space="preserve"> </w:t>
      </w:r>
      <w:r w:rsidRPr="00E97FC1">
        <w:rPr>
          <w:rFonts w:eastAsia="Times New Roman" w:cs="Times New Roman"/>
          <w:spacing w:val="-7"/>
          <w:szCs w:val="24"/>
          <w:shd w:val="clear" w:color="auto" w:fill="FFFFFF"/>
          <w:lang w:val="en-GB" w:eastAsia="zh-TW"/>
        </w:rPr>
        <w:t>A</w:t>
      </w:r>
      <w:r w:rsidRPr="00E97FC1">
        <w:rPr>
          <w:rFonts w:eastAsia="Times New Roman" w:cs="Times New Roman"/>
          <w:szCs w:val="24"/>
          <w:shd w:val="clear" w:color="auto" w:fill="FFFFFF"/>
          <w:lang w:val="en-GB" w:eastAsia="zh-TW"/>
        </w:rPr>
        <w:t>ust</w:t>
      </w:r>
      <w:r w:rsidRPr="00E97FC1">
        <w:rPr>
          <w:rFonts w:eastAsia="Times New Roman" w:cs="Times New Roman"/>
          <w:spacing w:val="4"/>
          <w:szCs w:val="24"/>
          <w:shd w:val="clear" w:color="auto" w:fill="FFFFFF"/>
          <w:lang w:val="en-GB" w:eastAsia="zh-TW"/>
        </w:rPr>
        <w:t>r</w:t>
      </w:r>
      <w:r w:rsidRPr="00E97FC1">
        <w:rPr>
          <w:rFonts w:eastAsia="Times New Roman" w:cs="Times New Roman"/>
          <w:szCs w:val="24"/>
          <w:shd w:val="clear" w:color="auto" w:fill="FFFFFF"/>
          <w:lang w:val="en-GB" w:eastAsia="zh-TW"/>
        </w:rPr>
        <w:t>ia,</w:t>
      </w:r>
      <w:r w:rsidRPr="00E97FC1">
        <w:rPr>
          <w:rFonts w:eastAsia="Times New Roman" w:cs="Times New Roman"/>
          <w:spacing w:val="-8"/>
          <w:szCs w:val="24"/>
          <w:shd w:val="clear" w:color="auto" w:fill="FFFFFF"/>
          <w:lang w:val="en-GB" w:eastAsia="zh-TW"/>
        </w:rPr>
        <w:t xml:space="preserve"> </w:t>
      </w:r>
      <w:r w:rsidRPr="00E97FC1">
        <w:rPr>
          <w:rFonts w:eastAsia="Times New Roman" w:cs="Times New Roman"/>
          <w:szCs w:val="24"/>
          <w:shd w:val="clear" w:color="auto" w:fill="FFFFFF"/>
          <w:lang w:val="en-GB" w:eastAsia="zh-TW"/>
        </w:rPr>
        <w:t>Kloste</w:t>
      </w:r>
      <w:r w:rsidRPr="00E97FC1">
        <w:rPr>
          <w:rFonts w:eastAsia="Times New Roman" w:cs="Times New Roman"/>
          <w:spacing w:val="6"/>
          <w:szCs w:val="24"/>
          <w:shd w:val="clear" w:color="auto" w:fill="FFFFFF"/>
          <w:lang w:val="en-GB" w:eastAsia="zh-TW"/>
        </w:rPr>
        <w:t>r</w:t>
      </w:r>
      <w:r w:rsidRPr="00E97FC1">
        <w:rPr>
          <w:rFonts w:eastAsia="Times New Roman" w:cs="Times New Roman"/>
          <w:szCs w:val="24"/>
          <w:shd w:val="clear" w:color="auto" w:fill="FFFFFF"/>
          <w:lang w:val="en-GB" w:eastAsia="zh-TW"/>
        </w:rPr>
        <w:t>neu</w:t>
      </w:r>
      <w:r w:rsidRPr="00E97FC1">
        <w:rPr>
          <w:rFonts w:eastAsia="Times New Roman" w:cs="Times New Roman"/>
          <w:spacing w:val="-5"/>
          <w:szCs w:val="24"/>
          <w:shd w:val="clear" w:color="auto" w:fill="FFFFFF"/>
          <w:lang w:val="en-GB" w:eastAsia="zh-TW"/>
        </w:rPr>
        <w:t>b</w:t>
      </w:r>
      <w:r w:rsidRPr="00E97FC1">
        <w:rPr>
          <w:rFonts w:eastAsia="Times New Roman" w:cs="Times New Roman"/>
          <w:szCs w:val="24"/>
          <w:shd w:val="clear" w:color="auto" w:fill="FFFFFF"/>
          <w:lang w:val="en-GB" w:eastAsia="zh-TW"/>
        </w:rPr>
        <w:t>urg,</w:t>
      </w:r>
      <w:r w:rsidRPr="00E97FC1">
        <w:rPr>
          <w:rFonts w:eastAsia="Times New Roman" w:cs="Times New Roman"/>
          <w:spacing w:val="-17"/>
          <w:szCs w:val="24"/>
          <w:shd w:val="clear" w:color="auto" w:fill="FFFFFF"/>
          <w:lang w:val="en-GB" w:eastAsia="zh-TW"/>
        </w:rPr>
        <w:t xml:space="preserve"> </w:t>
      </w:r>
      <w:r w:rsidRPr="00E97FC1">
        <w:rPr>
          <w:rFonts w:eastAsia="Times New Roman" w:cs="Times New Roman"/>
          <w:spacing w:val="-7"/>
          <w:szCs w:val="24"/>
          <w:shd w:val="clear" w:color="auto" w:fill="FFFFFF"/>
          <w:lang w:val="en-GB" w:eastAsia="zh-TW"/>
        </w:rPr>
        <w:t>A</w:t>
      </w:r>
      <w:r w:rsidRPr="00E97FC1">
        <w:rPr>
          <w:rFonts w:eastAsia="Times New Roman" w:cs="Times New Roman"/>
          <w:szCs w:val="24"/>
          <w:shd w:val="clear" w:color="auto" w:fill="FFFFFF"/>
          <w:lang w:val="en-GB" w:eastAsia="zh-TW"/>
        </w:rPr>
        <w:t>ust</w:t>
      </w:r>
      <w:r w:rsidRPr="00E97FC1">
        <w:rPr>
          <w:rFonts w:eastAsia="Times New Roman" w:cs="Times New Roman"/>
          <w:spacing w:val="4"/>
          <w:szCs w:val="24"/>
          <w:shd w:val="clear" w:color="auto" w:fill="FFFFFF"/>
          <w:lang w:val="en-GB" w:eastAsia="zh-TW"/>
        </w:rPr>
        <w:t>r</w:t>
      </w:r>
      <w:r w:rsidRPr="00E97FC1">
        <w:rPr>
          <w:rFonts w:eastAsia="Times New Roman" w:cs="Times New Roman"/>
          <w:szCs w:val="24"/>
          <w:shd w:val="clear" w:color="auto" w:fill="FFFFFF"/>
          <w:lang w:val="en-GB" w:eastAsia="zh-TW"/>
        </w:rPr>
        <w:t>ia</w:t>
      </w:r>
    </w:p>
    <w:p w14:paraId="5DAD68A1" w14:textId="77777777" w:rsidR="00C6715E" w:rsidRPr="00E97FC1" w:rsidRDefault="00C6715E" w:rsidP="00C6715E">
      <w:pPr>
        <w:tabs>
          <w:tab w:val="right" w:pos="2088"/>
          <w:tab w:val="left" w:pos="2160"/>
        </w:tabs>
        <w:autoSpaceDE w:val="0"/>
        <w:autoSpaceDN w:val="0"/>
        <w:adjustRightInd w:val="0"/>
        <w:spacing w:line="200" w:lineRule="exact"/>
        <w:ind w:left="1980" w:hanging="1440"/>
        <w:rPr>
          <w:rFonts w:eastAsia="Times New Roman" w:cs="Times New Roman"/>
          <w:szCs w:val="24"/>
          <w:shd w:val="clear" w:color="auto" w:fill="FFFFFF"/>
          <w:lang w:val="en-GB" w:eastAsia="zh-TW"/>
        </w:rPr>
      </w:pPr>
    </w:p>
    <w:p w14:paraId="6093C5FF" w14:textId="77777777" w:rsidR="00C6715E" w:rsidRPr="00E97FC1" w:rsidRDefault="00C6715E" w:rsidP="00C6715E">
      <w:pPr>
        <w:tabs>
          <w:tab w:val="right" w:pos="2088"/>
          <w:tab w:val="left" w:pos="2160"/>
        </w:tabs>
        <w:autoSpaceDE w:val="0"/>
        <w:autoSpaceDN w:val="0"/>
        <w:adjustRightInd w:val="0"/>
        <w:ind w:left="1980" w:hanging="1440"/>
        <w:rPr>
          <w:rFonts w:eastAsia="Times New Roman" w:cs="Times New Roman"/>
          <w:w w:val="99"/>
          <w:szCs w:val="24"/>
          <w:shd w:val="clear" w:color="auto" w:fill="FFFFFF"/>
          <w:lang w:val="en-GB" w:eastAsia="zh-TW"/>
        </w:rPr>
      </w:pPr>
    </w:p>
    <w:p w14:paraId="201FBBDA" w14:textId="77777777" w:rsidR="00C6715E" w:rsidRPr="00E97FC1" w:rsidRDefault="00C6715E" w:rsidP="00C6715E">
      <w:pPr>
        <w:tabs>
          <w:tab w:val="right" w:pos="2088"/>
          <w:tab w:val="left" w:pos="2160"/>
        </w:tabs>
        <w:autoSpaceDE w:val="0"/>
        <w:autoSpaceDN w:val="0"/>
        <w:adjustRightInd w:val="0"/>
        <w:rPr>
          <w:rFonts w:eastAsia="Times New Roman" w:cs="Times New Roman"/>
          <w:szCs w:val="24"/>
          <w:shd w:val="clear" w:color="auto" w:fill="FFFFFF"/>
          <w:lang w:val="en-GB" w:eastAsia="zh-TW"/>
        </w:rPr>
      </w:pPr>
      <w:r w:rsidRPr="00E97FC1">
        <w:rPr>
          <w:rFonts w:eastAsia="Times New Roman" w:cs="Times New Roman"/>
          <w:w w:val="99"/>
          <w:szCs w:val="24"/>
          <w:shd w:val="clear" w:color="auto" w:fill="FFFFFF"/>
          <w:lang w:val="en-GB" w:eastAsia="zh-TW"/>
        </w:rPr>
        <w:tab/>
        <w:t xml:space="preserve">Signature: </w:t>
      </w:r>
      <w:r w:rsidRPr="00E97FC1">
        <w:rPr>
          <w:rFonts w:eastAsia="Times New Roman" w:cs="Times New Roman"/>
          <w:w w:val="99"/>
          <w:szCs w:val="24"/>
          <w:u w:val="single"/>
          <w:shd w:val="clear" w:color="auto" w:fill="FFFFFF"/>
          <w:lang w:val="en-GB" w:eastAsia="zh-TW"/>
        </w:rPr>
        <w:t xml:space="preserve"> </w:t>
      </w:r>
      <w:r w:rsidRPr="00E97FC1">
        <w:rPr>
          <w:rFonts w:eastAsia="Times New Roman" w:cs="Times New Roman"/>
          <w:szCs w:val="24"/>
          <w:u w:val="single"/>
          <w:shd w:val="clear" w:color="auto" w:fill="FFFFFF"/>
          <w:lang w:val="en-GB" w:eastAsia="zh-TW"/>
        </w:rPr>
        <w:t xml:space="preserve">        </w:t>
      </w:r>
      <w:r w:rsidRPr="00E97FC1">
        <w:rPr>
          <w:rFonts w:eastAsia="Times New Roman" w:cs="Times New Roman"/>
          <w:szCs w:val="24"/>
          <w:u w:val="single"/>
          <w:shd w:val="clear" w:color="auto" w:fill="FFFFFF"/>
          <w:lang w:val="en-GB" w:eastAsia="zh-TW"/>
        </w:rPr>
        <w:tab/>
      </w:r>
      <w:r w:rsidRPr="00E97FC1">
        <w:rPr>
          <w:rFonts w:eastAsia="Times New Roman" w:cs="Times New Roman"/>
          <w:szCs w:val="24"/>
          <w:u w:val="single"/>
          <w:shd w:val="clear" w:color="auto" w:fill="FFFFFF"/>
          <w:lang w:val="en-GB" w:eastAsia="zh-TW"/>
        </w:rPr>
        <w:tab/>
      </w:r>
      <w:r w:rsidRPr="00E97FC1">
        <w:rPr>
          <w:rFonts w:eastAsia="Times New Roman" w:cs="Times New Roman"/>
          <w:szCs w:val="24"/>
          <w:u w:val="single"/>
          <w:shd w:val="clear" w:color="auto" w:fill="FFFFFF"/>
          <w:lang w:val="en-GB" w:eastAsia="zh-TW"/>
        </w:rPr>
        <w:tab/>
        <w:t xml:space="preserve">        </w:t>
      </w:r>
      <w:r w:rsidRPr="00E97FC1">
        <w:rPr>
          <w:rFonts w:eastAsia="Times New Roman" w:cs="Times New Roman"/>
          <w:szCs w:val="24"/>
          <w:u w:val="single"/>
          <w:shd w:val="clear" w:color="auto" w:fill="FFFFFF"/>
          <w:lang w:val="en-GB" w:eastAsia="zh-TW"/>
        </w:rPr>
        <w:tab/>
      </w:r>
      <w:r w:rsidRPr="00E97FC1">
        <w:rPr>
          <w:rFonts w:eastAsia="Times New Roman" w:cs="Times New Roman"/>
          <w:szCs w:val="24"/>
          <w:u w:val="single"/>
          <w:shd w:val="clear" w:color="auto" w:fill="FFFFFF"/>
          <w:lang w:val="en-GB" w:eastAsia="zh-TW"/>
        </w:rPr>
        <w:tab/>
      </w:r>
      <w:r w:rsidRPr="00E97FC1">
        <w:rPr>
          <w:rFonts w:eastAsia="Times New Roman" w:cs="Times New Roman"/>
          <w:szCs w:val="24"/>
          <w:u w:val="single"/>
          <w:shd w:val="clear" w:color="auto" w:fill="FFFFFF"/>
          <w:lang w:val="en-GB" w:eastAsia="zh-TW"/>
        </w:rPr>
        <w:tab/>
        <w:t xml:space="preserve">                                   </w:t>
      </w:r>
      <w:r w:rsidRPr="00E97FC1">
        <w:rPr>
          <w:rFonts w:eastAsia="Times New Roman" w:cs="Times New Roman"/>
          <w:spacing w:val="-13"/>
          <w:szCs w:val="24"/>
          <w:u w:val="single"/>
          <w:shd w:val="clear" w:color="auto" w:fill="FFFFFF"/>
          <w:lang w:val="en-GB" w:eastAsia="zh-TW"/>
        </w:rPr>
        <w:t xml:space="preserve"> </w:t>
      </w:r>
    </w:p>
    <w:p w14:paraId="7C766977" w14:textId="77777777" w:rsidR="00C6715E" w:rsidRPr="00E97FC1" w:rsidRDefault="00C6715E" w:rsidP="00C6715E">
      <w:pPr>
        <w:tabs>
          <w:tab w:val="right" w:pos="1872"/>
          <w:tab w:val="left" w:pos="1944"/>
          <w:tab w:val="right" w:pos="2088"/>
          <w:tab w:val="left" w:pos="2160"/>
        </w:tabs>
        <w:autoSpaceDE w:val="0"/>
        <w:autoSpaceDN w:val="0"/>
        <w:adjustRightInd w:val="0"/>
        <w:spacing w:line="200" w:lineRule="exact"/>
        <w:ind w:left="1440" w:hanging="1440"/>
        <w:rPr>
          <w:rFonts w:eastAsia="Times New Roman" w:cs="Times New Roman"/>
          <w:szCs w:val="24"/>
          <w:shd w:val="clear" w:color="auto" w:fill="FFFFFF"/>
          <w:lang w:val="en-GB" w:eastAsia="zh-TW"/>
        </w:rPr>
      </w:pPr>
    </w:p>
    <w:p w14:paraId="65B9012D" w14:textId="77777777" w:rsidR="00C6715E" w:rsidRPr="00E97FC1" w:rsidRDefault="00C6715E" w:rsidP="00C6715E">
      <w:pPr>
        <w:tabs>
          <w:tab w:val="right" w:pos="1872"/>
          <w:tab w:val="left" w:pos="1944"/>
          <w:tab w:val="right" w:pos="2088"/>
          <w:tab w:val="left" w:pos="2160"/>
        </w:tabs>
        <w:autoSpaceDE w:val="0"/>
        <w:autoSpaceDN w:val="0"/>
        <w:adjustRightInd w:val="0"/>
        <w:spacing w:before="19"/>
        <w:ind w:left="1440" w:hanging="1440"/>
        <w:rPr>
          <w:rFonts w:eastAsia="Times New Roman" w:cs="Times New Roman"/>
          <w:b/>
          <w:bCs/>
          <w:szCs w:val="24"/>
          <w:shd w:val="clear" w:color="auto" w:fill="FFFFFF"/>
          <w:lang w:val="en-GB" w:eastAsia="zh-TW"/>
        </w:rPr>
      </w:pPr>
    </w:p>
    <w:p w14:paraId="056EFA70" w14:textId="77777777" w:rsidR="00C6715E" w:rsidRPr="00E97FC1" w:rsidRDefault="00C6715E" w:rsidP="00C6715E">
      <w:pPr>
        <w:tabs>
          <w:tab w:val="right" w:pos="2088"/>
          <w:tab w:val="left" w:pos="2160"/>
        </w:tabs>
        <w:autoSpaceDE w:val="0"/>
        <w:autoSpaceDN w:val="0"/>
        <w:adjustRightInd w:val="0"/>
        <w:spacing w:before="19"/>
        <w:rPr>
          <w:rFonts w:eastAsia="Times New Roman" w:cs="Times New Roman"/>
          <w:szCs w:val="24"/>
          <w:shd w:val="clear" w:color="auto" w:fill="FFFFFF"/>
          <w:lang w:val="en-GB" w:eastAsia="zh-TW"/>
        </w:rPr>
      </w:pPr>
      <w:r w:rsidRPr="00E97FC1">
        <w:rPr>
          <w:rFonts w:eastAsia="Times New Roman" w:cs="Times New Roman"/>
          <w:b/>
          <w:bCs/>
          <w:szCs w:val="24"/>
          <w:shd w:val="clear" w:color="auto" w:fill="FFFFFF"/>
          <w:lang w:val="en-GB" w:eastAsia="zh-TW"/>
        </w:rPr>
        <w:tab/>
        <w:t>Committee</w:t>
      </w:r>
      <w:r w:rsidRPr="00E97FC1">
        <w:rPr>
          <w:rFonts w:eastAsia="Times New Roman" w:cs="Times New Roman"/>
          <w:b/>
          <w:bCs/>
          <w:spacing w:val="-12"/>
          <w:szCs w:val="24"/>
          <w:shd w:val="clear" w:color="auto" w:fill="FFFFFF"/>
          <w:lang w:val="en-GB" w:eastAsia="zh-TW"/>
        </w:rPr>
        <w:t xml:space="preserve"> </w:t>
      </w:r>
      <w:r w:rsidRPr="00E97FC1">
        <w:rPr>
          <w:rFonts w:eastAsia="Times New Roman" w:cs="Times New Roman"/>
          <w:b/>
          <w:bCs/>
          <w:szCs w:val="24"/>
          <w:shd w:val="clear" w:color="auto" w:fill="FFFFFF"/>
          <w:lang w:val="en-GB" w:eastAsia="zh-TW"/>
        </w:rPr>
        <w:t>Member</w:t>
      </w:r>
      <w:r w:rsidRPr="00E97FC1">
        <w:rPr>
          <w:rFonts w:eastAsia="Times New Roman" w:cs="Times New Roman"/>
          <w:szCs w:val="24"/>
          <w:shd w:val="clear" w:color="auto" w:fill="FFFFFF"/>
          <w:lang w:val="en-GB" w:eastAsia="zh-TW"/>
        </w:rPr>
        <w:t>:</w:t>
      </w:r>
      <w:r w:rsidRPr="00E97FC1">
        <w:rPr>
          <w:rFonts w:eastAsia="Times New Roman" w:cs="Times New Roman"/>
          <w:spacing w:val="6"/>
          <w:szCs w:val="24"/>
          <w:shd w:val="clear" w:color="auto" w:fill="FFFFFF"/>
          <w:lang w:val="en-GB" w:eastAsia="zh-TW"/>
        </w:rPr>
        <w:t xml:space="preserve">  Florian Schur,</w:t>
      </w:r>
      <w:r w:rsidRPr="00E97FC1">
        <w:rPr>
          <w:rFonts w:eastAsia="Times New Roman" w:cs="Times New Roman"/>
          <w:spacing w:val="-12"/>
          <w:szCs w:val="24"/>
          <w:shd w:val="clear" w:color="auto" w:fill="FFFFFF"/>
          <w:lang w:val="en-GB" w:eastAsia="zh-TW"/>
        </w:rPr>
        <w:t xml:space="preserve"> </w:t>
      </w:r>
      <w:r w:rsidRPr="00E97FC1">
        <w:rPr>
          <w:rFonts w:eastAsia="Times New Roman" w:cs="Times New Roman"/>
          <w:szCs w:val="24"/>
          <w:shd w:val="clear" w:color="auto" w:fill="FFFFFF"/>
          <w:lang w:val="en-GB" w:eastAsia="zh-TW"/>
        </w:rPr>
        <w:t>IST</w:t>
      </w:r>
      <w:r w:rsidRPr="00E97FC1">
        <w:rPr>
          <w:rFonts w:eastAsia="Times New Roman" w:cs="Times New Roman"/>
          <w:spacing w:val="-4"/>
          <w:szCs w:val="24"/>
          <w:shd w:val="clear" w:color="auto" w:fill="FFFFFF"/>
          <w:lang w:val="en-GB" w:eastAsia="zh-TW"/>
        </w:rPr>
        <w:t xml:space="preserve"> </w:t>
      </w:r>
      <w:r w:rsidRPr="00E97FC1">
        <w:rPr>
          <w:rFonts w:eastAsia="Times New Roman" w:cs="Times New Roman"/>
          <w:spacing w:val="-7"/>
          <w:szCs w:val="24"/>
          <w:shd w:val="clear" w:color="auto" w:fill="FFFFFF"/>
          <w:lang w:val="en-GB" w:eastAsia="zh-TW"/>
        </w:rPr>
        <w:t>A</w:t>
      </w:r>
      <w:r w:rsidRPr="00E97FC1">
        <w:rPr>
          <w:rFonts w:eastAsia="Times New Roman" w:cs="Times New Roman"/>
          <w:szCs w:val="24"/>
          <w:shd w:val="clear" w:color="auto" w:fill="FFFFFF"/>
          <w:lang w:val="en-GB" w:eastAsia="zh-TW"/>
        </w:rPr>
        <w:t>ust</w:t>
      </w:r>
      <w:r w:rsidRPr="00E97FC1">
        <w:rPr>
          <w:rFonts w:eastAsia="Times New Roman" w:cs="Times New Roman"/>
          <w:spacing w:val="4"/>
          <w:szCs w:val="24"/>
          <w:shd w:val="clear" w:color="auto" w:fill="FFFFFF"/>
          <w:lang w:val="en-GB" w:eastAsia="zh-TW"/>
        </w:rPr>
        <w:t>r</w:t>
      </w:r>
      <w:r w:rsidRPr="00E97FC1">
        <w:rPr>
          <w:rFonts w:eastAsia="Times New Roman" w:cs="Times New Roman"/>
          <w:szCs w:val="24"/>
          <w:shd w:val="clear" w:color="auto" w:fill="FFFFFF"/>
          <w:lang w:val="en-GB" w:eastAsia="zh-TW"/>
        </w:rPr>
        <w:t>ia,</w:t>
      </w:r>
      <w:r w:rsidRPr="00E97FC1">
        <w:rPr>
          <w:rFonts w:eastAsia="Times New Roman" w:cs="Times New Roman"/>
          <w:spacing w:val="-8"/>
          <w:szCs w:val="24"/>
          <w:shd w:val="clear" w:color="auto" w:fill="FFFFFF"/>
          <w:lang w:val="en-GB" w:eastAsia="zh-TW"/>
        </w:rPr>
        <w:t xml:space="preserve"> </w:t>
      </w:r>
      <w:r w:rsidRPr="00E97FC1">
        <w:rPr>
          <w:rFonts w:eastAsia="Times New Roman" w:cs="Times New Roman"/>
          <w:szCs w:val="24"/>
          <w:shd w:val="clear" w:color="auto" w:fill="FFFFFF"/>
          <w:lang w:val="en-GB" w:eastAsia="zh-TW"/>
        </w:rPr>
        <w:t>Kloste</w:t>
      </w:r>
      <w:r w:rsidRPr="00E97FC1">
        <w:rPr>
          <w:rFonts w:eastAsia="Times New Roman" w:cs="Times New Roman"/>
          <w:spacing w:val="6"/>
          <w:szCs w:val="24"/>
          <w:shd w:val="clear" w:color="auto" w:fill="FFFFFF"/>
          <w:lang w:val="en-GB" w:eastAsia="zh-TW"/>
        </w:rPr>
        <w:t>r</w:t>
      </w:r>
      <w:r w:rsidRPr="00E97FC1">
        <w:rPr>
          <w:rFonts w:eastAsia="Times New Roman" w:cs="Times New Roman"/>
          <w:szCs w:val="24"/>
          <w:shd w:val="clear" w:color="auto" w:fill="FFFFFF"/>
          <w:lang w:val="en-GB" w:eastAsia="zh-TW"/>
        </w:rPr>
        <w:t>neu</w:t>
      </w:r>
      <w:r w:rsidRPr="00E97FC1">
        <w:rPr>
          <w:rFonts w:eastAsia="Times New Roman" w:cs="Times New Roman"/>
          <w:spacing w:val="-5"/>
          <w:szCs w:val="24"/>
          <w:shd w:val="clear" w:color="auto" w:fill="FFFFFF"/>
          <w:lang w:val="en-GB" w:eastAsia="zh-TW"/>
        </w:rPr>
        <w:t>b</w:t>
      </w:r>
      <w:r w:rsidRPr="00E97FC1">
        <w:rPr>
          <w:rFonts w:eastAsia="Times New Roman" w:cs="Times New Roman"/>
          <w:szCs w:val="24"/>
          <w:shd w:val="clear" w:color="auto" w:fill="FFFFFF"/>
          <w:lang w:val="en-GB" w:eastAsia="zh-TW"/>
        </w:rPr>
        <w:t>urg,</w:t>
      </w:r>
      <w:r w:rsidRPr="00E97FC1">
        <w:rPr>
          <w:rFonts w:eastAsia="Times New Roman" w:cs="Times New Roman"/>
          <w:spacing w:val="-17"/>
          <w:szCs w:val="24"/>
          <w:shd w:val="clear" w:color="auto" w:fill="FFFFFF"/>
          <w:lang w:val="en-GB" w:eastAsia="zh-TW"/>
        </w:rPr>
        <w:t xml:space="preserve"> </w:t>
      </w:r>
      <w:r w:rsidRPr="00E97FC1">
        <w:rPr>
          <w:rFonts w:eastAsia="Times New Roman" w:cs="Times New Roman"/>
          <w:spacing w:val="-7"/>
          <w:szCs w:val="24"/>
          <w:shd w:val="clear" w:color="auto" w:fill="FFFFFF"/>
          <w:lang w:val="en-GB" w:eastAsia="zh-TW"/>
        </w:rPr>
        <w:t>A</w:t>
      </w:r>
      <w:r w:rsidRPr="00E97FC1">
        <w:rPr>
          <w:rFonts w:eastAsia="Times New Roman" w:cs="Times New Roman"/>
          <w:szCs w:val="24"/>
          <w:shd w:val="clear" w:color="auto" w:fill="FFFFFF"/>
          <w:lang w:val="en-GB" w:eastAsia="zh-TW"/>
        </w:rPr>
        <w:t>ust</w:t>
      </w:r>
      <w:r w:rsidRPr="00E97FC1">
        <w:rPr>
          <w:rFonts w:eastAsia="Times New Roman" w:cs="Times New Roman"/>
          <w:spacing w:val="4"/>
          <w:szCs w:val="24"/>
          <w:shd w:val="clear" w:color="auto" w:fill="FFFFFF"/>
          <w:lang w:val="en-GB" w:eastAsia="zh-TW"/>
        </w:rPr>
        <w:t>r</w:t>
      </w:r>
      <w:r w:rsidRPr="00E97FC1">
        <w:rPr>
          <w:rFonts w:eastAsia="Times New Roman" w:cs="Times New Roman"/>
          <w:szCs w:val="24"/>
          <w:shd w:val="clear" w:color="auto" w:fill="FFFFFF"/>
          <w:lang w:val="en-GB" w:eastAsia="zh-TW"/>
        </w:rPr>
        <w:t>ia</w:t>
      </w:r>
    </w:p>
    <w:p w14:paraId="0D8A3B0F" w14:textId="77777777" w:rsidR="00C6715E" w:rsidRPr="00E97FC1" w:rsidRDefault="00C6715E" w:rsidP="00C6715E">
      <w:pPr>
        <w:tabs>
          <w:tab w:val="right" w:pos="1872"/>
          <w:tab w:val="left" w:pos="1944"/>
          <w:tab w:val="right" w:pos="2088"/>
          <w:tab w:val="left" w:pos="2160"/>
        </w:tabs>
        <w:autoSpaceDE w:val="0"/>
        <w:autoSpaceDN w:val="0"/>
        <w:adjustRightInd w:val="0"/>
        <w:spacing w:before="19"/>
        <w:rPr>
          <w:rFonts w:eastAsia="Times New Roman" w:cs="Times New Roman"/>
          <w:w w:val="99"/>
          <w:szCs w:val="24"/>
          <w:shd w:val="clear" w:color="auto" w:fill="FFFFFF"/>
          <w:lang w:val="en-GB" w:eastAsia="zh-TW"/>
        </w:rPr>
      </w:pPr>
    </w:p>
    <w:p w14:paraId="0B0873E9" w14:textId="77777777" w:rsidR="00C6715E" w:rsidRPr="00E97FC1" w:rsidRDefault="00C6715E" w:rsidP="00C6715E">
      <w:pPr>
        <w:tabs>
          <w:tab w:val="right" w:pos="1872"/>
          <w:tab w:val="left" w:pos="1944"/>
          <w:tab w:val="right" w:pos="2088"/>
          <w:tab w:val="left" w:pos="2160"/>
        </w:tabs>
        <w:autoSpaceDE w:val="0"/>
        <w:autoSpaceDN w:val="0"/>
        <w:adjustRightInd w:val="0"/>
        <w:spacing w:before="19"/>
        <w:ind w:left="720" w:firstLine="720"/>
        <w:rPr>
          <w:rFonts w:eastAsia="Times New Roman" w:cs="Times New Roman"/>
          <w:w w:val="99"/>
          <w:szCs w:val="24"/>
          <w:shd w:val="clear" w:color="auto" w:fill="FFFFFF"/>
          <w:lang w:val="en-GB" w:eastAsia="zh-TW"/>
        </w:rPr>
      </w:pPr>
    </w:p>
    <w:p w14:paraId="5E5373BB" w14:textId="77777777" w:rsidR="00C6715E" w:rsidRPr="00E97FC1" w:rsidRDefault="00C6715E" w:rsidP="00C6715E">
      <w:pPr>
        <w:tabs>
          <w:tab w:val="right" w:pos="2088"/>
          <w:tab w:val="left" w:pos="2160"/>
        </w:tabs>
        <w:autoSpaceDE w:val="0"/>
        <w:autoSpaceDN w:val="0"/>
        <w:adjustRightInd w:val="0"/>
        <w:ind w:left="993" w:hanging="446"/>
        <w:rPr>
          <w:rFonts w:eastAsia="Times New Roman" w:cs="Times New Roman"/>
          <w:szCs w:val="24"/>
          <w:shd w:val="clear" w:color="auto" w:fill="FFFFFF"/>
          <w:lang w:val="en-GB" w:eastAsia="zh-TW"/>
        </w:rPr>
      </w:pPr>
      <w:r w:rsidRPr="00E97FC1">
        <w:rPr>
          <w:rFonts w:eastAsia="Times New Roman" w:cs="Times New Roman"/>
          <w:w w:val="99"/>
          <w:szCs w:val="24"/>
          <w:shd w:val="clear" w:color="auto" w:fill="FFFFFF"/>
          <w:lang w:val="en-GB" w:eastAsia="zh-TW"/>
        </w:rPr>
        <w:tab/>
      </w:r>
      <w:r w:rsidRPr="00E97FC1">
        <w:rPr>
          <w:rFonts w:eastAsia="Times New Roman" w:cs="Times New Roman"/>
          <w:w w:val="99"/>
          <w:szCs w:val="24"/>
          <w:shd w:val="clear" w:color="auto" w:fill="FFFFFF"/>
          <w:lang w:val="en-GB" w:eastAsia="zh-TW"/>
        </w:rPr>
        <w:tab/>
        <w:t xml:space="preserve">Signature: </w:t>
      </w:r>
      <w:r w:rsidRPr="00E97FC1">
        <w:rPr>
          <w:rFonts w:eastAsia="Times New Roman" w:cs="Times New Roman"/>
          <w:w w:val="99"/>
          <w:szCs w:val="24"/>
          <w:u w:val="single"/>
          <w:shd w:val="clear" w:color="auto" w:fill="FFFFFF"/>
          <w:lang w:val="en-GB" w:eastAsia="zh-TW"/>
        </w:rPr>
        <w:t xml:space="preserve"> </w:t>
      </w:r>
      <w:r w:rsidRPr="00E97FC1">
        <w:rPr>
          <w:rFonts w:eastAsia="Times New Roman" w:cs="Times New Roman"/>
          <w:szCs w:val="24"/>
          <w:u w:val="single"/>
          <w:shd w:val="clear" w:color="auto" w:fill="FFFFFF"/>
          <w:lang w:val="en-GB" w:eastAsia="zh-TW"/>
        </w:rPr>
        <w:t xml:space="preserve">        </w:t>
      </w:r>
      <w:r w:rsidRPr="00E97FC1">
        <w:rPr>
          <w:rFonts w:eastAsia="Times New Roman" w:cs="Times New Roman"/>
          <w:szCs w:val="24"/>
          <w:u w:val="single"/>
          <w:shd w:val="clear" w:color="auto" w:fill="FFFFFF"/>
          <w:lang w:val="en-GB" w:eastAsia="zh-TW"/>
        </w:rPr>
        <w:tab/>
      </w:r>
      <w:r w:rsidRPr="00E97FC1">
        <w:rPr>
          <w:rFonts w:eastAsia="Times New Roman" w:cs="Times New Roman"/>
          <w:szCs w:val="24"/>
          <w:u w:val="single"/>
          <w:shd w:val="clear" w:color="auto" w:fill="FFFFFF"/>
          <w:lang w:val="en-GB" w:eastAsia="zh-TW"/>
        </w:rPr>
        <w:tab/>
      </w:r>
      <w:r w:rsidRPr="00E97FC1">
        <w:rPr>
          <w:rFonts w:eastAsia="Times New Roman" w:cs="Times New Roman"/>
          <w:szCs w:val="24"/>
          <w:u w:val="single"/>
          <w:shd w:val="clear" w:color="auto" w:fill="FFFFFF"/>
          <w:lang w:val="en-GB" w:eastAsia="zh-TW"/>
        </w:rPr>
        <w:tab/>
        <w:t xml:space="preserve">        </w:t>
      </w:r>
      <w:r w:rsidRPr="00E97FC1">
        <w:rPr>
          <w:rFonts w:eastAsia="Times New Roman" w:cs="Times New Roman"/>
          <w:szCs w:val="24"/>
          <w:u w:val="single"/>
          <w:shd w:val="clear" w:color="auto" w:fill="FFFFFF"/>
          <w:lang w:val="en-GB" w:eastAsia="zh-TW"/>
        </w:rPr>
        <w:tab/>
      </w:r>
      <w:r w:rsidRPr="00E97FC1">
        <w:rPr>
          <w:rFonts w:eastAsia="Times New Roman" w:cs="Times New Roman"/>
          <w:szCs w:val="24"/>
          <w:u w:val="single"/>
          <w:shd w:val="clear" w:color="auto" w:fill="FFFFFF"/>
          <w:lang w:val="en-GB" w:eastAsia="zh-TW"/>
        </w:rPr>
        <w:tab/>
      </w:r>
      <w:r w:rsidRPr="00E97FC1">
        <w:rPr>
          <w:rFonts w:eastAsia="Times New Roman" w:cs="Times New Roman"/>
          <w:szCs w:val="24"/>
          <w:u w:val="single"/>
          <w:shd w:val="clear" w:color="auto" w:fill="FFFFFF"/>
          <w:lang w:val="en-GB" w:eastAsia="zh-TW"/>
        </w:rPr>
        <w:tab/>
        <w:t xml:space="preserve">                                   </w:t>
      </w:r>
      <w:r w:rsidRPr="00E97FC1">
        <w:rPr>
          <w:rFonts w:eastAsia="Times New Roman" w:cs="Times New Roman"/>
          <w:spacing w:val="-13"/>
          <w:szCs w:val="24"/>
          <w:u w:val="single"/>
          <w:shd w:val="clear" w:color="auto" w:fill="FFFFFF"/>
          <w:lang w:val="en-GB" w:eastAsia="zh-TW"/>
        </w:rPr>
        <w:t xml:space="preserve"> </w:t>
      </w:r>
    </w:p>
    <w:p w14:paraId="428BAEB7" w14:textId="77777777" w:rsidR="00C6715E" w:rsidRPr="00E97FC1" w:rsidRDefault="00C6715E" w:rsidP="00C6715E">
      <w:pPr>
        <w:tabs>
          <w:tab w:val="right" w:pos="1872"/>
          <w:tab w:val="left" w:pos="1944"/>
          <w:tab w:val="right" w:pos="2088"/>
          <w:tab w:val="left" w:pos="2160"/>
        </w:tabs>
        <w:autoSpaceDE w:val="0"/>
        <w:autoSpaceDN w:val="0"/>
        <w:adjustRightInd w:val="0"/>
        <w:spacing w:line="200" w:lineRule="exact"/>
        <w:ind w:left="1440" w:hanging="1440"/>
        <w:rPr>
          <w:rFonts w:eastAsia="Times New Roman" w:cs="Times New Roman"/>
          <w:szCs w:val="24"/>
          <w:shd w:val="clear" w:color="auto" w:fill="FFFFFF"/>
          <w:lang w:val="en-GB" w:eastAsia="zh-TW"/>
        </w:rPr>
      </w:pPr>
    </w:p>
    <w:p w14:paraId="03BA7DE6" w14:textId="77777777" w:rsidR="00C6715E" w:rsidRPr="00E97FC1" w:rsidRDefault="00C6715E" w:rsidP="00C6715E">
      <w:pPr>
        <w:tabs>
          <w:tab w:val="right" w:pos="1872"/>
          <w:tab w:val="left" w:pos="1944"/>
          <w:tab w:val="right" w:pos="2088"/>
          <w:tab w:val="left" w:pos="2160"/>
        </w:tabs>
        <w:autoSpaceDE w:val="0"/>
        <w:autoSpaceDN w:val="0"/>
        <w:adjustRightInd w:val="0"/>
        <w:spacing w:line="200" w:lineRule="exact"/>
        <w:ind w:left="1440" w:hanging="1440"/>
        <w:rPr>
          <w:rFonts w:eastAsia="Times New Roman" w:cs="Times New Roman"/>
          <w:szCs w:val="24"/>
          <w:shd w:val="clear" w:color="auto" w:fill="FFFFFF"/>
          <w:lang w:val="en-GB" w:eastAsia="zh-TW"/>
        </w:rPr>
      </w:pPr>
    </w:p>
    <w:p w14:paraId="247C84BF" w14:textId="77777777" w:rsidR="00C6715E" w:rsidRPr="00E97FC1" w:rsidRDefault="00C6715E" w:rsidP="00C6715E">
      <w:pPr>
        <w:tabs>
          <w:tab w:val="right" w:pos="1872"/>
          <w:tab w:val="left" w:pos="1944"/>
          <w:tab w:val="right" w:pos="2088"/>
          <w:tab w:val="left" w:pos="2160"/>
        </w:tabs>
        <w:autoSpaceDE w:val="0"/>
        <w:autoSpaceDN w:val="0"/>
        <w:adjustRightInd w:val="0"/>
        <w:spacing w:before="19"/>
        <w:ind w:left="1440" w:hanging="1440"/>
        <w:rPr>
          <w:rFonts w:eastAsia="Times New Roman" w:cs="Times New Roman"/>
          <w:szCs w:val="24"/>
          <w:shd w:val="clear" w:color="auto" w:fill="FFFFFF"/>
          <w:lang w:val="en-GB" w:eastAsia="zh-TW"/>
        </w:rPr>
      </w:pPr>
      <w:r w:rsidRPr="00E97FC1">
        <w:rPr>
          <w:rFonts w:eastAsia="Times New Roman" w:cs="Times New Roman"/>
          <w:b/>
          <w:bCs/>
          <w:szCs w:val="24"/>
          <w:shd w:val="clear" w:color="auto" w:fill="FFFFFF"/>
          <w:lang w:val="en-GB" w:eastAsia="zh-TW"/>
        </w:rPr>
        <w:t>Committee</w:t>
      </w:r>
      <w:r w:rsidRPr="00E97FC1">
        <w:rPr>
          <w:rFonts w:eastAsia="Times New Roman" w:cs="Times New Roman"/>
          <w:b/>
          <w:bCs/>
          <w:spacing w:val="-12"/>
          <w:szCs w:val="24"/>
          <w:shd w:val="clear" w:color="auto" w:fill="FFFFFF"/>
          <w:lang w:val="en-GB" w:eastAsia="zh-TW"/>
        </w:rPr>
        <w:t xml:space="preserve"> </w:t>
      </w:r>
      <w:r w:rsidRPr="00E97FC1">
        <w:rPr>
          <w:rFonts w:eastAsia="Times New Roman" w:cs="Times New Roman"/>
          <w:b/>
          <w:bCs/>
          <w:szCs w:val="24"/>
          <w:shd w:val="clear" w:color="auto" w:fill="FFFFFF"/>
          <w:lang w:val="en-GB" w:eastAsia="zh-TW"/>
        </w:rPr>
        <w:t>Member</w:t>
      </w:r>
      <w:r w:rsidRPr="00E97FC1">
        <w:rPr>
          <w:rFonts w:eastAsia="Times New Roman" w:cs="Times New Roman"/>
          <w:szCs w:val="24"/>
          <w:shd w:val="clear" w:color="auto" w:fill="FFFFFF"/>
          <w:lang w:val="en-GB" w:eastAsia="zh-TW"/>
        </w:rPr>
        <w:t>: Clemens Plaschka</w:t>
      </w:r>
      <w:r w:rsidRPr="00E97FC1">
        <w:rPr>
          <w:rFonts w:eastAsia="Times New Roman" w:cs="Times New Roman"/>
          <w:spacing w:val="6"/>
          <w:szCs w:val="24"/>
          <w:shd w:val="clear" w:color="auto" w:fill="FFFFFF"/>
          <w:lang w:val="en-GB" w:eastAsia="zh-TW"/>
        </w:rPr>
        <w:t>, Research Institute of Molecular Pathology</w:t>
      </w:r>
      <w:r w:rsidRPr="00E97FC1">
        <w:rPr>
          <w:rFonts w:eastAsia="Times New Roman" w:cs="Times New Roman"/>
          <w:szCs w:val="24"/>
          <w:shd w:val="clear" w:color="auto" w:fill="FFFFFF"/>
          <w:lang w:val="en-GB" w:eastAsia="zh-TW"/>
        </w:rPr>
        <w:t>,</w:t>
      </w:r>
      <w:r w:rsidRPr="00E97FC1">
        <w:rPr>
          <w:rFonts w:eastAsia="Times New Roman" w:cs="Times New Roman"/>
          <w:spacing w:val="-9"/>
          <w:szCs w:val="24"/>
          <w:shd w:val="clear" w:color="auto" w:fill="FFFFFF"/>
          <w:lang w:val="en-GB" w:eastAsia="zh-TW"/>
        </w:rPr>
        <w:t xml:space="preserve"> Vienna</w:t>
      </w:r>
      <w:r w:rsidRPr="00E97FC1">
        <w:rPr>
          <w:rFonts w:eastAsia="Times New Roman" w:cs="Times New Roman"/>
          <w:szCs w:val="24"/>
          <w:shd w:val="clear" w:color="auto" w:fill="FFFFFF"/>
          <w:lang w:val="en-GB" w:eastAsia="zh-TW"/>
        </w:rPr>
        <w:t>,</w:t>
      </w:r>
      <w:r w:rsidRPr="00E97FC1">
        <w:rPr>
          <w:rFonts w:eastAsia="Times New Roman" w:cs="Times New Roman"/>
          <w:spacing w:val="-5"/>
          <w:szCs w:val="24"/>
          <w:shd w:val="clear" w:color="auto" w:fill="FFFFFF"/>
          <w:lang w:val="en-GB" w:eastAsia="zh-TW"/>
        </w:rPr>
        <w:t xml:space="preserve"> Austria </w:t>
      </w:r>
    </w:p>
    <w:p w14:paraId="57FD62F6" w14:textId="77777777" w:rsidR="00C6715E" w:rsidRPr="00E97FC1" w:rsidRDefault="00C6715E" w:rsidP="00C6715E">
      <w:pPr>
        <w:tabs>
          <w:tab w:val="right" w:pos="1872"/>
          <w:tab w:val="left" w:pos="1944"/>
          <w:tab w:val="right" w:pos="2088"/>
          <w:tab w:val="left" w:pos="2160"/>
        </w:tabs>
        <w:autoSpaceDE w:val="0"/>
        <w:autoSpaceDN w:val="0"/>
        <w:adjustRightInd w:val="0"/>
        <w:spacing w:line="200" w:lineRule="exact"/>
        <w:ind w:left="1440" w:hanging="1440"/>
        <w:rPr>
          <w:rFonts w:eastAsia="Times New Roman" w:cs="Times New Roman"/>
          <w:szCs w:val="24"/>
          <w:shd w:val="clear" w:color="auto" w:fill="FFFFFF"/>
          <w:lang w:val="en-GB" w:eastAsia="zh-TW"/>
        </w:rPr>
      </w:pPr>
    </w:p>
    <w:p w14:paraId="2ECA4D76" w14:textId="77777777" w:rsidR="00C6715E" w:rsidRPr="00E97FC1" w:rsidRDefault="00C6715E" w:rsidP="00C6715E">
      <w:pPr>
        <w:tabs>
          <w:tab w:val="right" w:pos="1872"/>
          <w:tab w:val="left" w:pos="1944"/>
          <w:tab w:val="right" w:pos="2088"/>
          <w:tab w:val="left" w:pos="2160"/>
        </w:tabs>
        <w:autoSpaceDE w:val="0"/>
        <w:autoSpaceDN w:val="0"/>
        <w:adjustRightInd w:val="0"/>
        <w:ind w:left="1440"/>
        <w:rPr>
          <w:rFonts w:eastAsia="Times New Roman" w:cs="Times New Roman"/>
          <w:w w:val="99"/>
          <w:szCs w:val="24"/>
          <w:shd w:val="clear" w:color="auto" w:fill="FFFFFF"/>
          <w:lang w:val="en-GB" w:eastAsia="zh-TW"/>
        </w:rPr>
      </w:pPr>
    </w:p>
    <w:p w14:paraId="220A7665" w14:textId="77777777" w:rsidR="00C6715E" w:rsidRPr="00E97FC1" w:rsidRDefault="00C6715E" w:rsidP="00C6715E">
      <w:pPr>
        <w:tabs>
          <w:tab w:val="right" w:pos="2088"/>
          <w:tab w:val="left" w:pos="2160"/>
        </w:tabs>
        <w:autoSpaceDE w:val="0"/>
        <w:autoSpaceDN w:val="0"/>
        <w:adjustRightInd w:val="0"/>
        <w:ind w:left="993" w:hanging="446"/>
        <w:rPr>
          <w:rFonts w:eastAsia="Times New Roman" w:cs="Times New Roman"/>
          <w:szCs w:val="24"/>
          <w:shd w:val="clear" w:color="auto" w:fill="FFFFFF"/>
          <w:lang w:val="en-GB" w:eastAsia="zh-TW"/>
        </w:rPr>
      </w:pPr>
      <w:r w:rsidRPr="00E97FC1">
        <w:rPr>
          <w:rFonts w:eastAsia="Times New Roman" w:cs="Times New Roman"/>
          <w:w w:val="99"/>
          <w:szCs w:val="24"/>
          <w:shd w:val="clear" w:color="auto" w:fill="FFFFFF"/>
          <w:lang w:val="en-GB" w:eastAsia="zh-TW"/>
        </w:rPr>
        <w:tab/>
      </w:r>
      <w:r w:rsidRPr="00E97FC1">
        <w:rPr>
          <w:rFonts w:eastAsia="Times New Roman" w:cs="Times New Roman"/>
          <w:w w:val="99"/>
          <w:szCs w:val="24"/>
          <w:shd w:val="clear" w:color="auto" w:fill="FFFFFF"/>
          <w:lang w:val="en-GB" w:eastAsia="zh-TW"/>
        </w:rPr>
        <w:tab/>
        <w:t>Signature:</w:t>
      </w:r>
      <w:r w:rsidRPr="00E97FC1">
        <w:rPr>
          <w:rFonts w:eastAsia="Times New Roman" w:cs="Times New Roman"/>
          <w:spacing w:val="16"/>
          <w:szCs w:val="24"/>
          <w:shd w:val="clear" w:color="auto" w:fill="FFFFFF"/>
          <w:lang w:val="en-GB" w:eastAsia="zh-TW"/>
        </w:rPr>
        <w:tab/>
      </w:r>
      <w:r w:rsidRPr="00E97FC1">
        <w:rPr>
          <w:rFonts w:eastAsia="Times New Roman" w:cs="Times New Roman"/>
          <w:w w:val="99"/>
          <w:szCs w:val="24"/>
          <w:u w:val="single"/>
          <w:shd w:val="clear" w:color="auto" w:fill="FFFFFF"/>
          <w:lang w:val="en-GB" w:eastAsia="zh-TW"/>
        </w:rPr>
        <w:t xml:space="preserve"> </w:t>
      </w:r>
      <w:r w:rsidRPr="00E97FC1">
        <w:rPr>
          <w:rFonts w:eastAsia="Times New Roman" w:cs="Times New Roman"/>
          <w:szCs w:val="24"/>
          <w:u w:val="single"/>
          <w:shd w:val="clear" w:color="auto" w:fill="FFFFFF"/>
          <w:lang w:val="en-GB" w:eastAsia="zh-TW"/>
        </w:rPr>
        <w:t xml:space="preserve">        </w:t>
      </w:r>
      <w:r w:rsidRPr="00E97FC1">
        <w:rPr>
          <w:rFonts w:eastAsia="Times New Roman" w:cs="Times New Roman"/>
          <w:szCs w:val="24"/>
          <w:u w:val="single"/>
          <w:shd w:val="clear" w:color="auto" w:fill="FFFFFF"/>
          <w:lang w:val="en-GB" w:eastAsia="zh-TW"/>
        </w:rPr>
        <w:tab/>
      </w:r>
      <w:r w:rsidRPr="00E97FC1">
        <w:rPr>
          <w:rFonts w:eastAsia="Times New Roman" w:cs="Times New Roman"/>
          <w:szCs w:val="24"/>
          <w:u w:val="single"/>
          <w:shd w:val="clear" w:color="auto" w:fill="FFFFFF"/>
          <w:lang w:val="en-GB" w:eastAsia="zh-TW"/>
        </w:rPr>
        <w:tab/>
      </w:r>
      <w:r w:rsidRPr="00E97FC1">
        <w:rPr>
          <w:rFonts w:eastAsia="Times New Roman" w:cs="Times New Roman"/>
          <w:szCs w:val="24"/>
          <w:u w:val="single"/>
          <w:shd w:val="clear" w:color="auto" w:fill="FFFFFF"/>
          <w:lang w:val="en-GB" w:eastAsia="zh-TW"/>
        </w:rPr>
        <w:tab/>
        <w:t xml:space="preserve">        </w:t>
      </w:r>
      <w:r w:rsidRPr="00E97FC1">
        <w:rPr>
          <w:rFonts w:eastAsia="Times New Roman" w:cs="Times New Roman"/>
          <w:szCs w:val="24"/>
          <w:u w:val="single"/>
          <w:shd w:val="clear" w:color="auto" w:fill="FFFFFF"/>
          <w:lang w:val="en-GB" w:eastAsia="zh-TW"/>
        </w:rPr>
        <w:tab/>
      </w:r>
      <w:r w:rsidRPr="00E97FC1">
        <w:rPr>
          <w:rFonts w:eastAsia="Times New Roman" w:cs="Times New Roman"/>
          <w:szCs w:val="24"/>
          <w:u w:val="single"/>
          <w:shd w:val="clear" w:color="auto" w:fill="FFFFFF"/>
          <w:lang w:val="en-GB" w:eastAsia="zh-TW"/>
        </w:rPr>
        <w:tab/>
      </w:r>
      <w:r w:rsidRPr="00E97FC1">
        <w:rPr>
          <w:rFonts w:eastAsia="Times New Roman" w:cs="Times New Roman"/>
          <w:szCs w:val="24"/>
          <w:u w:val="single"/>
          <w:shd w:val="clear" w:color="auto" w:fill="FFFFFF"/>
          <w:lang w:val="en-GB" w:eastAsia="zh-TW"/>
        </w:rPr>
        <w:tab/>
        <w:t xml:space="preserve">                                   </w:t>
      </w:r>
      <w:r w:rsidRPr="00E97FC1">
        <w:rPr>
          <w:rFonts w:eastAsia="Times New Roman" w:cs="Times New Roman"/>
          <w:spacing w:val="-13"/>
          <w:szCs w:val="24"/>
          <w:u w:val="single"/>
          <w:shd w:val="clear" w:color="auto" w:fill="FFFFFF"/>
          <w:lang w:val="en-GB" w:eastAsia="zh-TW"/>
        </w:rPr>
        <w:t xml:space="preserve"> </w:t>
      </w:r>
    </w:p>
    <w:p w14:paraId="066CC1F5" w14:textId="77777777" w:rsidR="00C6715E" w:rsidRPr="00E97FC1" w:rsidRDefault="00C6715E" w:rsidP="00C6715E">
      <w:pPr>
        <w:tabs>
          <w:tab w:val="right" w:pos="1872"/>
          <w:tab w:val="left" w:pos="1944"/>
          <w:tab w:val="right" w:pos="2088"/>
          <w:tab w:val="left" w:pos="2160"/>
        </w:tabs>
        <w:autoSpaceDE w:val="0"/>
        <w:autoSpaceDN w:val="0"/>
        <w:adjustRightInd w:val="0"/>
        <w:rPr>
          <w:rFonts w:eastAsia="Times New Roman" w:cs="Times New Roman"/>
          <w:szCs w:val="24"/>
          <w:shd w:val="clear" w:color="auto" w:fill="FFFFFF"/>
          <w:lang w:val="en-GB" w:eastAsia="zh-TW"/>
        </w:rPr>
      </w:pPr>
      <w:r w:rsidRPr="00E97FC1">
        <w:rPr>
          <w:rFonts w:eastAsia="Times New Roman" w:cs="Times New Roman"/>
          <w:szCs w:val="24"/>
          <w:u w:val="single"/>
          <w:shd w:val="clear" w:color="auto" w:fill="FFFFFF"/>
          <w:lang w:val="en-GB" w:eastAsia="zh-TW"/>
        </w:rPr>
        <w:t xml:space="preserve">                               </w:t>
      </w:r>
      <w:r w:rsidRPr="00E97FC1">
        <w:rPr>
          <w:rFonts w:eastAsia="Times New Roman" w:cs="Times New Roman"/>
          <w:spacing w:val="-13"/>
          <w:szCs w:val="24"/>
          <w:u w:val="single"/>
          <w:shd w:val="clear" w:color="auto" w:fill="FFFFFF"/>
          <w:lang w:val="en-GB" w:eastAsia="zh-TW"/>
        </w:rPr>
        <w:t xml:space="preserve"> </w:t>
      </w:r>
    </w:p>
    <w:p w14:paraId="15598F80" w14:textId="77777777" w:rsidR="00C6715E" w:rsidRPr="00E97FC1" w:rsidRDefault="00C6715E" w:rsidP="00C6715E">
      <w:pPr>
        <w:tabs>
          <w:tab w:val="right" w:pos="1872"/>
          <w:tab w:val="left" w:pos="1944"/>
          <w:tab w:val="right" w:pos="2088"/>
          <w:tab w:val="left" w:pos="2160"/>
        </w:tabs>
        <w:autoSpaceDE w:val="0"/>
        <w:autoSpaceDN w:val="0"/>
        <w:adjustRightInd w:val="0"/>
        <w:spacing w:before="19"/>
        <w:ind w:left="1440" w:hanging="1440"/>
        <w:rPr>
          <w:rFonts w:eastAsia="Times New Roman" w:cs="Times New Roman"/>
          <w:b/>
          <w:bCs/>
          <w:szCs w:val="24"/>
          <w:shd w:val="clear" w:color="auto" w:fill="FFFFFF"/>
          <w:lang w:val="en-GB" w:eastAsia="zh-TW"/>
        </w:rPr>
      </w:pPr>
    </w:p>
    <w:p w14:paraId="27E2DD85" w14:textId="43B6FC37" w:rsidR="00C6715E" w:rsidRPr="00E97FC1" w:rsidRDefault="00C12B16" w:rsidP="00C6715E">
      <w:pPr>
        <w:tabs>
          <w:tab w:val="right" w:pos="2088"/>
          <w:tab w:val="left" w:pos="2160"/>
        </w:tabs>
        <w:autoSpaceDE w:val="0"/>
        <w:autoSpaceDN w:val="0"/>
        <w:adjustRightInd w:val="0"/>
        <w:spacing w:before="19"/>
        <w:rPr>
          <w:rFonts w:eastAsia="Times New Roman" w:cs="Times New Roman"/>
          <w:szCs w:val="24"/>
          <w:shd w:val="clear" w:color="auto" w:fill="FFFFFF"/>
          <w:lang w:val="en-GB" w:eastAsia="zh-TW"/>
        </w:rPr>
      </w:pPr>
      <w:r>
        <w:rPr>
          <w:rFonts w:eastAsia="Times New Roman" w:cs="Times New Roman"/>
          <w:b/>
          <w:bCs/>
          <w:szCs w:val="24"/>
          <w:shd w:val="clear" w:color="auto" w:fill="FFFFFF"/>
          <w:lang w:val="en-GB" w:eastAsia="zh-TW"/>
        </w:rPr>
        <w:tab/>
        <w:t>Defense</w:t>
      </w:r>
      <w:r w:rsidR="00C6715E" w:rsidRPr="00E97FC1">
        <w:rPr>
          <w:rFonts w:eastAsia="Times New Roman" w:cs="Times New Roman"/>
          <w:b/>
          <w:bCs/>
          <w:spacing w:val="-10"/>
          <w:szCs w:val="24"/>
          <w:shd w:val="clear" w:color="auto" w:fill="FFFFFF"/>
          <w:lang w:val="en-GB" w:eastAsia="zh-TW"/>
        </w:rPr>
        <w:t xml:space="preserve"> </w:t>
      </w:r>
      <w:r w:rsidR="00C6715E" w:rsidRPr="00E97FC1">
        <w:rPr>
          <w:rFonts w:eastAsia="Times New Roman" w:cs="Times New Roman"/>
          <w:b/>
          <w:bCs/>
          <w:szCs w:val="24"/>
          <w:shd w:val="clear" w:color="auto" w:fill="FFFFFF"/>
          <w:lang w:val="en-GB" w:eastAsia="zh-TW"/>
        </w:rPr>
        <w:t>Chair</w:t>
      </w:r>
      <w:r w:rsidR="00C6715E" w:rsidRPr="00E97FC1">
        <w:rPr>
          <w:rFonts w:eastAsia="Times New Roman" w:cs="Times New Roman"/>
          <w:szCs w:val="24"/>
          <w:shd w:val="clear" w:color="auto" w:fill="FFFFFF"/>
          <w:lang w:val="en-GB" w:eastAsia="zh-TW"/>
        </w:rPr>
        <w:t>:</w:t>
      </w:r>
      <w:r w:rsidR="00C6715E" w:rsidRPr="00E97FC1">
        <w:rPr>
          <w:rFonts w:eastAsia="Times New Roman" w:cs="Times New Roman"/>
          <w:szCs w:val="24"/>
          <w:shd w:val="clear" w:color="auto" w:fill="FFFFFF"/>
          <w:lang w:val="en-GB" w:eastAsia="zh-TW"/>
        </w:rPr>
        <w:tab/>
      </w:r>
      <w:r w:rsidR="00C6715E" w:rsidRPr="00FC5E18">
        <w:rPr>
          <w:rFonts w:eastAsia="Times New Roman" w:cs="Times New Roman"/>
          <w:szCs w:val="24"/>
          <w:shd w:val="clear" w:color="auto" w:fill="FFFFFF"/>
          <w:lang w:val="en-GB" w:eastAsia="zh-TW"/>
        </w:rPr>
        <w:t>Ryuichi Shigemoto</w:t>
      </w:r>
      <w:r w:rsidR="00C6715E" w:rsidRPr="00E97FC1">
        <w:rPr>
          <w:rFonts w:eastAsia="Times New Roman" w:cs="Times New Roman"/>
          <w:szCs w:val="24"/>
          <w:shd w:val="clear" w:color="auto" w:fill="FFFFFF"/>
          <w:lang w:val="en-GB" w:eastAsia="zh-TW"/>
        </w:rPr>
        <w:t>, IST</w:t>
      </w:r>
      <w:r w:rsidR="00C6715E" w:rsidRPr="00E97FC1">
        <w:rPr>
          <w:rFonts w:eastAsia="Times New Roman" w:cs="Times New Roman"/>
          <w:spacing w:val="-4"/>
          <w:szCs w:val="24"/>
          <w:shd w:val="clear" w:color="auto" w:fill="FFFFFF"/>
          <w:lang w:val="en-GB" w:eastAsia="zh-TW"/>
        </w:rPr>
        <w:t xml:space="preserve"> </w:t>
      </w:r>
      <w:r w:rsidR="00C6715E" w:rsidRPr="00E97FC1">
        <w:rPr>
          <w:rFonts w:eastAsia="Times New Roman" w:cs="Times New Roman"/>
          <w:spacing w:val="-7"/>
          <w:szCs w:val="24"/>
          <w:shd w:val="clear" w:color="auto" w:fill="FFFFFF"/>
          <w:lang w:val="en-GB" w:eastAsia="zh-TW"/>
        </w:rPr>
        <w:t>A</w:t>
      </w:r>
      <w:r w:rsidR="00C6715E" w:rsidRPr="00E97FC1">
        <w:rPr>
          <w:rFonts w:eastAsia="Times New Roman" w:cs="Times New Roman"/>
          <w:szCs w:val="24"/>
          <w:shd w:val="clear" w:color="auto" w:fill="FFFFFF"/>
          <w:lang w:val="en-GB" w:eastAsia="zh-TW"/>
        </w:rPr>
        <w:t>ust</w:t>
      </w:r>
      <w:r w:rsidR="00C6715E" w:rsidRPr="00E97FC1">
        <w:rPr>
          <w:rFonts w:eastAsia="Times New Roman" w:cs="Times New Roman"/>
          <w:spacing w:val="4"/>
          <w:szCs w:val="24"/>
          <w:shd w:val="clear" w:color="auto" w:fill="FFFFFF"/>
          <w:lang w:val="en-GB" w:eastAsia="zh-TW"/>
        </w:rPr>
        <w:t>r</w:t>
      </w:r>
      <w:r w:rsidR="00C6715E" w:rsidRPr="00E97FC1">
        <w:rPr>
          <w:rFonts w:eastAsia="Times New Roman" w:cs="Times New Roman"/>
          <w:szCs w:val="24"/>
          <w:shd w:val="clear" w:color="auto" w:fill="FFFFFF"/>
          <w:lang w:val="en-GB" w:eastAsia="zh-TW"/>
        </w:rPr>
        <w:t>ia,</w:t>
      </w:r>
      <w:r w:rsidR="00C6715E" w:rsidRPr="00E97FC1">
        <w:rPr>
          <w:rFonts w:eastAsia="Times New Roman" w:cs="Times New Roman"/>
          <w:spacing w:val="-8"/>
          <w:szCs w:val="24"/>
          <w:shd w:val="clear" w:color="auto" w:fill="FFFFFF"/>
          <w:lang w:val="en-GB" w:eastAsia="zh-TW"/>
        </w:rPr>
        <w:t xml:space="preserve"> </w:t>
      </w:r>
      <w:r w:rsidR="00C6715E" w:rsidRPr="00E97FC1">
        <w:rPr>
          <w:rFonts w:eastAsia="Times New Roman" w:cs="Times New Roman"/>
          <w:szCs w:val="24"/>
          <w:shd w:val="clear" w:color="auto" w:fill="FFFFFF"/>
          <w:lang w:val="en-GB" w:eastAsia="zh-TW"/>
        </w:rPr>
        <w:t>Kloste</w:t>
      </w:r>
      <w:r w:rsidR="00C6715E" w:rsidRPr="00E97FC1">
        <w:rPr>
          <w:rFonts w:eastAsia="Times New Roman" w:cs="Times New Roman"/>
          <w:spacing w:val="6"/>
          <w:szCs w:val="24"/>
          <w:shd w:val="clear" w:color="auto" w:fill="FFFFFF"/>
          <w:lang w:val="en-GB" w:eastAsia="zh-TW"/>
        </w:rPr>
        <w:t>r</w:t>
      </w:r>
      <w:r w:rsidR="00C6715E" w:rsidRPr="00E97FC1">
        <w:rPr>
          <w:rFonts w:eastAsia="Times New Roman" w:cs="Times New Roman"/>
          <w:szCs w:val="24"/>
          <w:shd w:val="clear" w:color="auto" w:fill="FFFFFF"/>
          <w:lang w:val="en-GB" w:eastAsia="zh-TW"/>
        </w:rPr>
        <w:t>neu</w:t>
      </w:r>
      <w:r w:rsidR="00C6715E" w:rsidRPr="00E97FC1">
        <w:rPr>
          <w:rFonts w:eastAsia="Times New Roman" w:cs="Times New Roman"/>
          <w:spacing w:val="-5"/>
          <w:szCs w:val="24"/>
          <w:shd w:val="clear" w:color="auto" w:fill="FFFFFF"/>
          <w:lang w:val="en-GB" w:eastAsia="zh-TW"/>
        </w:rPr>
        <w:t>b</w:t>
      </w:r>
      <w:r w:rsidR="00C6715E" w:rsidRPr="00E97FC1">
        <w:rPr>
          <w:rFonts w:eastAsia="Times New Roman" w:cs="Times New Roman"/>
          <w:szCs w:val="24"/>
          <w:shd w:val="clear" w:color="auto" w:fill="FFFFFF"/>
          <w:lang w:val="en-GB" w:eastAsia="zh-TW"/>
        </w:rPr>
        <w:t>urg,</w:t>
      </w:r>
      <w:r w:rsidR="00C6715E" w:rsidRPr="00E97FC1">
        <w:rPr>
          <w:rFonts w:eastAsia="Times New Roman" w:cs="Times New Roman"/>
          <w:spacing w:val="-17"/>
          <w:szCs w:val="24"/>
          <w:shd w:val="clear" w:color="auto" w:fill="FFFFFF"/>
          <w:lang w:val="en-GB" w:eastAsia="zh-TW"/>
        </w:rPr>
        <w:t xml:space="preserve"> </w:t>
      </w:r>
      <w:r w:rsidR="00C6715E" w:rsidRPr="00E97FC1">
        <w:rPr>
          <w:rFonts w:eastAsia="Times New Roman" w:cs="Times New Roman"/>
          <w:spacing w:val="-7"/>
          <w:szCs w:val="24"/>
          <w:shd w:val="clear" w:color="auto" w:fill="FFFFFF"/>
          <w:lang w:val="en-GB" w:eastAsia="zh-TW"/>
        </w:rPr>
        <w:t>A</w:t>
      </w:r>
      <w:r w:rsidR="00C6715E" w:rsidRPr="00E97FC1">
        <w:rPr>
          <w:rFonts w:eastAsia="Times New Roman" w:cs="Times New Roman"/>
          <w:szCs w:val="24"/>
          <w:shd w:val="clear" w:color="auto" w:fill="FFFFFF"/>
          <w:lang w:val="en-GB" w:eastAsia="zh-TW"/>
        </w:rPr>
        <w:t>ust</w:t>
      </w:r>
      <w:r w:rsidR="00C6715E" w:rsidRPr="00E97FC1">
        <w:rPr>
          <w:rFonts w:eastAsia="Times New Roman" w:cs="Times New Roman"/>
          <w:spacing w:val="4"/>
          <w:szCs w:val="24"/>
          <w:shd w:val="clear" w:color="auto" w:fill="FFFFFF"/>
          <w:lang w:val="en-GB" w:eastAsia="zh-TW"/>
        </w:rPr>
        <w:t>r</w:t>
      </w:r>
      <w:r w:rsidR="00C6715E" w:rsidRPr="00E97FC1">
        <w:rPr>
          <w:rFonts w:eastAsia="Times New Roman" w:cs="Times New Roman"/>
          <w:szCs w:val="24"/>
          <w:shd w:val="clear" w:color="auto" w:fill="FFFFFF"/>
          <w:lang w:val="en-GB" w:eastAsia="zh-TW"/>
        </w:rPr>
        <w:t>ia</w:t>
      </w:r>
    </w:p>
    <w:p w14:paraId="4558FDC0" w14:textId="77777777" w:rsidR="00C6715E" w:rsidRPr="00E97FC1" w:rsidRDefault="00C6715E" w:rsidP="00C6715E">
      <w:pPr>
        <w:tabs>
          <w:tab w:val="right" w:pos="1872"/>
          <w:tab w:val="left" w:pos="1944"/>
          <w:tab w:val="right" w:pos="2088"/>
          <w:tab w:val="left" w:pos="2160"/>
        </w:tabs>
        <w:autoSpaceDE w:val="0"/>
        <w:autoSpaceDN w:val="0"/>
        <w:adjustRightInd w:val="0"/>
        <w:spacing w:line="200" w:lineRule="exact"/>
        <w:ind w:left="1440" w:hanging="1440"/>
        <w:rPr>
          <w:rFonts w:eastAsia="Times New Roman" w:cs="Times New Roman"/>
          <w:szCs w:val="24"/>
          <w:shd w:val="clear" w:color="auto" w:fill="FFFFFF"/>
          <w:lang w:val="en-GB" w:eastAsia="zh-TW"/>
        </w:rPr>
      </w:pPr>
    </w:p>
    <w:p w14:paraId="020B7EB4" w14:textId="77777777" w:rsidR="00C6715E" w:rsidRPr="00E97FC1" w:rsidRDefault="00C6715E" w:rsidP="00C6715E">
      <w:pPr>
        <w:tabs>
          <w:tab w:val="right" w:pos="1872"/>
          <w:tab w:val="left" w:pos="1944"/>
          <w:tab w:val="right" w:pos="2088"/>
          <w:tab w:val="left" w:pos="2160"/>
        </w:tabs>
        <w:autoSpaceDE w:val="0"/>
        <w:autoSpaceDN w:val="0"/>
        <w:adjustRightInd w:val="0"/>
        <w:spacing w:line="200" w:lineRule="exact"/>
        <w:ind w:left="1440" w:hanging="1440"/>
        <w:rPr>
          <w:rFonts w:eastAsia="Times New Roman" w:cs="Times New Roman"/>
          <w:szCs w:val="24"/>
          <w:shd w:val="clear" w:color="auto" w:fill="FFFFFF"/>
          <w:lang w:val="en-GB" w:eastAsia="zh-TW"/>
        </w:rPr>
      </w:pPr>
    </w:p>
    <w:p w14:paraId="0E086B9A" w14:textId="77777777" w:rsidR="00C6715E" w:rsidRPr="00E97FC1" w:rsidRDefault="00C6715E" w:rsidP="00C6715E">
      <w:pPr>
        <w:tabs>
          <w:tab w:val="right" w:pos="2088"/>
          <w:tab w:val="left" w:pos="2160"/>
        </w:tabs>
        <w:autoSpaceDE w:val="0"/>
        <w:autoSpaceDN w:val="0"/>
        <w:adjustRightInd w:val="0"/>
        <w:rPr>
          <w:rFonts w:eastAsia="Times New Roman" w:cs="Times New Roman"/>
          <w:shd w:val="clear" w:color="auto" w:fill="FFFFFF"/>
          <w:lang w:val="en-GB" w:eastAsia="zh-TW"/>
        </w:rPr>
      </w:pPr>
      <w:r w:rsidRPr="00E97FC1">
        <w:rPr>
          <w:rFonts w:eastAsia="Times New Roman" w:cs="Times New Roman"/>
          <w:w w:val="99"/>
          <w:szCs w:val="24"/>
          <w:shd w:val="clear" w:color="auto" w:fill="FFFFFF"/>
          <w:lang w:val="en-GB" w:eastAsia="zh-TW"/>
        </w:rPr>
        <w:tab/>
        <w:t>Signature:</w:t>
      </w:r>
      <w:r w:rsidRPr="00E97FC1">
        <w:rPr>
          <w:rFonts w:eastAsia="Times New Roman" w:cs="Times New Roman"/>
          <w:w w:val="99"/>
          <w:szCs w:val="24"/>
          <w:shd w:val="clear" w:color="auto" w:fill="FFFFFF"/>
          <w:lang w:val="en-GB" w:eastAsia="zh-TW"/>
        </w:rPr>
        <w:tab/>
      </w:r>
      <w:r w:rsidRPr="00E97FC1">
        <w:rPr>
          <w:rFonts w:eastAsia="Times New Roman" w:cs="Times New Roman"/>
          <w:w w:val="99"/>
          <w:szCs w:val="24"/>
          <w:u w:val="single"/>
          <w:shd w:val="clear" w:color="auto" w:fill="FFFFFF"/>
          <w:lang w:val="en-GB" w:eastAsia="zh-TW"/>
        </w:rPr>
        <w:t xml:space="preserve"> </w:t>
      </w:r>
      <w:r w:rsidRPr="00E97FC1">
        <w:rPr>
          <w:rFonts w:eastAsia="Times New Roman" w:cs="Times New Roman"/>
          <w:szCs w:val="24"/>
          <w:u w:val="single"/>
          <w:shd w:val="clear" w:color="auto" w:fill="FFFFFF"/>
          <w:lang w:val="en-GB" w:eastAsia="zh-TW"/>
        </w:rPr>
        <w:t xml:space="preserve">        </w:t>
      </w:r>
      <w:r w:rsidRPr="00E97FC1">
        <w:rPr>
          <w:rFonts w:eastAsia="Times New Roman" w:cs="Times New Roman"/>
          <w:szCs w:val="24"/>
          <w:u w:val="single"/>
          <w:shd w:val="clear" w:color="auto" w:fill="FFFFFF"/>
          <w:lang w:val="en-GB" w:eastAsia="zh-TW"/>
        </w:rPr>
        <w:tab/>
      </w:r>
      <w:r w:rsidRPr="00E97FC1">
        <w:rPr>
          <w:rFonts w:eastAsia="Times New Roman" w:cs="Times New Roman"/>
          <w:szCs w:val="24"/>
          <w:u w:val="single"/>
          <w:shd w:val="clear" w:color="auto" w:fill="FFFFFF"/>
          <w:lang w:val="en-GB" w:eastAsia="zh-TW"/>
        </w:rPr>
        <w:tab/>
      </w:r>
      <w:r w:rsidRPr="00E97FC1">
        <w:rPr>
          <w:rFonts w:eastAsia="Times New Roman" w:cs="Times New Roman"/>
          <w:szCs w:val="24"/>
          <w:u w:val="single"/>
          <w:shd w:val="clear" w:color="auto" w:fill="FFFFFF"/>
          <w:lang w:val="en-GB" w:eastAsia="zh-TW"/>
        </w:rPr>
        <w:tab/>
        <w:t xml:space="preserve">        </w:t>
      </w:r>
      <w:r w:rsidRPr="00E97FC1">
        <w:rPr>
          <w:rFonts w:eastAsia="Times New Roman" w:cs="Times New Roman"/>
          <w:szCs w:val="24"/>
          <w:u w:val="single"/>
          <w:shd w:val="clear" w:color="auto" w:fill="FFFFFF"/>
          <w:lang w:val="en-GB" w:eastAsia="zh-TW"/>
        </w:rPr>
        <w:tab/>
      </w:r>
      <w:r w:rsidRPr="00E97FC1">
        <w:rPr>
          <w:rFonts w:eastAsia="Times New Roman" w:cs="Times New Roman"/>
          <w:szCs w:val="24"/>
          <w:u w:val="single"/>
          <w:shd w:val="clear" w:color="auto" w:fill="FFFFFF"/>
          <w:lang w:val="en-GB" w:eastAsia="zh-TW"/>
        </w:rPr>
        <w:tab/>
      </w:r>
      <w:r w:rsidRPr="00E97FC1">
        <w:rPr>
          <w:rFonts w:eastAsia="Times New Roman" w:cs="Times New Roman"/>
          <w:szCs w:val="24"/>
          <w:u w:val="single"/>
          <w:shd w:val="clear" w:color="auto" w:fill="FFFFFF"/>
          <w:lang w:val="en-GB" w:eastAsia="zh-TW"/>
        </w:rPr>
        <w:tab/>
        <w:t xml:space="preserve">        </w:t>
      </w:r>
      <w:r w:rsidRPr="00E97FC1">
        <w:rPr>
          <w:rFonts w:eastAsia="Times New Roman" w:cs="Times New Roman"/>
          <w:u w:val="single"/>
          <w:shd w:val="clear" w:color="auto" w:fill="FFFFFF"/>
          <w:lang w:val="en-GB" w:eastAsia="zh-TW"/>
        </w:rPr>
        <w:t xml:space="preserve">                           </w:t>
      </w:r>
      <w:r w:rsidRPr="00E97FC1">
        <w:rPr>
          <w:rFonts w:eastAsia="Times New Roman" w:cs="Times New Roman"/>
          <w:spacing w:val="-13"/>
          <w:u w:val="single"/>
          <w:shd w:val="clear" w:color="auto" w:fill="FFFFFF"/>
          <w:lang w:val="en-GB" w:eastAsia="zh-TW"/>
        </w:rPr>
        <w:t xml:space="preserve"> </w:t>
      </w:r>
    </w:p>
    <w:p w14:paraId="7414ACDD" w14:textId="77777777" w:rsidR="00C6715E" w:rsidRPr="00E97FC1" w:rsidRDefault="00C6715E" w:rsidP="00C6715E">
      <w:pPr>
        <w:tabs>
          <w:tab w:val="right" w:pos="1872"/>
          <w:tab w:val="left" w:pos="1944"/>
        </w:tabs>
        <w:rPr>
          <w:rFonts w:eastAsia="Times New Roman" w:cs="Times New Roman"/>
          <w:u w:val="single"/>
          <w:shd w:val="clear" w:color="auto" w:fill="FFFFFF"/>
          <w:lang w:val="en-GB" w:eastAsia="zh-TW"/>
        </w:rPr>
      </w:pPr>
    </w:p>
    <w:p w14:paraId="58389AC9" w14:textId="77777777" w:rsidR="00C6715E" w:rsidRPr="00E97FC1" w:rsidRDefault="00C6715E" w:rsidP="00C6715E">
      <w:pPr>
        <w:rPr>
          <w:rFonts w:eastAsia="Times New Roman" w:cs="Times New Roman"/>
          <w:szCs w:val="24"/>
          <w:u w:val="single"/>
          <w:shd w:val="clear" w:color="auto" w:fill="FFFFFF"/>
          <w:lang w:val="en-GB" w:eastAsia="zh-TW"/>
        </w:rPr>
      </w:pPr>
    </w:p>
    <w:p w14:paraId="0E96FEA5" w14:textId="77777777" w:rsidR="00C6715E" w:rsidRPr="00E97FC1" w:rsidRDefault="00C6715E" w:rsidP="00C6715E">
      <w:pPr>
        <w:rPr>
          <w:rFonts w:eastAsia="Times New Roman" w:cs="Times New Roman"/>
          <w:szCs w:val="24"/>
          <w:u w:val="single"/>
          <w:shd w:val="clear" w:color="auto" w:fill="FFFFFF"/>
          <w:lang w:val="en-GB" w:eastAsia="zh-TW"/>
        </w:rPr>
      </w:pPr>
    </w:p>
    <w:p w14:paraId="51B3A973" w14:textId="77777777" w:rsidR="00C6715E" w:rsidRPr="00E97FC1" w:rsidRDefault="00C6715E" w:rsidP="00C6715E">
      <w:pPr>
        <w:rPr>
          <w:rFonts w:eastAsia="Times New Roman" w:cs="Times New Roman"/>
          <w:szCs w:val="24"/>
          <w:u w:val="single"/>
          <w:shd w:val="clear" w:color="auto" w:fill="FFFFFF"/>
          <w:lang w:val="en-GB" w:eastAsia="zh-TW"/>
        </w:rPr>
      </w:pPr>
    </w:p>
    <w:p w14:paraId="747892BE" w14:textId="77777777" w:rsidR="00C6715E" w:rsidRPr="00E97FC1" w:rsidRDefault="00C6715E" w:rsidP="00C6715E">
      <w:pPr>
        <w:jc w:val="center"/>
        <w:rPr>
          <w:rFonts w:eastAsia="Times New Roman" w:cs="Times New Roman"/>
          <w:shd w:val="clear" w:color="auto" w:fill="FFFFFF"/>
          <w:lang w:val="en-GB" w:eastAsia="zh-TW"/>
        </w:rPr>
      </w:pPr>
      <w:r w:rsidRPr="00E97FC1">
        <w:rPr>
          <w:rFonts w:eastAsia="Times New Roman" w:cs="Times New Roman"/>
          <w:shd w:val="clear" w:color="auto" w:fill="FFFFFF"/>
          <w:lang w:val="en-GB" w:eastAsia="zh-TW"/>
        </w:rPr>
        <w:t>signed page is on file</w:t>
      </w:r>
    </w:p>
    <w:p w14:paraId="50A2676D" w14:textId="77777777" w:rsidR="00C6715E" w:rsidRPr="00E97FC1" w:rsidRDefault="00C6715E" w:rsidP="00C6715E">
      <w:pPr>
        <w:jc w:val="center"/>
        <w:rPr>
          <w:rFonts w:eastAsia="Times New Roman" w:cs="Times New Roman"/>
          <w:shd w:val="clear" w:color="auto" w:fill="FFFFFF"/>
          <w:lang w:val="en-GB" w:eastAsia="zh-TW"/>
        </w:rPr>
      </w:pPr>
    </w:p>
    <w:p w14:paraId="0166A9BA" w14:textId="77777777" w:rsidR="00C6715E" w:rsidRPr="00E97FC1" w:rsidRDefault="00C6715E" w:rsidP="00C6715E">
      <w:pPr>
        <w:rPr>
          <w:rFonts w:eastAsia="Times New Roman" w:cs="Times New Roman"/>
          <w:shd w:val="clear" w:color="auto" w:fill="FFFFFF"/>
          <w:lang w:val="en-GB" w:eastAsia="zh-TW"/>
        </w:rPr>
      </w:pPr>
      <w:r w:rsidRPr="00E97FC1">
        <w:rPr>
          <w:rFonts w:eastAsia="Times New Roman" w:cs="Times New Roman"/>
          <w:shd w:val="clear" w:color="auto" w:fill="FFFFFF"/>
          <w:lang w:val="en-GB" w:eastAsia="zh-TW"/>
        </w:rPr>
        <w:br w:type="page"/>
      </w:r>
    </w:p>
    <w:p w14:paraId="5A89F1FA" w14:textId="01B57C04" w:rsidR="00C6715E" w:rsidRPr="00E97FC1" w:rsidRDefault="00214671" w:rsidP="00C6715E">
      <w:pPr>
        <w:jc w:val="center"/>
        <w:rPr>
          <w:rFonts w:eastAsia="Times New Roman" w:cs="Times New Roman"/>
          <w:szCs w:val="24"/>
          <w:shd w:val="clear" w:color="auto" w:fill="FFFFFF"/>
          <w:lang w:val="en-GB" w:eastAsia="zh-TW"/>
        </w:rPr>
      </w:pPr>
      <w:r w:rsidRPr="00E97FC1">
        <w:rPr>
          <w:rFonts w:eastAsia="Times New Roman" w:cs="Times New Roman"/>
          <w:szCs w:val="24"/>
          <w:shd w:val="clear" w:color="auto" w:fill="FFFFFF"/>
          <w:lang w:val="en-GB" w:eastAsia="zh-TW"/>
        </w:rPr>
        <w:lastRenderedPageBreak/>
        <w:t>© by Vladyslav Kravchuk</w:t>
      </w:r>
      <w:r w:rsidR="00C6715E" w:rsidRPr="00E97FC1">
        <w:rPr>
          <w:rFonts w:eastAsia="Times New Roman" w:cs="Times New Roman"/>
          <w:szCs w:val="24"/>
          <w:shd w:val="clear" w:color="auto" w:fill="FFFFFF"/>
          <w:lang w:val="en-GB" w:eastAsia="zh-TW"/>
        </w:rPr>
        <w:t>,</w:t>
      </w:r>
      <w:r w:rsidR="00C6715E" w:rsidRPr="00E97FC1">
        <w:rPr>
          <w:rFonts w:eastAsia="Times New Roman" w:cs="Times New Roman"/>
          <w:spacing w:val="-11"/>
          <w:szCs w:val="24"/>
          <w:shd w:val="clear" w:color="auto" w:fill="FFFFFF"/>
          <w:lang w:val="en-GB" w:eastAsia="zh-TW"/>
        </w:rPr>
        <w:t xml:space="preserve"> </w:t>
      </w:r>
      <w:r w:rsidR="00735C00">
        <w:rPr>
          <w:rFonts w:eastAsia="Times New Roman" w:cs="Times New Roman"/>
          <w:spacing w:val="-4"/>
          <w:szCs w:val="24"/>
          <w:shd w:val="clear" w:color="auto" w:fill="FFFFFF"/>
          <w:lang w:val="en-GB" w:eastAsia="zh-TW"/>
        </w:rPr>
        <w:t>March</w:t>
      </w:r>
      <w:r w:rsidR="001C2F9D" w:rsidRPr="00E97FC1">
        <w:rPr>
          <w:rFonts w:eastAsia="Times New Roman" w:cs="Times New Roman"/>
          <w:spacing w:val="-4"/>
          <w:szCs w:val="24"/>
          <w:shd w:val="clear" w:color="auto" w:fill="FFFFFF"/>
          <w:lang w:val="en-GB" w:eastAsia="zh-TW"/>
        </w:rPr>
        <w:t>, 2023</w:t>
      </w:r>
    </w:p>
    <w:p w14:paraId="7914E081" w14:textId="77777777" w:rsidR="00C6715E" w:rsidRPr="00E97FC1" w:rsidRDefault="00C6715E" w:rsidP="00C6715E">
      <w:pPr>
        <w:jc w:val="center"/>
        <w:rPr>
          <w:rFonts w:eastAsia="Times New Roman" w:cs="Times New Roman"/>
          <w:sz w:val="15"/>
          <w:szCs w:val="15"/>
          <w:shd w:val="clear" w:color="auto" w:fill="FFFFFF"/>
          <w:lang w:val="en-GB" w:eastAsia="zh-TW"/>
        </w:rPr>
      </w:pPr>
    </w:p>
    <w:p w14:paraId="5D1EDFB2" w14:textId="02971D50" w:rsidR="00C6715E" w:rsidRDefault="00C12B16" w:rsidP="00111DE4">
      <w:pPr>
        <w:jc w:val="center"/>
        <w:rPr>
          <w:rFonts w:eastAsia="Times New Roman" w:cs="Times New Roman"/>
          <w:szCs w:val="24"/>
          <w:shd w:val="clear" w:color="auto" w:fill="FFFFFF"/>
          <w:lang w:val="en-GB" w:eastAsia="zh-TW"/>
        </w:rPr>
      </w:pPr>
      <w:r>
        <w:rPr>
          <w:rFonts w:eastAsia="Times New Roman" w:cs="Times New Roman"/>
          <w:szCs w:val="24"/>
          <w:shd w:val="clear" w:color="auto" w:fill="FFFFFF"/>
          <w:lang w:val="en-GB" w:eastAsia="zh-TW"/>
        </w:rPr>
        <w:t>All Rights Reserved</w:t>
      </w:r>
    </w:p>
    <w:p w14:paraId="5AB6E0C3" w14:textId="77777777" w:rsidR="00111DE4" w:rsidRPr="00111DE4" w:rsidRDefault="00111DE4" w:rsidP="00111DE4">
      <w:pPr>
        <w:jc w:val="center"/>
        <w:rPr>
          <w:rFonts w:eastAsia="Times New Roman" w:cs="Times New Roman"/>
          <w:szCs w:val="24"/>
          <w:shd w:val="clear" w:color="auto" w:fill="FFFFFF"/>
          <w:lang w:val="en-GB" w:eastAsia="zh-TW"/>
        </w:rPr>
      </w:pPr>
    </w:p>
    <w:p w14:paraId="0478A8C1" w14:textId="48DA67BD" w:rsidR="00C6715E" w:rsidRPr="00E97FC1" w:rsidRDefault="00C6715E" w:rsidP="00D84225">
      <w:pPr>
        <w:jc w:val="center"/>
        <w:rPr>
          <w:rFonts w:eastAsia="Times New Roman" w:cs="Times New Roman"/>
          <w:szCs w:val="24"/>
          <w:shd w:val="clear" w:color="auto" w:fill="FFFFFF"/>
          <w:lang w:val="en-GB" w:eastAsia="en-GB"/>
        </w:rPr>
      </w:pPr>
      <w:r w:rsidRPr="00E97FC1">
        <w:rPr>
          <w:rFonts w:eastAsia="Times New Roman" w:cs="Times New Roman"/>
          <w:szCs w:val="24"/>
          <w:shd w:val="clear" w:color="auto" w:fill="FFFFFF"/>
          <w:lang w:val="en-GB" w:eastAsia="en-GB"/>
        </w:rPr>
        <w:t>IST</w:t>
      </w:r>
      <w:r w:rsidR="00735C00">
        <w:rPr>
          <w:rFonts w:eastAsia="Times New Roman" w:cs="Times New Roman"/>
          <w:szCs w:val="24"/>
          <w:shd w:val="clear" w:color="auto" w:fill="FFFFFF"/>
          <w:lang w:val="en-GB" w:eastAsia="en-GB"/>
        </w:rPr>
        <w:t>A</w:t>
      </w:r>
      <w:r w:rsidR="00214671" w:rsidRPr="00E97FC1">
        <w:rPr>
          <w:rFonts w:eastAsia="Times New Roman" w:cs="Times New Roman"/>
          <w:szCs w:val="24"/>
          <w:shd w:val="clear" w:color="auto" w:fill="FFFFFF"/>
          <w:lang w:val="en-GB" w:eastAsia="en-GB"/>
        </w:rPr>
        <w:t xml:space="preserve"> Thesis, </w:t>
      </w:r>
      <w:r w:rsidR="00214671" w:rsidRPr="00FC5E18">
        <w:rPr>
          <w:rFonts w:eastAsia="Times New Roman" w:cs="Times New Roman"/>
          <w:szCs w:val="24"/>
          <w:shd w:val="clear" w:color="auto" w:fill="FFFFFF"/>
          <w:lang w:val="en-GB" w:eastAsia="en-GB"/>
        </w:rPr>
        <w:t>ISSN:</w:t>
      </w:r>
      <w:r w:rsidR="00214671" w:rsidRPr="00E97FC1">
        <w:rPr>
          <w:rFonts w:eastAsia="Times New Roman" w:cs="Times New Roman"/>
          <w:szCs w:val="24"/>
          <w:shd w:val="clear" w:color="auto" w:fill="FFFFFF"/>
          <w:lang w:val="en-GB" w:eastAsia="en-GB"/>
        </w:rPr>
        <w:t xml:space="preserve"> </w:t>
      </w:r>
      <w:r w:rsidR="00735C00">
        <w:t>2663-337X</w:t>
      </w:r>
    </w:p>
    <w:p w14:paraId="23EE959C" w14:textId="77777777" w:rsidR="00C6715E" w:rsidRPr="00E97FC1" w:rsidRDefault="00C6715E" w:rsidP="00D84225">
      <w:pPr>
        <w:jc w:val="center"/>
        <w:rPr>
          <w:rFonts w:eastAsia="Times New Roman" w:cs="Times New Roman"/>
          <w:sz w:val="12"/>
          <w:szCs w:val="12"/>
          <w:shd w:val="clear" w:color="auto" w:fill="FFFFFF"/>
          <w:lang w:val="en-GB" w:eastAsia="zh-TW"/>
        </w:rPr>
      </w:pPr>
    </w:p>
    <w:p w14:paraId="12EE3C92" w14:textId="68F7F1C2" w:rsidR="00C6715E" w:rsidRDefault="00735C00" w:rsidP="00D84225">
      <w:pPr>
        <w:jc w:val="center"/>
        <w:rPr>
          <w:rFonts w:eastAsia="Times New Roman" w:cs="Times New Roman"/>
          <w:szCs w:val="24"/>
          <w:shd w:val="clear" w:color="auto" w:fill="FFFFFF"/>
          <w:lang w:val="en-GB" w:eastAsia="zh-TW"/>
        </w:rPr>
      </w:pPr>
      <w:r>
        <w:t xml:space="preserve">ISBN: </w:t>
      </w:r>
      <w:r w:rsidRPr="00735C00">
        <w:t>978-3-99078-029-9</w:t>
      </w:r>
    </w:p>
    <w:p w14:paraId="5B7A3668" w14:textId="77777777" w:rsidR="00735C00" w:rsidRPr="00E97FC1" w:rsidRDefault="00735C00" w:rsidP="00C6715E">
      <w:pPr>
        <w:rPr>
          <w:rFonts w:eastAsia="Times New Roman" w:cs="Times New Roman"/>
          <w:szCs w:val="24"/>
          <w:shd w:val="clear" w:color="auto" w:fill="FFFFFF"/>
          <w:lang w:val="en-GB" w:eastAsia="zh-TW"/>
        </w:rPr>
      </w:pPr>
    </w:p>
    <w:p w14:paraId="1F387D83" w14:textId="77777777" w:rsidR="003870A7" w:rsidRPr="003870A7" w:rsidRDefault="003870A7" w:rsidP="003870A7">
      <w:pPr>
        <w:rPr>
          <w:rFonts w:eastAsia="Times New Roman" w:cs="Times New Roman"/>
          <w:szCs w:val="24"/>
          <w:shd w:val="clear" w:color="auto" w:fill="FFFFFF"/>
          <w:lang w:eastAsia="zh-TW"/>
        </w:rPr>
      </w:pPr>
      <w:r w:rsidRPr="003870A7">
        <w:rPr>
          <w:rFonts w:eastAsia="Times New Roman" w:cs="Times New Roman"/>
          <w:szCs w:val="24"/>
          <w:shd w:val="clear" w:color="auto" w:fill="FFFFFF"/>
          <w:lang w:eastAsia="zh-TW"/>
        </w:rPr>
        <w:t>I hereby declare that this thesis is my own work and that it does not contain other people’s work without this being so stated; this thesis does not contain my previous work without this being stated, and the bibliography contains all the literature that I used in writing the dissertation.</w:t>
      </w:r>
    </w:p>
    <w:p w14:paraId="5533CB54" w14:textId="77777777" w:rsidR="003870A7" w:rsidRPr="003870A7" w:rsidRDefault="003870A7" w:rsidP="003870A7">
      <w:pPr>
        <w:rPr>
          <w:rFonts w:eastAsia="Times New Roman" w:cs="Times New Roman"/>
          <w:szCs w:val="24"/>
          <w:shd w:val="clear" w:color="auto" w:fill="FFFFFF"/>
          <w:lang w:eastAsia="zh-TW"/>
        </w:rPr>
      </w:pPr>
    </w:p>
    <w:p w14:paraId="3F0C2CF5" w14:textId="77777777" w:rsidR="003870A7" w:rsidRPr="003870A7" w:rsidRDefault="003870A7" w:rsidP="003870A7">
      <w:pPr>
        <w:rPr>
          <w:rFonts w:eastAsia="Times New Roman" w:cs="Times New Roman"/>
          <w:szCs w:val="24"/>
          <w:shd w:val="clear" w:color="auto" w:fill="FFFFFF"/>
          <w:lang w:eastAsia="zh-TW"/>
        </w:rPr>
      </w:pPr>
      <w:r w:rsidRPr="003870A7">
        <w:rPr>
          <w:rFonts w:eastAsia="Times New Roman" w:cs="Times New Roman"/>
          <w:szCs w:val="24"/>
          <w:shd w:val="clear" w:color="auto" w:fill="FFFFFF"/>
          <w:lang w:eastAsia="zh-TW"/>
        </w:rPr>
        <w:t>I declare that this is a true copy of my thesis, including any final revisions, as approved by my thesis committee, and that this thesis has not been submitted for a higher degree to any other university or institution.</w:t>
      </w:r>
    </w:p>
    <w:p w14:paraId="51258BDE" w14:textId="77777777" w:rsidR="003870A7" w:rsidRPr="003870A7" w:rsidRDefault="003870A7" w:rsidP="003870A7">
      <w:pPr>
        <w:rPr>
          <w:rFonts w:eastAsia="Times New Roman" w:cs="Times New Roman"/>
          <w:szCs w:val="24"/>
          <w:shd w:val="clear" w:color="auto" w:fill="FFFFFF"/>
          <w:lang w:eastAsia="zh-TW"/>
        </w:rPr>
      </w:pPr>
    </w:p>
    <w:p w14:paraId="2873ADD3" w14:textId="77777777" w:rsidR="003870A7" w:rsidRPr="003870A7" w:rsidRDefault="003870A7" w:rsidP="003870A7">
      <w:pPr>
        <w:rPr>
          <w:rFonts w:eastAsia="Times New Roman" w:cs="Times New Roman"/>
          <w:szCs w:val="24"/>
          <w:shd w:val="clear" w:color="auto" w:fill="FFFFFF"/>
          <w:lang w:eastAsia="zh-TW"/>
        </w:rPr>
      </w:pPr>
      <w:r w:rsidRPr="003870A7">
        <w:rPr>
          <w:rFonts w:eastAsia="Times New Roman" w:cs="Times New Roman"/>
          <w:szCs w:val="24"/>
          <w:shd w:val="clear" w:color="auto" w:fill="FFFFFF"/>
          <w:lang w:eastAsia="zh-TW"/>
        </w:rPr>
        <w:t>I certify that any republication of materials presented in this thesis has been approved by the relevant publishers and co-authors.</w:t>
      </w:r>
    </w:p>
    <w:p w14:paraId="0E096840" w14:textId="46D28B52" w:rsidR="00C6715E" w:rsidRPr="00E97FC1" w:rsidRDefault="00C6715E" w:rsidP="00C6715E">
      <w:pPr>
        <w:rPr>
          <w:rFonts w:eastAsia="Times New Roman" w:cs="Times New Roman"/>
          <w:szCs w:val="24"/>
          <w:shd w:val="clear" w:color="auto" w:fill="FFFFFF"/>
          <w:lang w:val="en-GB" w:eastAsia="en-GB"/>
        </w:rPr>
      </w:pPr>
    </w:p>
    <w:p w14:paraId="19F122EA" w14:textId="47F77965" w:rsidR="00C6715E" w:rsidRPr="00E97FC1" w:rsidRDefault="00C6715E" w:rsidP="00C6715E">
      <w:pPr>
        <w:rPr>
          <w:rFonts w:eastAsia="Times New Roman" w:cs="Times New Roman"/>
          <w:szCs w:val="24"/>
          <w:shd w:val="clear" w:color="auto" w:fill="FFFFFF"/>
          <w:lang w:val="en-GB" w:eastAsia="en-GB"/>
        </w:rPr>
      </w:pPr>
    </w:p>
    <w:p w14:paraId="52D51F4F" w14:textId="21847822" w:rsidR="00C6715E" w:rsidRPr="00E97FC1" w:rsidRDefault="00C6715E" w:rsidP="00C6715E">
      <w:pPr>
        <w:rPr>
          <w:rFonts w:eastAsia="Times New Roman" w:cs="Times New Roman"/>
          <w:szCs w:val="24"/>
          <w:shd w:val="clear" w:color="auto" w:fill="FFFFFF"/>
          <w:lang w:val="en-GB" w:eastAsia="en-GB"/>
        </w:rPr>
      </w:pPr>
    </w:p>
    <w:p w14:paraId="551EEB4C" w14:textId="77777777" w:rsidR="00C6715E" w:rsidRPr="00E97FC1" w:rsidRDefault="00C6715E" w:rsidP="00C6715E">
      <w:pPr>
        <w:jc w:val="center"/>
        <w:rPr>
          <w:rFonts w:eastAsia="Times New Roman" w:cs="Times New Roman"/>
          <w:szCs w:val="24"/>
          <w:shd w:val="clear" w:color="auto" w:fill="FFFFFF"/>
          <w:lang w:val="en-GB" w:eastAsia="en-GB"/>
        </w:rPr>
      </w:pPr>
    </w:p>
    <w:p w14:paraId="1E359508" w14:textId="77777777" w:rsidR="00C6715E" w:rsidRPr="00E97FC1" w:rsidRDefault="00C6715E" w:rsidP="00C6715E">
      <w:pPr>
        <w:jc w:val="center"/>
        <w:rPr>
          <w:rFonts w:eastAsia="Times New Roman" w:cs="Times New Roman"/>
          <w:szCs w:val="24"/>
          <w:shd w:val="clear" w:color="auto" w:fill="FFFFFF"/>
          <w:lang w:val="en-GB" w:eastAsia="en-GB"/>
        </w:rPr>
      </w:pPr>
      <w:r w:rsidRPr="00E97FC1">
        <w:rPr>
          <w:rFonts w:eastAsia="Times New Roman" w:cs="Times New Roman"/>
          <w:szCs w:val="24"/>
          <w:shd w:val="clear" w:color="auto" w:fill="FFFFFF"/>
          <w:lang w:val="en-GB" w:eastAsia="en-GB"/>
        </w:rPr>
        <w:t>Signature: _______________________</w:t>
      </w:r>
    </w:p>
    <w:p w14:paraId="08A32642" w14:textId="77777777" w:rsidR="00C6715E" w:rsidRPr="00E97FC1" w:rsidRDefault="00C6715E" w:rsidP="00C6715E">
      <w:pPr>
        <w:jc w:val="center"/>
        <w:rPr>
          <w:rFonts w:eastAsia="Times New Roman" w:cs="Times New Roman"/>
          <w:szCs w:val="24"/>
          <w:shd w:val="clear" w:color="auto" w:fill="FFFFFF"/>
          <w:lang w:val="en-GB" w:eastAsia="en-GB"/>
        </w:rPr>
      </w:pPr>
    </w:p>
    <w:p w14:paraId="75FF56FD" w14:textId="494F060E" w:rsidR="00C6715E" w:rsidRPr="00E97FC1" w:rsidRDefault="00735C00" w:rsidP="00C6715E">
      <w:pPr>
        <w:jc w:val="center"/>
        <w:rPr>
          <w:rFonts w:eastAsia="Times New Roman" w:cs="Times New Roman"/>
          <w:szCs w:val="24"/>
          <w:shd w:val="clear" w:color="auto" w:fill="FFFFFF"/>
          <w:lang w:val="en-GB" w:eastAsia="en-GB"/>
        </w:rPr>
      </w:pPr>
      <w:r>
        <w:rPr>
          <w:rFonts w:eastAsia="Times New Roman" w:cs="Times New Roman"/>
          <w:szCs w:val="24"/>
          <w:shd w:val="clear" w:color="auto" w:fill="FFFFFF"/>
          <w:lang w:val="en-GB" w:eastAsia="en-GB"/>
        </w:rPr>
        <w:t>Vladyslav Kravchuk</w:t>
      </w:r>
    </w:p>
    <w:p w14:paraId="5FB91DC5" w14:textId="77777777" w:rsidR="00C6715E" w:rsidRPr="00E97FC1" w:rsidRDefault="00C6715E" w:rsidP="00C6715E">
      <w:pPr>
        <w:jc w:val="center"/>
        <w:rPr>
          <w:rFonts w:eastAsia="Times New Roman" w:cs="Times New Roman"/>
          <w:shd w:val="clear" w:color="auto" w:fill="FFFFFF"/>
          <w:lang w:val="en-GB" w:eastAsia="en-GB"/>
        </w:rPr>
      </w:pPr>
    </w:p>
    <w:p w14:paraId="5BB80421" w14:textId="341BDAB1" w:rsidR="00C6715E" w:rsidRPr="00E97FC1" w:rsidRDefault="00580290" w:rsidP="00214671">
      <w:pPr>
        <w:jc w:val="center"/>
        <w:rPr>
          <w:rFonts w:eastAsia="Times New Roman" w:cs="Times New Roman"/>
          <w:shd w:val="clear" w:color="auto" w:fill="FFFFFF"/>
          <w:lang w:val="en-GB" w:eastAsia="en-GB"/>
        </w:rPr>
      </w:pPr>
      <w:r>
        <w:rPr>
          <w:rFonts w:eastAsia="Times New Roman" w:cs="Times New Roman"/>
          <w:shd w:val="clear" w:color="auto" w:fill="FFFFFF"/>
          <w:lang w:val="en-GB" w:eastAsia="en-GB"/>
        </w:rPr>
        <w:t>March</w:t>
      </w:r>
      <w:r w:rsidR="00F83BE5" w:rsidRPr="00E97FC1">
        <w:rPr>
          <w:rFonts w:eastAsia="Times New Roman" w:cs="Times New Roman"/>
          <w:shd w:val="clear" w:color="auto" w:fill="FFFFFF"/>
          <w:lang w:val="en-GB" w:eastAsia="en-GB"/>
        </w:rPr>
        <w:t>, 2023</w:t>
      </w:r>
    </w:p>
    <w:p w14:paraId="3D833F9A" w14:textId="77777777" w:rsidR="00214671" w:rsidRPr="00E97FC1" w:rsidRDefault="00214671" w:rsidP="00C6715E">
      <w:pPr>
        <w:rPr>
          <w:rFonts w:eastAsia="Times New Roman" w:cs="Times New Roman"/>
          <w:shd w:val="clear" w:color="auto" w:fill="FFFFFF"/>
          <w:lang w:val="en-GB" w:eastAsia="en-GB"/>
        </w:rPr>
      </w:pPr>
    </w:p>
    <w:p w14:paraId="6F2BDA13" w14:textId="77777777" w:rsidR="00C6715E" w:rsidRPr="00E97FC1" w:rsidRDefault="00C6715E" w:rsidP="00C6715E">
      <w:pPr>
        <w:rPr>
          <w:rFonts w:eastAsia="Times New Roman" w:cs="Times New Roman"/>
          <w:shd w:val="clear" w:color="auto" w:fill="FFFFFF"/>
          <w:lang w:val="en-GB" w:eastAsia="zh-TW"/>
        </w:rPr>
      </w:pPr>
    </w:p>
    <w:p w14:paraId="0059F0A9" w14:textId="77777777" w:rsidR="00C6715E" w:rsidRPr="00E97FC1" w:rsidRDefault="00C6715E" w:rsidP="00C6715E">
      <w:pPr>
        <w:jc w:val="center"/>
        <w:rPr>
          <w:rFonts w:eastAsia="Times New Roman" w:cs="Times New Roman"/>
          <w:szCs w:val="24"/>
          <w:shd w:val="clear" w:color="auto" w:fill="FFFFFF"/>
          <w:lang w:val="en-GB" w:eastAsia="zh-TW"/>
        </w:rPr>
      </w:pPr>
      <w:r w:rsidRPr="00E97FC1">
        <w:rPr>
          <w:rFonts w:eastAsia="Times New Roman" w:cs="Times New Roman"/>
          <w:shd w:val="clear" w:color="auto" w:fill="FFFFFF"/>
          <w:lang w:val="en-GB" w:eastAsia="zh-TW"/>
        </w:rPr>
        <w:t>signed page is on file</w:t>
      </w:r>
    </w:p>
    <w:p w14:paraId="3C705E15" w14:textId="77777777" w:rsidR="00F6347B" w:rsidRDefault="00F6347B">
      <w:pPr>
        <w:rPr>
          <w:rFonts w:eastAsia="Times New Roman" w:cs="Times New Roman"/>
          <w:shd w:val="clear" w:color="auto" w:fill="FFFFFF"/>
          <w:lang w:val="en-GB" w:eastAsia="en-GB"/>
        </w:rPr>
      </w:pPr>
    </w:p>
    <w:p w14:paraId="07E911D8" w14:textId="77777777" w:rsidR="00F6347B" w:rsidRDefault="00095BC9">
      <w:pPr>
        <w:rPr>
          <w:rFonts w:eastAsia="Times New Roman" w:cs="Times New Roman"/>
          <w:shd w:val="clear" w:color="auto" w:fill="FFFFFF"/>
          <w:lang w:val="en-GB" w:eastAsia="en-GB"/>
        </w:rPr>
        <w:sectPr w:rsidR="00F6347B" w:rsidSect="00F6347B">
          <w:footerReference w:type="default" r:id="rId9"/>
          <w:footerReference w:type="first" r:id="rId10"/>
          <w:type w:val="continuous"/>
          <w:pgSz w:w="11906" w:h="16838"/>
          <w:pgMar w:top="1440" w:right="1440" w:bottom="1440" w:left="1440" w:header="720" w:footer="720" w:gutter="0"/>
          <w:pgNumType w:fmt="lowerRoman"/>
          <w:cols w:space="720"/>
          <w:titlePg/>
          <w:docGrid w:linePitch="360"/>
        </w:sectPr>
      </w:pPr>
      <w:r w:rsidRPr="00E97FC1">
        <w:rPr>
          <w:rFonts w:eastAsia="Times New Roman" w:cs="Times New Roman"/>
          <w:shd w:val="clear" w:color="auto" w:fill="FFFFFF"/>
          <w:lang w:val="en-GB" w:eastAsia="en-GB"/>
        </w:rPr>
        <w:br w:type="page"/>
      </w:r>
    </w:p>
    <w:p w14:paraId="4252DADB" w14:textId="00153074" w:rsidR="001D4C58" w:rsidRPr="00E97FC1" w:rsidRDefault="00C6715E" w:rsidP="00C6715E">
      <w:pPr>
        <w:spacing w:before="100" w:beforeAutospacing="1" w:after="100" w:afterAutospacing="1"/>
        <w:outlineLvl w:val="0"/>
        <w:rPr>
          <w:rFonts w:eastAsia="Times New Roman" w:cs="Times New Roman"/>
          <w:b/>
          <w:bCs/>
          <w:kern w:val="36"/>
          <w:sz w:val="30"/>
          <w:szCs w:val="30"/>
          <w:shd w:val="clear" w:color="auto" w:fill="FFFFFF"/>
          <w:lang w:val="en-GB"/>
        </w:rPr>
      </w:pPr>
      <w:bookmarkStart w:id="0" w:name="_Toc50549321"/>
      <w:bookmarkStart w:id="1" w:name="_Toc132639971"/>
      <w:r w:rsidRPr="00E97FC1">
        <w:rPr>
          <w:rFonts w:eastAsia="Times New Roman" w:cs="Times New Roman"/>
          <w:b/>
          <w:bCs/>
          <w:kern w:val="36"/>
          <w:sz w:val="30"/>
          <w:szCs w:val="30"/>
          <w:shd w:val="clear" w:color="auto" w:fill="FFFFFF"/>
          <w:lang w:val="en-GB"/>
        </w:rPr>
        <w:lastRenderedPageBreak/>
        <w:t>Abstract</w:t>
      </w:r>
      <w:bookmarkEnd w:id="0"/>
      <w:bookmarkEnd w:id="1"/>
    </w:p>
    <w:p w14:paraId="5B50836E" w14:textId="77777777" w:rsidR="00436F39" w:rsidRPr="00E97FC1" w:rsidRDefault="00ED7A1A" w:rsidP="00C6715E">
      <w:pPr>
        <w:rPr>
          <w:rFonts w:eastAsia="Times New Roman" w:cs="Times New Roman"/>
          <w:szCs w:val="24"/>
          <w:shd w:val="clear" w:color="auto" w:fill="FFFFFF"/>
          <w:lang w:val="en-GB" w:eastAsia="en-GB"/>
        </w:rPr>
      </w:pPr>
      <w:r w:rsidRPr="00E97FC1">
        <w:rPr>
          <w:rFonts w:eastAsia="Times New Roman" w:cs="Times New Roman"/>
          <w:szCs w:val="24"/>
          <w:shd w:val="clear" w:color="auto" w:fill="FFFFFF"/>
          <w:lang w:val="en-GB" w:eastAsia="en-GB"/>
        </w:rPr>
        <w:t>Most energy in humans is produced in form of ATP by the mitochondrial respiratory chain consisting of several protein assemblies embedded into lipid membrane (complexes I-V). Complex I is the first and the largest enzyme of the respiratory chain which is essential for energy production. It couples the transfer of two electrons from NADH to ubiquinone with proton translocation across bacterial or inner mitochondrial membrane. The coupling mechanism between electron transfer and proton translocation is one of the biggest enigma in bioenergetics and structural biology. Even though the enzyme has been studied for decades, only recent technological advances in cryo-EM allowed its extensive structural investigation.</w:t>
      </w:r>
      <w:r w:rsidR="00436F39" w:rsidRPr="00E97FC1">
        <w:rPr>
          <w:rFonts w:eastAsia="Times New Roman" w:cs="Times New Roman"/>
          <w:szCs w:val="24"/>
          <w:shd w:val="clear" w:color="auto" w:fill="FFFFFF"/>
          <w:lang w:val="en-GB" w:eastAsia="en-GB"/>
        </w:rPr>
        <w:t xml:space="preserve"> </w:t>
      </w:r>
    </w:p>
    <w:p w14:paraId="04B41EB3" w14:textId="77777777" w:rsidR="00436F39" w:rsidRPr="00E97FC1" w:rsidRDefault="00436F39" w:rsidP="00C6715E">
      <w:pPr>
        <w:rPr>
          <w:rFonts w:eastAsia="Times New Roman" w:cs="Times New Roman"/>
          <w:szCs w:val="24"/>
          <w:shd w:val="clear" w:color="auto" w:fill="FFFFFF"/>
          <w:lang w:val="en-GB" w:eastAsia="en-GB"/>
        </w:rPr>
      </w:pPr>
    </w:p>
    <w:p w14:paraId="0C4FC180" w14:textId="421E27A1" w:rsidR="001D4C58" w:rsidRPr="00E97FC1" w:rsidRDefault="00E80FB9" w:rsidP="00C6715E">
      <w:pPr>
        <w:rPr>
          <w:rFonts w:eastAsia="Times New Roman" w:cs="Times New Roman"/>
          <w:szCs w:val="24"/>
          <w:shd w:val="clear" w:color="auto" w:fill="FFFFFF"/>
          <w:lang w:val="en-GB" w:eastAsia="en-GB"/>
        </w:rPr>
      </w:pPr>
      <w:r w:rsidRPr="00E97FC1">
        <w:rPr>
          <w:rFonts w:eastAsia="Times New Roman" w:cs="Times New Roman"/>
          <w:szCs w:val="24"/>
          <w:shd w:val="clear" w:color="auto" w:fill="FFFFFF"/>
          <w:lang w:val="en-GB" w:eastAsia="en-GB"/>
        </w:rPr>
        <w:t xml:space="preserve">Complex I from </w:t>
      </w:r>
      <w:r w:rsidRPr="00E97FC1">
        <w:rPr>
          <w:rFonts w:eastAsia="Times New Roman" w:cs="Times New Roman"/>
          <w:i/>
          <w:szCs w:val="24"/>
          <w:shd w:val="clear" w:color="auto" w:fill="FFFFFF"/>
          <w:lang w:val="en-GB" w:eastAsia="en-GB"/>
        </w:rPr>
        <w:t>E.coli</w:t>
      </w:r>
      <w:r w:rsidRPr="00E97FC1">
        <w:rPr>
          <w:rFonts w:eastAsia="Times New Roman" w:cs="Times New Roman"/>
          <w:szCs w:val="24"/>
          <w:shd w:val="clear" w:color="auto" w:fill="FFFFFF"/>
          <w:lang w:val="en-GB" w:eastAsia="en-GB"/>
        </w:rPr>
        <w:t xml:space="preserve"> appears to be of special importance because it is a perfect model system with a rich mutant library, however the structure of the entire complex was unknown. </w:t>
      </w:r>
      <w:r w:rsidR="00ED7A1A" w:rsidRPr="00E97FC1">
        <w:rPr>
          <w:rFonts w:eastAsia="Times New Roman" w:cs="Times New Roman"/>
          <w:szCs w:val="24"/>
          <w:shd w:val="clear" w:color="auto" w:fill="FFFFFF"/>
          <w:lang w:val="en-GB" w:eastAsia="en-GB"/>
        </w:rPr>
        <w:t>In this thesis I</w:t>
      </w:r>
      <w:r w:rsidRPr="00E97FC1">
        <w:rPr>
          <w:rFonts w:eastAsia="Times New Roman" w:cs="Times New Roman"/>
          <w:szCs w:val="24"/>
          <w:shd w:val="clear" w:color="auto" w:fill="FFFFFF"/>
          <w:lang w:val="en-GB" w:eastAsia="en-GB"/>
        </w:rPr>
        <w:t xml:space="preserve"> have resolved</w:t>
      </w:r>
      <w:r w:rsidR="00ED7A1A" w:rsidRPr="00E97FC1">
        <w:rPr>
          <w:rFonts w:eastAsia="Times New Roman" w:cs="Times New Roman"/>
          <w:szCs w:val="24"/>
          <w:shd w:val="clear" w:color="auto" w:fill="FFFFFF"/>
          <w:lang w:val="en-GB" w:eastAsia="en-GB"/>
        </w:rPr>
        <w:t xml:space="preserve"> structures of the minimal complex I version from </w:t>
      </w:r>
      <w:r w:rsidR="00ED7A1A" w:rsidRPr="00E97FC1">
        <w:rPr>
          <w:rFonts w:eastAsia="Times New Roman" w:cs="Times New Roman"/>
          <w:i/>
          <w:szCs w:val="24"/>
          <w:shd w:val="clear" w:color="auto" w:fill="FFFFFF"/>
          <w:lang w:val="en-GB" w:eastAsia="en-GB"/>
        </w:rPr>
        <w:t xml:space="preserve">E. coli </w:t>
      </w:r>
      <w:r w:rsidR="00ED7A1A" w:rsidRPr="00E97FC1">
        <w:rPr>
          <w:rFonts w:eastAsia="Times New Roman" w:cs="Times New Roman"/>
          <w:szCs w:val="24"/>
          <w:shd w:val="clear" w:color="auto" w:fill="FFFFFF"/>
          <w:lang w:val="en-GB" w:eastAsia="en-GB"/>
        </w:rPr>
        <w:t xml:space="preserve">in different states including reduced, inhibited, under reaction turnover and several others. </w:t>
      </w:r>
      <w:r w:rsidRPr="00E97FC1">
        <w:rPr>
          <w:rFonts w:eastAsia="Times New Roman" w:cs="Times New Roman"/>
          <w:szCs w:val="24"/>
          <w:shd w:val="clear" w:color="auto" w:fill="FFFFFF"/>
          <w:lang w:val="en-GB" w:eastAsia="en-GB"/>
        </w:rPr>
        <w:t>Extensive structural analyses of these structures and comparison</w:t>
      </w:r>
      <w:r w:rsidR="00DD333F" w:rsidRPr="00E97FC1">
        <w:rPr>
          <w:rFonts w:eastAsia="Times New Roman" w:cs="Times New Roman"/>
          <w:szCs w:val="24"/>
          <w:shd w:val="clear" w:color="auto" w:fill="FFFFFF"/>
          <w:lang w:val="en-GB" w:eastAsia="en-GB"/>
        </w:rPr>
        <w:t xml:space="preserve"> to structures from other</w:t>
      </w:r>
      <w:r w:rsidRPr="00E97FC1">
        <w:rPr>
          <w:rFonts w:eastAsia="Times New Roman" w:cs="Times New Roman"/>
          <w:szCs w:val="24"/>
          <w:shd w:val="clear" w:color="auto" w:fill="FFFFFF"/>
          <w:lang w:val="en-GB" w:eastAsia="en-GB"/>
        </w:rPr>
        <w:t xml:space="preserve"> species allowed to derive general features of conformational dynamics and propose a universal coupling mechanism. The mechanism is straightforward, robust and consistent with decades of experimental data available for complex I from different species. </w:t>
      </w:r>
    </w:p>
    <w:p w14:paraId="4EF3A5B6" w14:textId="5E546A5B" w:rsidR="001D4C58" w:rsidRPr="00E97FC1" w:rsidRDefault="001D4C58" w:rsidP="00C6715E">
      <w:pPr>
        <w:rPr>
          <w:rFonts w:eastAsia="Times New Roman" w:cs="Times New Roman"/>
          <w:szCs w:val="24"/>
          <w:shd w:val="clear" w:color="auto" w:fill="FFFFFF"/>
          <w:lang w:val="en-GB" w:eastAsia="en-GB"/>
        </w:rPr>
      </w:pPr>
    </w:p>
    <w:p w14:paraId="6780FB39" w14:textId="2DFBB22C" w:rsidR="00436F39" w:rsidRPr="00E97FC1" w:rsidRDefault="00436F39" w:rsidP="00C6715E">
      <w:pPr>
        <w:rPr>
          <w:lang w:val="en-GB"/>
        </w:rPr>
      </w:pPr>
      <w:r w:rsidRPr="00E97FC1">
        <w:rPr>
          <w:lang w:val="en-GB"/>
        </w:rPr>
        <w:t>Cyanobacterial NDH (cyanobacterial complex I) is a part of broad complex I superfamily and was studied as well in this thesis. It plays an important role in cyclic electron transfer (CET), during which electrons are cycled within PSI through ferredoxin and plastoquinone to generate proton gradient without NADPH production. Here, I solved structure of NDH and revealed a</w:t>
      </w:r>
      <w:r w:rsidR="00310C7B" w:rsidRPr="00E97FC1">
        <w:rPr>
          <w:lang w:val="en-GB"/>
        </w:rPr>
        <w:t>dditional</w:t>
      </w:r>
      <w:r w:rsidRPr="00E97FC1">
        <w:rPr>
          <w:lang w:val="en-GB"/>
        </w:rPr>
        <w:t xml:space="preserve"> state, which was not observed before. The novel</w:t>
      </w:r>
      <w:r w:rsidR="00310C7B" w:rsidRPr="00E97FC1">
        <w:rPr>
          <w:lang w:val="en-GB"/>
        </w:rPr>
        <w:t xml:space="preserve"> “resting”</w:t>
      </w:r>
      <w:r w:rsidRPr="00E97FC1">
        <w:rPr>
          <w:lang w:val="en-GB"/>
        </w:rPr>
        <w:t xml:space="preserve"> state allowed to propose the mechanism of CET regulation. Moreover, conformational dynamics of NDH resembles one in complex I which suggest more broad universality of the proposed coupling mechanism.</w:t>
      </w:r>
    </w:p>
    <w:p w14:paraId="2BEF07D2" w14:textId="294D181E" w:rsidR="00D53D5A" w:rsidRPr="00E97FC1" w:rsidRDefault="00D53D5A" w:rsidP="00C6715E">
      <w:pPr>
        <w:rPr>
          <w:lang w:val="en-GB"/>
        </w:rPr>
      </w:pPr>
    </w:p>
    <w:p w14:paraId="0DA30A26" w14:textId="40494539" w:rsidR="00D53D5A" w:rsidRPr="00E97FC1" w:rsidRDefault="00D53D5A" w:rsidP="00C6715E">
      <w:pPr>
        <w:rPr>
          <w:rFonts w:eastAsia="Times New Roman" w:cs="Times New Roman"/>
          <w:szCs w:val="24"/>
          <w:shd w:val="clear" w:color="auto" w:fill="FFFFFF"/>
          <w:lang w:val="en-GB" w:eastAsia="en-GB"/>
        </w:rPr>
      </w:pPr>
      <w:r w:rsidRPr="00E97FC1">
        <w:rPr>
          <w:lang w:val="en-GB"/>
        </w:rPr>
        <w:t>In summary, results presented here helped to interpret decades of experimental data for complex I and contributed to fundamental mechanistic understanding of protein function.</w:t>
      </w:r>
    </w:p>
    <w:p w14:paraId="73D82A65" w14:textId="370B7E28" w:rsidR="00C6715E" w:rsidRPr="00E97FC1" w:rsidRDefault="00C6715E" w:rsidP="00C6715E">
      <w:pPr>
        <w:rPr>
          <w:rFonts w:eastAsia="Times New Roman" w:cs="Times New Roman"/>
          <w:b/>
          <w:bCs/>
          <w:kern w:val="32"/>
          <w:sz w:val="28"/>
          <w:szCs w:val="32"/>
          <w:shd w:val="clear" w:color="auto" w:fill="FFFFFF"/>
          <w:lang w:val="en-GB" w:eastAsia="en-GB"/>
        </w:rPr>
      </w:pPr>
      <w:r w:rsidRPr="00E97FC1">
        <w:rPr>
          <w:rFonts w:eastAsia="Times New Roman" w:cs="Times New Roman"/>
          <w:szCs w:val="24"/>
          <w:shd w:val="clear" w:color="auto" w:fill="FFFFFF"/>
          <w:lang w:val="en-GB" w:eastAsia="en-GB"/>
        </w:rPr>
        <w:br w:type="page"/>
      </w:r>
    </w:p>
    <w:p w14:paraId="46DF6004" w14:textId="77777777" w:rsidR="00C6715E" w:rsidRPr="00E97FC1" w:rsidRDefault="00C6715E" w:rsidP="00C6715E">
      <w:pPr>
        <w:spacing w:before="100" w:beforeAutospacing="1" w:after="100" w:afterAutospacing="1"/>
        <w:ind w:left="360" w:hanging="360"/>
        <w:outlineLvl w:val="0"/>
        <w:rPr>
          <w:rFonts w:eastAsia="Times New Roman" w:cs="Times New Roman"/>
          <w:b/>
          <w:bCs/>
          <w:kern w:val="36"/>
          <w:sz w:val="30"/>
          <w:szCs w:val="30"/>
          <w:shd w:val="clear" w:color="auto" w:fill="FFFFFF"/>
          <w:lang w:val="en-GB"/>
        </w:rPr>
      </w:pPr>
      <w:bookmarkStart w:id="2" w:name="_Toc50549322"/>
      <w:bookmarkStart w:id="3" w:name="_Toc132639972"/>
      <w:r w:rsidRPr="00E97FC1">
        <w:rPr>
          <w:rFonts w:eastAsia="Times New Roman" w:cs="Times New Roman"/>
          <w:b/>
          <w:bCs/>
          <w:kern w:val="36"/>
          <w:sz w:val="30"/>
          <w:szCs w:val="30"/>
          <w:shd w:val="clear" w:color="auto" w:fill="FFFFFF"/>
          <w:lang w:val="en-GB"/>
        </w:rPr>
        <w:lastRenderedPageBreak/>
        <w:t>Acknowledgments</w:t>
      </w:r>
      <w:bookmarkEnd w:id="2"/>
      <w:bookmarkEnd w:id="3"/>
    </w:p>
    <w:p w14:paraId="72EC0347" w14:textId="7D24894D" w:rsidR="001F60CF" w:rsidRPr="00E97FC1" w:rsidRDefault="008276FB" w:rsidP="00C6715E">
      <w:pPr>
        <w:rPr>
          <w:rFonts w:eastAsia="Times New Roman" w:cs="Times New Roman"/>
          <w:szCs w:val="24"/>
          <w:shd w:val="clear" w:color="auto" w:fill="FFFFFF"/>
          <w:lang w:val="en-GB" w:eastAsia="en-GB"/>
        </w:rPr>
      </w:pPr>
      <w:r w:rsidRPr="00E97FC1">
        <w:rPr>
          <w:rFonts w:eastAsia="Times New Roman" w:cs="Times New Roman"/>
          <w:szCs w:val="24"/>
          <w:shd w:val="clear" w:color="auto" w:fill="FFFFFF"/>
          <w:lang w:val="en-GB" w:eastAsia="en-GB"/>
        </w:rPr>
        <w:t xml:space="preserve">I’m grateful to Prof Leonid Sazanov FRS for his excellent supervision and guidance during my PhD. I’ve learnt from him a lot and not only about structural biology and bioenergetics but also about life. </w:t>
      </w:r>
      <w:r w:rsidR="0042013F" w:rsidRPr="00E97FC1">
        <w:rPr>
          <w:rFonts w:eastAsia="Times New Roman" w:cs="Times New Roman"/>
          <w:szCs w:val="24"/>
          <w:shd w:val="clear" w:color="auto" w:fill="FFFFFF"/>
          <w:lang w:val="en-GB" w:eastAsia="en-GB"/>
        </w:rPr>
        <w:t>Go big or go home –</w:t>
      </w:r>
      <w:r w:rsidR="003E06F6" w:rsidRPr="00E97FC1">
        <w:rPr>
          <w:rFonts w:eastAsia="Times New Roman" w:cs="Times New Roman"/>
          <w:szCs w:val="24"/>
          <w:shd w:val="clear" w:color="auto" w:fill="FFFFFF"/>
          <w:lang w:val="en-GB" w:eastAsia="en-GB"/>
        </w:rPr>
        <w:t xml:space="preserve"> </w:t>
      </w:r>
      <w:r w:rsidR="00BA1D1F" w:rsidRPr="00E97FC1">
        <w:rPr>
          <w:rFonts w:eastAsia="Times New Roman" w:cs="Times New Roman"/>
          <w:szCs w:val="24"/>
          <w:shd w:val="clear" w:color="auto" w:fill="FFFFFF"/>
          <w:lang w:val="en-GB" w:eastAsia="en-GB"/>
        </w:rPr>
        <w:t>biggest takeaway</w:t>
      </w:r>
      <w:r w:rsidR="0042013F" w:rsidRPr="00E97FC1">
        <w:rPr>
          <w:rFonts w:eastAsia="Times New Roman" w:cs="Times New Roman"/>
          <w:szCs w:val="24"/>
          <w:shd w:val="clear" w:color="auto" w:fill="FFFFFF"/>
          <w:lang w:val="en-GB" w:eastAsia="en-GB"/>
        </w:rPr>
        <w:t xml:space="preserve"> for</w:t>
      </w:r>
      <w:r w:rsidR="003E06F6" w:rsidRPr="00E97FC1">
        <w:rPr>
          <w:rFonts w:eastAsia="Times New Roman" w:cs="Times New Roman"/>
          <w:szCs w:val="24"/>
          <w:shd w:val="clear" w:color="auto" w:fill="FFFFFF"/>
          <w:lang w:val="en-GB" w:eastAsia="en-GB"/>
        </w:rPr>
        <w:t xml:space="preserve"> my future pathway.</w:t>
      </w:r>
    </w:p>
    <w:p w14:paraId="56AAB819" w14:textId="77777777" w:rsidR="001F60CF" w:rsidRPr="00E97FC1" w:rsidRDefault="001F60CF" w:rsidP="00C6715E">
      <w:pPr>
        <w:rPr>
          <w:rFonts w:eastAsia="Times New Roman" w:cs="Times New Roman"/>
          <w:szCs w:val="24"/>
          <w:shd w:val="clear" w:color="auto" w:fill="FFFFFF"/>
          <w:lang w:val="en-GB" w:eastAsia="en-GB"/>
        </w:rPr>
      </w:pPr>
    </w:p>
    <w:p w14:paraId="02734369" w14:textId="7EAD284C" w:rsidR="00C6715E" w:rsidRPr="00E97FC1" w:rsidRDefault="0042013F" w:rsidP="00C6715E">
      <w:pPr>
        <w:rPr>
          <w:rFonts w:eastAsia="Times New Roman" w:cs="Times New Roman"/>
          <w:szCs w:val="24"/>
          <w:shd w:val="clear" w:color="auto" w:fill="FFFFFF"/>
          <w:lang w:val="en-GB" w:eastAsia="en-GB"/>
        </w:rPr>
      </w:pPr>
      <w:r w:rsidRPr="00E97FC1">
        <w:rPr>
          <w:rFonts w:eastAsia="Times New Roman" w:cs="Times New Roman"/>
          <w:szCs w:val="24"/>
          <w:shd w:val="clear" w:color="auto" w:fill="FFFFFF"/>
          <w:lang w:val="en-GB" w:eastAsia="en-GB"/>
        </w:rPr>
        <w:t>I would also like to thank my colleagues from IST Austria, namely K</w:t>
      </w:r>
      <w:r w:rsidR="001F60CF" w:rsidRPr="00E97FC1">
        <w:rPr>
          <w:rFonts w:eastAsia="Times New Roman" w:cs="Times New Roman"/>
          <w:szCs w:val="24"/>
          <w:shd w:val="clear" w:color="auto" w:fill="FFFFFF"/>
          <w:lang w:val="en-GB" w:eastAsia="en-GB"/>
        </w:rPr>
        <w:t>ristina</w:t>
      </w:r>
      <w:r w:rsidR="00391A28" w:rsidRPr="00E97FC1">
        <w:rPr>
          <w:rFonts w:eastAsia="Times New Roman" w:cs="Times New Roman"/>
          <w:szCs w:val="24"/>
          <w:shd w:val="clear" w:color="auto" w:fill="FFFFFF"/>
          <w:lang w:val="en-GB" w:eastAsia="en-GB"/>
        </w:rPr>
        <w:t xml:space="preserve"> </w:t>
      </w:r>
      <w:r w:rsidR="00391A28" w:rsidRPr="00E97FC1">
        <w:rPr>
          <w:lang w:val="en-GB"/>
        </w:rPr>
        <w:t>Lukić</w:t>
      </w:r>
      <w:r w:rsidR="001F60CF" w:rsidRPr="00E97FC1">
        <w:rPr>
          <w:rFonts w:eastAsia="Times New Roman" w:cs="Times New Roman"/>
          <w:szCs w:val="24"/>
          <w:shd w:val="clear" w:color="auto" w:fill="FFFFFF"/>
          <w:lang w:val="en-GB" w:eastAsia="en-GB"/>
        </w:rPr>
        <w:t xml:space="preserve"> and</w:t>
      </w:r>
      <w:r w:rsidRPr="00E97FC1">
        <w:rPr>
          <w:rFonts w:eastAsia="Times New Roman" w:cs="Times New Roman"/>
          <w:szCs w:val="24"/>
          <w:shd w:val="clear" w:color="auto" w:fill="FFFFFF"/>
          <w:lang w:val="en-GB" w:eastAsia="en-GB"/>
        </w:rPr>
        <w:t xml:space="preserve"> Julia</w:t>
      </w:r>
      <w:r w:rsidR="001F60CF" w:rsidRPr="00E97FC1">
        <w:rPr>
          <w:rFonts w:eastAsia="Times New Roman" w:cs="Times New Roman"/>
          <w:szCs w:val="24"/>
          <w:shd w:val="clear" w:color="auto" w:fill="FFFFFF"/>
          <w:lang w:val="en-GB" w:eastAsia="en-GB"/>
        </w:rPr>
        <w:t xml:space="preserve"> </w:t>
      </w:r>
      <w:r w:rsidR="00391A28" w:rsidRPr="00E97FC1">
        <w:rPr>
          <w:rFonts w:eastAsia="Times New Roman" w:cs="Times New Roman"/>
          <w:szCs w:val="24"/>
          <w:shd w:val="clear" w:color="auto" w:fill="FFFFFF"/>
          <w:lang w:val="en-GB" w:eastAsia="en-GB"/>
        </w:rPr>
        <w:t xml:space="preserve">Steiner </w:t>
      </w:r>
      <w:r w:rsidR="001F60CF" w:rsidRPr="00E97FC1">
        <w:rPr>
          <w:rFonts w:eastAsia="Times New Roman" w:cs="Times New Roman"/>
          <w:szCs w:val="24"/>
          <w:shd w:val="clear" w:color="auto" w:fill="FFFFFF"/>
          <w:lang w:val="en-GB" w:eastAsia="en-GB"/>
        </w:rPr>
        <w:t>who helped me a lot in the lab especially at the beginning</w:t>
      </w:r>
      <w:r w:rsidR="0020270A" w:rsidRPr="00E97FC1">
        <w:rPr>
          <w:rFonts w:eastAsia="Times New Roman" w:cs="Times New Roman"/>
          <w:szCs w:val="24"/>
          <w:shd w:val="clear" w:color="auto" w:fill="FFFFFF"/>
          <w:lang w:val="en-GB" w:eastAsia="en-GB"/>
        </w:rPr>
        <w:t>. Other members of the lab:</w:t>
      </w:r>
      <w:r w:rsidRPr="00E97FC1">
        <w:rPr>
          <w:rFonts w:eastAsia="Times New Roman" w:cs="Times New Roman"/>
          <w:szCs w:val="24"/>
          <w:shd w:val="clear" w:color="auto" w:fill="FFFFFF"/>
          <w:lang w:val="en-GB" w:eastAsia="en-GB"/>
        </w:rPr>
        <w:t xml:space="preserve"> G</w:t>
      </w:r>
      <w:r w:rsidR="00391A28" w:rsidRPr="00E97FC1">
        <w:rPr>
          <w:rFonts w:eastAsia="Times New Roman" w:cs="Times New Roman"/>
          <w:szCs w:val="24"/>
          <w:shd w:val="clear" w:color="auto" w:fill="FFFFFF"/>
          <w:lang w:val="en-GB" w:eastAsia="en-GB"/>
        </w:rPr>
        <w:t>ergel</w:t>
      </w:r>
      <w:r w:rsidRPr="00E97FC1">
        <w:rPr>
          <w:rFonts w:eastAsia="Times New Roman" w:cs="Times New Roman"/>
          <w:szCs w:val="24"/>
          <w:shd w:val="clear" w:color="auto" w:fill="FFFFFF"/>
          <w:lang w:val="en-GB" w:eastAsia="en-GB"/>
        </w:rPr>
        <w:t>y</w:t>
      </w:r>
      <w:r w:rsidR="00391A28" w:rsidRPr="00E97FC1">
        <w:rPr>
          <w:rFonts w:eastAsia="Times New Roman" w:cs="Times New Roman"/>
          <w:szCs w:val="24"/>
          <w:shd w:val="clear" w:color="auto" w:fill="FFFFFF"/>
          <w:lang w:val="en-GB" w:eastAsia="en-GB"/>
        </w:rPr>
        <w:t xml:space="preserve"> Pinke</w:t>
      </w:r>
      <w:r w:rsidRPr="00E97FC1">
        <w:rPr>
          <w:rFonts w:eastAsia="Times New Roman" w:cs="Times New Roman"/>
          <w:szCs w:val="24"/>
          <w:shd w:val="clear" w:color="auto" w:fill="FFFFFF"/>
          <w:lang w:val="en-GB" w:eastAsia="en-GB"/>
        </w:rPr>
        <w:t>, Irene</w:t>
      </w:r>
      <w:r w:rsidR="00391A28" w:rsidRPr="00E97FC1">
        <w:rPr>
          <w:rFonts w:eastAsia="Times New Roman" w:cs="Times New Roman"/>
          <w:szCs w:val="24"/>
          <w:shd w:val="clear" w:color="auto" w:fill="FFFFFF"/>
          <w:lang w:val="en-GB" w:eastAsia="en-GB"/>
        </w:rPr>
        <w:t xml:space="preserve"> </w:t>
      </w:r>
      <w:r w:rsidR="00391A28" w:rsidRPr="00E97FC1">
        <w:rPr>
          <w:lang w:val="en-GB"/>
        </w:rPr>
        <w:t>Vercellino</w:t>
      </w:r>
      <w:r w:rsidR="0020270A" w:rsidRPr="00E97FC1">
        <w:rPr>
          <w:rFonts w:eastAsia="Times New Roman" w:cs="Times New Roman"/>
          <w:szCs w:val="24"/>
          <w:shd w:val="clear" w:color="auto" w:fill="FFFFFF"/>
          <w:lang w:val="en-GB" w:eastAsia="en-GB"/>
        </w:rPr>
        <w:t xml:space="preserve"> and</w:t>
      </w:r>
      <w:r w:rsidRPr="00E97FC1">
        <w:rPr>
          <w:rFonts w:eastAsia="Times New Roman" w:cs="Times New Roman"/>
          <w:szCs w:val="24"/>
          <w:shd w:val="clear" w:color="auto" w:fill="FFFFFF"/>
          <w:lang w:val="en-GB" w:eastAsia="en-GB"/>
        </w:rPr>
        <w:t xml:space="preserve"> Domen</w:t>
      </w:r>
      <w:r w:rsidR="001F60CF" w:rsidRPr="00E97FC1">
        <w:rPr>
          <w:rFonts w:eastAsia="Times New Roman" w:cs="Times New Roman"/>
          <w:szCs w:val="24"/>
          <w:shd w:val="clear" w:color="auto" w:fill="FFFFFF"/>
          <w:lang w:val="en-GB" w:eastAsia="en-GB"/>
        </w:rPr>
        <w:t xml:space="preserve"> </w:t>
      </w:r>
      <w:r w:rsidR="00391A28" w:rsidRPr="00E97FC1">
        <w:rPr>
          <w:rFonts w:eastAsia="Times New Roman" w:cs="Times New Roman"/>
          <w:szCs w:val="24"/>
          <w:shd w:val="clear" w:color="auto" w:fill="FFFFFF"/>
          <w:lang w:val="en-GB" w:eastAsia="en-GB"/>
        </w:rPr>
        <w:t xml:space="preserve">Kampjut </w:t>
      </w:r>
      <w:r w:rsidR="001F60CF" w:rsidRPr="00E97FC1">
        <w:rPr>
          <w:rFonts w:eastAsia="Times New Roman" w:cs="Times New Roman"/>
          <w:szCs w:val="24"/>
          <w:shd w:val="clear" w:color="auto" w:fill="FFFFFF"/>
          <w:lang w:val="en-GB" w:eastAsia="en-GB"/>
        </w:rPr>
        <w:t xml:space="preserve">for fun times and support during my stay at IST Austria. </w:t>
      </w:r>
      <w:r w:rsidR="0020270A" w:rsidRPr="00E97FC1">
        <w:rPr>
          <w:rFonts w:eastAsia="Times New Roman" w:cs="Times New Roman"/>
          <w:szCs w:val="24"/>
          <w:shd w:val="clear" w:color="auto" w:fill="FFFFFF"/>
          <w:lang w:val="en-GB" w:eastAsia="en-GB"/>
        </w:rPr>
        <w:t>We became good friends and I’m happy to have you guys in my life.</w:t>
      </w:r>
    </w:p>
    <w:p w14:paraId="6D475D73" w14:textId="6FD00FC8" w:rsidR="001F60CF" w:rsidRPr="00E97FC1" w:rsidRDefault="001F60CF" w:rsidP="00C6715E">
      <w:pPr>
        <w:rPr>
          <w:rFonts w:eastAsia="Times New Roman" w:cs="Times New Roman"/>
          <w:szCs w:val="24"/>
          <w:shd w:val="clear" w:color="auto" w:fill="FFFFFF"/>
          <w:lang w:val="en-GB" w:eastAsia="en-GB"/>
        </w:rPr>
      </w:pPr>
    </w:p>
    <w:p w14:paraId="1BFA6F9C" w14:textId="4249673F" w:rsidR="001F60CF" w:rsidRPr="00E97FC1" w:rsidRDefault="001F60CF" w:rsidP="00D344B6">
      <w:pPr>
        <w:rPr>
          <w:lang w:val="en-GB"/>
        </w:rPr>
      </w:pPr>
      <w:r w:rsidRPr="00E97FC1">
        <w:rPr>
          <w:rFonts w:eastAsia="Times New Roman" w:cs="Times New Roman"/>
          <w:szCs w:val="24"/>
          <w:shd w:val="clear" w:color="auto" w:fill="FFFFFF"/>
          <w:lang w:val="en-GB" w:eastAsia="en-GB"/>
        </w:rPr>
        <w:t>I</w:t>
      </w:r>
      <w:r w:rsidR="003E06F6" w:rsidRPr="00E97FC1">
        <w:rPr>
          <w:lang w:val="en-GB"/>
        </w:rPr>
        <w:t xml:space="preserve"> acknowledge</w:t>
      </w:r>
      <w:r w:rsidR="003E06F6" w:rsidRPr="00E97FC1">
        <w:rPr>
          <w:rFonts w:eastAsia="Times New Roman" w:cs="Times New Roman"/>
          <w:szCs w:val="24"/>
          <w:shd w:val="clear" w:color="auto" w:fill="FFFFFF"/>
          <w:lang w:val="en-GB" w:eastAsia="en-GB"/>
        </w:rPr>
        <w:t xml:space="preserve"> </w:t>
      </w:r>
      <w:r w:rsidRPr="00E97FC1">
        <w:rPr>
          <w:rFonts w:eastAsia="Times New Roman" w:cs="Times New Roman"/>
          <w:szCs w:val="24"/>
          <w:shd w:val="clear" w:color="auto" w:fill="FFFFFF"/>
          <w:lang w:val="en-GB" w:eastAsia="en-GB"/>
        </w:rPr>
        <w:t>IST</w:t>
      </w:r>
      <w:r w:rsidR="003E06F6" w:rsidRPr="00E97FC1">
        <w:rPr>
          <w:rFonts w:eastAsia="Times New Roman" w:cs="Times New Roman"/>
          <w:szCs w:val="24"/>
          <w:shd w:val="clear" w:color="auto" w:fill="FFFFFF"/>
          <w:lang w:val="en-GB" w:eastAsia="en-GB"/>
        </w:rPr>
        <w:t xml:space="preserve"> scientific support</w:t>
      </w:r>
      <w:r w:rsidRPr="00E97FC1">
        <w:rPr>
          <w:rFonts w:eastAsia="Times New Roman" w:cs="Times New Roman"/>
          <w:szCs w:val="24"/>
          <w:shd w:val="clear" w:color="auto" w:fill="FFFFFF"/>
          <w:lang w:val="en-GB" w:eastAsia="en-GB"/>
        </w:rPr>
        <w:t xml:space="preserve"> facilities, especially EMF, for their excellent job in training and assistance. Special thanks to Dr Valentin Hodirnau who helped me to collect most of my data and</w:t>
      </w:r>
      <w:r w:rsidR="00391A28" w:rsidRPr="00E97FC1">
        <w:rPr>
          <w:rFonts w:eastAsia="Times New Roman" w:cs="Times New Roman"/>
          <w:szCs w:val="24"/>
          <w:shd w:val="clear" w:color="auto" w:fill="FFFFFF"/>
          <w:lang w:val="en-GB" w:eastAsia="en-GB"/>
        </w:rPr>
        <w:t xml:space="preserve"> Dr</w:t>
      </w:r>
      <w:r w:rsidRPr="00E97FC1">
        <w:rPr>
          <w:rFonts w:eastAsia="Times New Roman" w:cs="Times New Roman"/>
          <w:szCs w:val="24"/>
          <w:shd w:val="clear" w:color="auto" w:fill="FFFFFF"/>
          <w:lang w:val="en-GB" w:eastAsia="en-GB"/>
        </w:rPr>
        <w:t xml:space="preserve"> Alexej Charnagalov </w:t>
      </w:r>
      <w:r w:rsidR="0020270A" w:rsidRPr="00E97FC1">
        <w:rPr>
          <w:rFonts w:eastAsia="Times New Roman" w:cs="Times New Roman"/>
          <w:szCs w:val="24"/>
          <w:shd w:val="clear" w:color="auto" w:fill="FFFFFF"/>
          <w:lang w:val="en-GB" w:eastAsia="en-GB"/>
        </w:rPr>
        <w:t xml:space="preserve">for his expert help with protein purification. </w:t>
      </w:r>
      <w:r w:rsidR="0020270A" w:rsidRPr="00E97FC1">
        <w:rPr>
          <w:lang w:val="en-GB"/>
        </w:rPr>
        <w:t>I am a recipient of a DOC Fellowship of the Austrian Academy of Sciences</w:t>
      </w:r>
      <w:r w:rsidR="00D344B6">
        <w:rPr>
          <w:lang w:val="en-GB"/>
        </w:rPr>
        <w:t>, titled “</w:t>
      </w:r>
      <w:r w:rsidR="00D344B6" w:rsidRPr="00D344B6">
        <w:rPr>
          <w:lang w:val="en-GB"/>
        </w:rPr>
        <w:t xml:space="preserve">Structural characterization of </w:t>
      </w:r>
      <w:r w:rsidR="00D344B6" w:rsidRPr="00161883">
        <w:rPr>
          <w:i/>
          <w:lang w:val="en-GB"/>
        </w:rPr>
        <w:t>E. coli</w:t>
      </w:r>
      <w:r w:rsidR="00D344B6" w:rsidRPr="00D344B6">
        <w:rPr>
          <w:lang w:val="en-GB"/>
        </w:rPr>
        <w:t xml:space="preserve"> complex I: an important mechanistic model</w:t>
      </w:r>
      <w:r w:rsidR="00D344B6">
        <w:rPr>
          <w:lang w:val="en-GB"/>
        </w:rPr>
        <w:t>” under the grant number 25541</w:t>
      </w:r>
      <w:r w:rsidR="0020270A" w:rsidRPr="00E97FC1">
        <w:rPr>
          <w:lang w:val="en-GB"/>
        </w:rPr>
        <w:t>.</w:t>
      </w:r>
      <w:r w:rsidR="007A2810">
        <w:rPr>
          <w:lang w:val="en-GB"/>
        </w:rPr>
        <w:t xml:space="preserve"> This work was also partially </w:t>
      </w:r>
      <w:r w:rsidR="007A2810" w:rsidRPr="007A2810">
        <w:rPr>
          <w:lang w:val="en-GB"/>
        </w:rPr>
        <w:t>funded by the ERC Advanced G</w:t>
      </w:r>
      <w:r w:rsidR="007A2810">
        <w:rPr>
          <w:lang w:val="en-GB"/>
        </w:rPr>
        <w:t xml:space="preserve">rant 101020697 RESPICHAIN. </w:t>
      </w:r>
    </w:p>
    <w:p w14:paraId="6443A457" w14:textId="22CFABF3" w:rsidR="0020270A" w:rsidRPr="00E97FC1" w:rsidRDefault="0020270A" w:rsidP="00C6715E">
      <w:pPr>
        <w:rPr>
          <w:lang w:val="en-GB"/>
        </w:rPr>
      </w:pPr>
      <w:bookmarkStart w:id="4" w:name="_GoBack"/>
      <w:bookmarkEnd w:id="4"/>
    </w:p>
    <w:p w14:paraId="14045003" w14:textId="6074D6F9" w:rsidR="0020270A" w:rsidRPr="00E97FC1" w:rsidRDefault="0020270A" w:rsidP="00C6715E">
      <w:pPr>
        <w:rPr>
          <w:lang w:val="en-GB"/>
        </w:rPr>
      </w:pPr>
      <w:r w:rsidRPr="00E97FC1">
        <w:rPr>
          <w:lang w:val="en-GB"/>
        </w:rPr>
        <w:t>I</w:t>
      </w:r>
      <w:r w:rsidR="003E06F6" w:rsidRPr="00E97FC1">
        <w:rPr>
          <w:lang w:val="en-GB"/>
        </w:rPr>
        <w:t>’m thankful to my first biology teacher Lydmila Oleksiivna for instilling love for life science and many other teachers and research supervisors</w:t>
      </w:r>
      <w:r w:rsidR="00391A28" w:rsidRPr="00E97FC1">
        <w:rPr>
          <w:lang w:val="en-GB"/>
        </w:rPr>
        <w:t xml:space="preserve"> I had</w:t>
      </w:r>
      <w:r w:rsidR="00E05B14" w:rsidRPr="00E97FC1">
        <w:rPr>
          <w:lang w:val="en-GB"/>
        </w:rPr>
        <w:t xml:space="preserve"> along the way</w:t>
      </w:r>
      <w:r w:rsidR="003E06F6" w:rsidRPr="00E97FC1">
        <w:rPr>
          <w:lang w:val="en-GB"/>
        </w:rPr>
        <w:t>.</w:t>
      </w:r>
    </w:p>
    <w:p w14:paraId="15AB4E45" w14:textId="70EB657B" w:rsidR="003E06F6" w:rsidRPr="00E97FC1" w:rsidRDefault="003E06F6" w:rsidP="00C6715E">
      <w:pPr>
        <w:rPr>
          <w:lang w:val="en-GB"/>
        </w:rPr>
      </w:pPr>
    </w:p>
    <w:p w14:paraId="11A1048A" w14:textId="6F3C717F" w:rsidR="003E06F6" w:rsidRPr="00E97FC1" w:rsidRDefault="003E06F6" w:rsidP="00C6715E">
      <w:pPr>
        <w:rPr>
          <w:rFonts w:eastAsia="Times New Roman" w:cs="Times New Roman"/>
          <w:szCs w:val="24"/>
          <w:shd w:val="clear" w:color="auto" w:fill="FFFFFF"/>
          <w:lang w:val="en-GB" w:eastAsia="en-GB"/>
        </w:rPr>
      </w:pPr>
      <w:r w:rsidRPr="00E97FC1">
        <w:rPr>
          <w:lang w:val="en-GB"/>
        </w:rPr>
        <w:t xml:space="preserve">Last but not least, I’m grateful to my family and parents for the </w:t>
      </w:r>
      <w:r w:rsidR="00391A28" w:rsidRPr="00E97FC1">
        <w:rPr>
          <w:lang w:val="en-GB"/>
        </w:rPr>
        <w:t>immense support in my life. Without them none of this would be possible.</w:t>
      </w:r>
    </w:p>
    <w:p w14:paraId="1AEDD156" w14:textId="77777777" w:rsidR="00C6715E" w:rsidRPr="00E97FC1" w:rsidRDefault="00C6715E" w:rsidP="00C6715E">
      <w:pPr>
        <w:spacing w:before="100" w:beforeAutospacing="1" w:after="100" w:afterAutospacing="1"/>
        <w:ind w:left="432" w:hanging="432"/>
        <w:outlineLvl w:val="0"/>
        <w:rPr>
          <w:rFonts w:eastAsia="Times New Roman" w:cs="Times New Roman"/>
          <w:b/>
          <w:bCs/>
          <w:kern w:val="36"/>
          <w:sz w:val="32"/>
          <w:szCs w:val="30"/>
          <w:shd w:val="clear" w:color="auto" w:fill="FFFFFF"/>
          <w:lang w:val="en-GB"/>
        </w:rPr>
      </w:pPr>
      <w:r w:rsidRPr="00E97FC1">
        <w:rPr>
          <w:rFonts w:eastAsia="Times New Roman" w:cs="Times New Roman"/>
          <w:b/>
          <w:bCs/>
          <w:kern w:val="36"/>
          <w:sz w:val="32"/>
          <w:szCs w:val="30"/>
          <w:shd w:val="clear" w:color="auto" w:fill="FFFFFF"/>
          <w:lang w:val="en-GB"/>
        </w:rPr>
        <w:br w:type="page"/>
      </w:r>
      <w:bookmarkStart w:id="5" w:name="_Toc50549323"/>
      <w:bookmarkStart w:id="6" w:name="_Toc132639973"/>
      <w:r w:rsidRPr="00E97FC1">
        <w:rPr>
          <w:rFonts w:eastAsia="Times New Roman" w:cs="Times New Roman"/>
          <w:b/>
          <w:bCs/>
          <w:kern w:val="36"/>
          <w:sz w:val="30"/>
          <w:szCs w:val="30"/>
          <w:shd w:val="clear" w:color="auto" w:fill="FFFFFF"/>
          <w:lang w:val="en-GB"/>
        </w:rPr>
        <w:lastRenderedPageBreak/>
        <w:t>About the Author</w:t>
      </w:r>
      <w:bookmarkEnd w:id="5"/>
      <w:bookmarkEnd w:id="6"/>
    </w:p>
    <w:p w14:paraId="3084A0F2" w14:textId="363A029D" w:rsidR="00C6715E" w:rsidRPr="00E97FC1" w:rsidRDefault="00214671" w:rsidP="00C6715E">
      <w:pPr>
        <w:rPr>
          <w:rFonts w:eastAsia="Times New Roman" w:cs="Times New Roman"/>
          <w:szCs w:val="24"/>
          <w:shd w:val="clear" w:color="auto" w:fill="FFFFFF"/>
          <w:lang w:val="en-GB" w:eastAsia="en-GB"/>
        </w:rPr>
      </w:pPr>
      <w:r w:rsidRPr="00E97FC1">
        <w:rPr>
          <w:rFonts w:eastAsia="Times New Roman" w:cs="Times New Roman"/>
          <w:szCs w:val="24"/>
          <w:shd w:val="clear" w:color="auto" w:fill="FFFFFF"/>
          <w:lang w:val="en-GB" w:eastAsia="en-GB"/>
        </w:rPr>
        <w:t>Vladyslav Kravchuk completed a BSc in Biotechnology</w:t>
      </w:r>
      <w:r w:rsidR="00C6715E" w:rsidRPr="00E97FC1">
        <w:rPr>
          <w:rFonts w:eastAsia="Times New Roman" w:cs="Times New Roman"/>
          <w:szCs w:val="24"/>
          <w:shd w:val="clear" w:color="auto" w:fill="FFFFFF"/>
          <w:lang w:val="en-GB" w:eastAsia="en-GB"/>
        </w:rPr>
        <w:t xml:space="preserve"> at the</w:t>
      </w:r>
      <w:r w:rsidRPr="00E97FC1">
        <w:rPr>
          <w:rFonts w:eastAsia="Times New Roman" w:cs="Times New Roman"/>
          <w:szCs w:val="24"/>
          <w:shd w:val="clear" w:color="auto" w:fill="FFFFFF"/>
          <w:lang w:val="en-GB" w:eastAsia="en-GB"/>
        </w:rPr>
        <w:t xml:space="preserve"> National Aviation Univesity in Ukraine. During his studies </w:t>
      </w:r>
      <w:r w:rsidR="00C6715E" w:rsidRPr="00E97FC1">
        <w:rPr>
          <w:rFonts w:eastAsia="Times New Roman" w:cs="Times New Roman"/>
          <w:szCs w:val="24"/>
          <w:shd w:val="clear" w:color="auto" w:fill="FFFFFF"/>
          <w:lang w:val="en-GB" w:eastAsia="en-GB"/>
        </w:rPr>
        <w:t>he worked with P</w:t>
      </w:r>
      <w:r w:rsidRPr="00E97FC1">
        <w:rPr>
          <w:rFonts w:eastAsia="Times New Roman" w:cs="Times New Roman"/>
          <w:szCs w:val="24"/>
          <w:shd w:val="clear" w:color="auto" w:fill="FFFFFF"/>
          <w:lang w:val="en-GB" w:eastAsia="en-GB"/>
        </w:rPr>
        <w:t>rofessor Alexander Kornelyuk on molecular dynamics and mechanism of mammalian cytoplasmic tyrosyl-tRNA synthetase. Vladyslav</w:t>
      </w:r>
      <w:r w:rsidR="00C6715E" w:rsidRPr="00E97FC1">
        <w:rPr>
          <w:rFonts w:eastAsia="Times New Roman" w:cs="Times New Roman"/>
          <w:szCs w:val="24"/>
          <w:shd w:val="clear" w:color="auto" w:fill="FFFFFF"/>
          <w:lang w:val="en-GB" w:eastAsia="en-GB"/>
        </w:rPr>
        <w:t xml:space="preserve"> join</w:t>
      </w:r>
      <w:r w:rsidRPr="00E97FC1">
        <w:rPr>
          <w:rFonts w:eastAsia="Times New Roman" w:cs="Times New Roman"/>
          <w:szCs w:val="24"/>
          <w:shd w:val="clear" w:color="auto" w:fill="FFFFFF"/>
          <w:lang w:val="en-GB" w:eastAsia="en-GB"/>
        </w:rPr>
        <w:t>ed IST Austria in September 2017</w:t>
      </w:r>
      <w:r w:rsidR="00C6715E" w:rsidRPr="00E97FC1">
        <w:rPr>
          <w:rFonts w:eastAsia="Times New Roman" w:cs="Times New Roman"/>
          <w:szCs w:val="24"/>
          <w:shd w:val="clear" w:color="auto" w:fill="FFFFFF"/>
          <w:lang w:val="en-GB" w:eastAsia="en-GB"/>
        </w:rPr>
        <w:t xml:space="preserve"> to work with Professor Leonid Sazanov on the molecular structure and function of </w:t>
      </w:r>
      <w:r w:rsidR="00557FCF" w:rsidRPr="00E97FC1">
        <w:rPr>
          <w:rFonts w:eastAsia="Times New Roman" w:cs="Times New Roman"/>
          <w:szCs w:val="24"/>
          <w:shd w:val="clear" w:color="auto" w:fill="FFFFFF"/>
          <w:lang w:val="en-GB" w:eastAsia="en-GB"/>
        </w:rPr>
        <w:t>molecular proton pumps involved in energy production</w:t>
      </w:r>
      <w:r w:rsidR="00C6715E" w:rsidRPr="00E97FC1">
        <w:rPr>
          <w:rFonts w:eastAsia="Times New Roman" w:cs="Times New Roman"/>
          <w:szCs w:val="24"/>
          <w:shd w:val="clear" w:color="auto" w:fill="FFFFFF"/>
          <w:lang w:val="en-GB" w:eastAsia="en-GB"/>
        </w:rPr>
        <w:t xml:space="preserve"> and to learn cr</w:t>
      </w:r>
      <w:r w:rsidR="001C2F9D" w:rsidRPr="00E97FC1">
        <w:rPr>
          <w:rFonts w:eastAsia="Times New Roman" w:cs="Times New Roman"/>
          <w:szCs w:val="24"/>
          <w:shd w:val="clear" w:color="auto" w:fill="FFFFFF"/>
          <w:lang w:val="en-GB" w:eastAsia="en-GB"/>
        </w:rPr>
        <w:t>yogenic electron microscopy. His</w:t>
      </w:r>
      <w:r w:rsidR="00C6715E" w:rsidRPr="00E97FC1">
        <w:rPr>
          <w:rFonts w:eastAsia="Times New Roman" w:cs="Times New Roman"/>
          <w:szCs w:val="24"/>
          <w:shd w:val="clear" w:color="auto" w:fill="FFFFFF"/>
          <w:lang w:val="en-GB" w:eastAsia="en-GB"/>
        </w:rPr>
        <w:t xml:space="preserve"> results build the basis for a </w:t>
      </w:r>
      <w:r w:rsidR="00502F21" w:rsidRPr="00E97FC1">
        <w:rPr>
          <w:rFonts w:eastAsia="Times New Roman" w:cs="Times New Roman"/>
          <w:szCs w:val="24"/>
          <w:shd w:val="clear" w:color="auto" w:fill="FFFFFF"/>
          <w:lang w:val="en-GB" w:eastAsia="en-GB"/>
        </w:rPr>
        <w:t xml:space="preserve">first-author publication in the </w:t>
      </w:r>
      <w:r w:rsidR="00C6715E" w:rsidRPr="00E97FC1">
        <w:rPr>
          <w:rFonts w:eastAsia="Times New Roman" w:cs="Times New Roman"/>
          <w:szCs w:val="24"/>
          <w:shd w:val="clear" w:color="auto" w:fill="FFFFFF"/>
          <w:lang w:val="en-GB" w:eastAsia="en-GB"/>
        </w:rPr>
        <w:t>journal</w:t>
      </w:r>
      <w:r w:rsidR="00502F21" w:rsidRPr="00E97FC1">
        <w:rPr>
          <w:rFonts w:eastAsia="Times New Roman" w:cs="Times New Roman"/>
          <w:szCs w:val="24"/>
          <w:shd w:val="clear" w:color="auto" w:fill="FFFFFF"/>
          <w:lang w:val="en-GB" w:eastAsia="en-GB"/>
        </w:rPr>
        <w:t xml:space="preserve"> Nature</w:t>
      </w:r>
      <w:r w:rsidR="00ED7A1A" w:rsidRPr="00E97FC1">
        <w:rPr>
          <w:rFonts w:eastAsia="Times New Roman" w:cs="Times New Roman"/>
          <w:szCs w:val="24"/>
          <w:shd w:val="clear" w:color="auto" w:fill="FFFFFF"/>
          <w:lang w:val="en-GB" w:eastAsia="en-GB"/>
        </w:rPr>
        <w:t xml:space="preserve"> and presented at several conferences</w:t>
      </w:r>
      <w:r w:rsidR="00C6715E" w:rsidRPr="00E97FC1">
        <w:rPr>
          <w:rFonts w:eastAsia="Times New Roman" w:cs="Times New Roman"/>
          <w:szCs w:val="24"/>
          <w:shd w:val="clear" w:color="auto" w:fill="FFFFFF"/>
          <w:lang w:val="en-GB" w:eastAsia="en-GB"/>
        </w:rPr>
        <w:t xml:space="preserve">. </w:t>
      </w:r>
    </w:p>
    <w:p w14:paraId="6B1F2014" w14:textId="77777777" w:rsidR="00C6715E" w:rsidRPr="00E97FC1" w:rsidRDefault="00C6715E" w:rsidP="00C6715E">
      <w:pPr>
        <w:rPr>
          <w:rFonts w:eastAsia="Times New Roman" w:cs="Times New Roman"/>
          <w:szCs w:val="24"/>
          <w:shd w:val="clear" w:color="auto" w:fill="FFFFFF"/>
          <w:lang w:val="en-GB" w:eastAsia="en-GB"/>
        </w:rPr>
      </w:pPr>
      <w:r w:rsidRPr="00E97FC1">
        <w:rPr>
          <w:rFonts w:eastAsia="Times New Roman" w:cs="Times New Roman"/>
          <w:szCs w:val="24"/>
          <w:shd w:val="clear" w:color="auto" w:fill="FFFFFF"/>
          <w:lang w:val="en-GB" w:eastAsia="en-GB"/>
        </w:rPr>
        <w:br w:type="page"/>
      </w:r>
    </w:p>
    <w:p w14:paraId="241E9A00" w14:textId="77777777" w:rsidR="004E392D" w:rsidRPr="00E97FC1" w:rsidRDefault="004E392D" w:rsidP="004E392D">
      <w:pPr>
        <w:rPr>
          <w:rFonts w:eastAsia="Times New Roman" w:cs="Times New Roman"/>
          <w:b/>
          <w:sz w:val="28"/>
          <w:szCs w:val="24"/>
          <w:lang w:val="en-GB"/>
        </w:rPr>
      </w:pPr>
      <w:r w:rsidRPr="00E97FC1">
        <w:rPr>
          <w:rFonts w:eastAsia="Times New Roman" w:cs="Times New Roman"/>
          <w:b/>
          <w:sz w:val="28"/>
          <w:szCs w:val="24"/>
          <w:lang w:val="en-GB"/>
        </w:rPr>
        <w:lastRenderedPageBreak/>
        <w:t>List of Publications Appearing in Thesis</w:t>
      </w:r>
    </w:p>
    <w:p w14:paraId="7D38FE22" w14:textId="215B8503" w:rsidR="004E392D" w:rsidRPr="00E97FC1" w:rsidRDefault="004E392D" w:rsidP="004E392D">
      <w:pPr>
        <w:rPr>
          <w:rFonts w:eastAsia="Times New Roman" w:cs="Times New Roman"/>
          <w:szCs w:val="24"/>
          <w:lang w:val="en-GB"/>
        </w:rPr>
      </w:pPr>
    </w:p>
    <w:p w14:paraId="78452812" w14:textId="73C966F2" w:rsidR="00ED7A1A" w:rsidRPr="00E97FC1" w:rsidRDefault="00ED7A1A" w:rsidP="004E392D">
      <w:pPr>
        <w:rPr>
          <w:rFonts w:eastAsia="Times New Roman" w:cs="Times New Roman"/>
          <w:szCs w:val="24"/>
          <w:lang w:val="en-GB"/>
        </w:rPr>
      </w:pPr>
      <w:r w:rsidRPr="00E97FC1">
        <w:rPr>
          <w:rFonts w:eastAsia="Times New Roman" w:cs="Times New Roman"/>
          <w:szCs w:val="24"/>
          <w:lang w:val="en-GB"/>
        </w:rPr>
        <w:t>Chapter 3, as well as parts of chapter 2 have been published here:</w:t>
      </w:r>
    </w:p>
    <w:p w14:paraId="34472886" w14:textId="77777777" w:rsidR="00ED7A1A" w:rsidRPr="00E97FC1" w:rsidRDefault="00ED7A1A" w:rsidP="004E392D">
      <w:pPr>
        <w:rPr>
          <w:rFonts w:eastAsia="Times New Roman" w:cs="Times New Roman"/>
          <w:szCs w:val="24"/>
          <w:lang w:val="en-GB"/>
        </w:rPr>
      </w:pPr>
    </w:p>
    <w:p w14:paraId="5D8E739C" w14:textId="107E26D6" w:rsidR="008E5986" w:rsidRPr="00E97FC1" w:rsidRDefault="008E5986" w:rsidP="00ED7A1A">
      <w:pPr>
        <w:ind w:left="720"/>
        <w:rPr>
          <w:rFonts w:eastAsia="Times New Roman" w:cs="Times New Roman"/>
          <w:szCs w:val="24"/>
          <w:lang w:val="en-GB"/>
        </w:rPr>
      </w:pPr>
      <w:r w:rsidRPr="00E97FC1">
        <w:rPr>
          <w:rFonts w:eastAsia="Times New Roman" w:cs="Times New Roman"/>
          <w:szCs w:val="24"/>
          <w:lang w:val="en-GB"/>
        </w:rPr>
        <w:t>Kravchuk V., Petrova O., Kampjut D., Wojciechowska-Bason A., Breese Z. &amp; Sazanov L</w:t>
      </w:r>
      <w:r w:rsidRPr="00E97FC1">
        <w:rPr>
          <w:rFonts w:eastAsia="Times New Roman" w:cs="Times New Roman"/>
          <w:i/>
          <w:iCs/>
          <w:szCs w:val="24"/>
          <w:lang w:val="en-GB"/>
        </w:rPr>
        <w:t>.</w:t>
      </w:r>
      <w:r w:rsidRPr="00E97FC1">
        <w:rPr>
          <w:rFonts w:eastAsia="Times New Roman" w:cs="Times New Roman"/>
          <w:szCs w:val="24"/>
          <w:lang w:val="en-GB"/>
        </w:rPr>
        <w:t xml:space="preserve"> A universal coupling mechanism of respiratory complex I. </w:t>
      </w:r>
      <w:r w:rsidRPr="00E97FC1">
        <w:rPr>
          <w:rFonts w:eastAsia="Times New Roman" w:cs="Times New Roman"/>
          <w:i/>
          <w:iCs/>
          <w:szCs w:val="24"/>
          <w:lang w:val="en-GB"/>
        </w:rPr>
        <w:t>Nature</w:t>
      </w:r>
      <w:r w:rsidR="00ED7A1A" w:rsidRPr="00E97FC1">
        <w:rPr>
          <w:rFonts w:eastAsia="Times New Roman" w:cs="Times New Roman"/>
          <w:szCs w:val="24"/>
          <w:lang w:val="en-GB"/>
        </w:rPr>
        <w:t xml:space="preserve"> </w:t>
      </w:r>
      <w:r w:rsidRPr="00E97FC1">
        <w:rPr>
          <w:rFonts w:eastAsia="Times New Roman" w:cs="Times New Roman"/>
          <w:b/>
          <w:bCs/>
          <w:szCs w:val="24"/>
          <w:lang w:val="en-GB"/>
        </w:rPr>
        <w:t>609</w:t>
      </w:r>
      <w:r w:rsidRPr="00E97FC1">
        <w:rPr>
          <w:rFonts w:eastAsia="Times New Roman" w:cs="Times New Roman"/>
          <w:szCs w:val="24"/>
          <w:lang w:val="en-GB"/>
        </w:rPr>
        <w:t>, 808–814 (2022). https://doi.org/10.1038/s41586-022-05199-7</w:t>
      </w:r>
    </w:p>
    <w:p w14:paraId="6483F2C6" w14:textId="77777777" w:rsidR="008E5986" w:rsidRPr="00E97FC1" w:rsidRDefault="008E5986" w:rsidP="004E392D">
      <w:pPr>
        <w:rPr>
          <w:rFonts w:eastAsia="Times New Roman" w:cs="Times New Roman"/>
          <w:szCs w:val="24"/>
          <w:lang w:val="en-GB"/>
        </w:rPr>
      </w:pPr>
    </w:p>
    <w:p w14:paraId="0E7A51AB" w14:textId="77777777" w:rsidR="004E392D" w:rsidRPr="00E97FC1" w:rsidRDefault="004E392D" w:rsidP="004E392D">
      <w:pPr>
        <w:rPr>
          <w:rFonts w:eastAsia="Times New Roman" w:cs="Times New Roman"/>
          <w:szCs w:val="24"/>
          <w:lang w:val="en-GB"/>
        </w:rPr>
      </w:pPr>
      <w:r w:rsidRPr="00E97FC1">
        <w:rPr>
          <w:rFonts w:eastAsia="Times New Roman" w:cs="Times New Roman"/>
          <w:szCs w:val="24"/>
          <w:lang w:val="en-GB"/>
        </w:rPr>
        <w:br w:type="page"/>
      </w:r>
    </w:p>
    <w:p w14:paraId="059BD595" w14:textId="77777777" w:rsidR="004E392D" w:rsidRPr="00E97FC1" w:rsidRDefault="004E392D" w:rsidP="004E392D">
      <w:pPr>
        <w:rPr>
          <w:rFonts w:cs="Times New Roman"/>
          <w:lang w:val="en-GB"/>
        </w:rPr>
      </w:pPr>
    </w:p>
    <w:p w14:paraId="465D5B0B" w14:textId="77777777" w:rsidR="00F9293E" w:rsidRPr="00E97FC1" w:rsidRDefault="00F9293E" w:rsidP="004E392D">
      <w:pPr>
        <w:rPr>
          <w:rFonts w:cs="Times New Roman"/>
          <w:lang w:val="en-GB"/>
        </w:rPr>
      </w:pPr>
    </w:p>
    <w:p w14:paraId="067A8B64" w14:textId="77777777" w:rsidR="00F9293E" w:rsidRPr="00E97FC1" w:rsidRDefault="00F9293E" w:rsidP="004E392D">
      <w:pPr>
        <w:rPr>
          <w:rFonts w:cs="Times New Roman"/>
          <w:lang w:val="en-GB"/>
        </w:rPr>
      </w:pPr>
    </w:p>
    <w:p w14:paraId="26423F5D" w14:textId="77777777" w:rsidR="00F9293E" w:rsidRPr="00E97FC1" w:rsidRDefault="00F9293E" w:rsidP="004E392D">
      <w:pPr>
        <w:rPr>
          <w:rFonts w:cs="Times New Roman"/>
          <w:lang w:val="en-GB"/>
        </w:rPr>
      </w:pPr>
    </w:p>
    <w:p w14:paraId="5685A9ED" w14:textId="77777777" w:rsidR="00F9293E" w:rsidRPr="00E97FC1" w:rsidRDefault="00F9293E" w:rsidP="004E392D">
      <w:pPr>
        <w:rPr>
          <w:rFonts w:cs="Times New Roman"/>
          <w:lang w:val="en-GB"/>
        </w:rPr>
      </w:pPr>
    </w:p>
    <w:p w14:paraId="60D4CC73" w14:textId="77777777" w:rsidR="00F9293E" w:rsidRPr="00E97FC1" w:rsidRDefault="00F9293E" w:rsidP="004E392D">
      <w:pPr>
        <w:rPr>
          <w:rFonts w:cs="Times New Roman"/>
          <w:lang w:val="en-GB"/>
        </w:rPr>
      </w:pPr>
    </w:p>
    <w:p w14:paraId="5EB4526F" w14:textId="77777777" w:rsidR="00F9293E" w:rsidRPr="00E97FC1" w:rsidRDefault="00F9293E" w:rsidP="004E392D">
      <w:pPr>
        <w:rPr>
          <w:rFonts w:cs="Times New Roman"/>
          <w:lang w:val="en-GB"/>
        </w:rPr>
      </w:pPr>
    </w:p>
    <w:p w14:paraId="46CB536D" w14:textId="77777777" w:rsidR="00F9293E" w:rsidRPr="00E97FC1" w:rsidRDefault="00F9293E" w:rsidP="004E392D">
      <w:pPr>
        <w:rPr>
          <w:rFonts w:cs="Times New Roman"/>
          <w:lang w:val="en-GB"/>
        </w:rPr>
      </w:pPr>
    </w:p>
    <w:p w14:paraId="014C540B" w14:textId="77777777" w:rsidR="00F9293E" w:rsidRPr="00E97FC1" w:rsidRDefault="00F9293E" w:rsidP="004E392D">
      <w:pPr>
        <w:rPr>
          <w:rFonts w:cs="Times New Roman"/>
          <w:lang w:val="en-GB"/>
        </w:rPr>
      </w:pPr>
    </w:p>
    <w:p w14:paraId="6840DC7F" w14:textId="77777777" w:rsidR="00F9293E" w:rsidRPr="00E97FC1" w:rsidRDefault="00F9293E" w:rsidP="004E392D">
      <w:pPr>
        <w:rPr>
          <w:rFonts w:cs="Times New Roman"/>
          <w:lang w:val="en-GB"/>
        </w:rPr>
      </w:pPr>
    </w:p>
    <w:p w14:paraId="1B57DE50" w14:textId="77777777" w:rsidR="00F9293E" w:rsidRPr="00E97FC1" w:rsidRDefault="00F9293E" w:rsidP="004E392D">
      <w:pPr>
        <w:rPr>
          <w:rFonts w:cs="Times New Roman"/>
          <w:lang w:val="en-GB"/>
        </w:rPr>
      </w:pPr>
    </w:p>
    <w:p w14:paraId="14F870C4" w14:textId="77777777" w:rsidR="00F9293E" w:rsidRPr="00E97FC1" w:rsidRDefault="00F9293E" w:rsidP="004E392D">
      <w:pPr>
        <w:rPr>
          <w:rFonts w:cs="Times New Roman"/>
          <w:lang w:val="en-GB"/>
        </w:rPr>
      </w:pPr>
    </w:p>
    <w:p w14:paraId="1A0AD08B" w14:textId="77777777" w:rsidR="00F9293E" w:rsidRPr="00E97FC1" w:rsidRDefault="00F9293E" w:rsidP="004E392D">
      <w:pPr>
        <w:rPr>
          <w:rFonts w:cs="Times New Roman"/>
          <w:lang w:val="en-GB"/>
        </w:rPr>
      </w:pPr>
    </w:p>
    <w:p w14:paraId="2BEF26F6" w14:textId="77777777" w:rsidR="00F9293E" w:rsidRPr="00E97FC1" w:rsidRDefault="00F9293E" w:rsidP="004E392D">
      <w:pPr>
        <w:rPr>
          <w:rFonts w:cs="Times New Roman"/>
          <w:lang w:val="en-GB"/>
        </w:rPr>
      </w:pPr>
    </w:p>
    <w:p w14:paraId="10B66344" w14:textId="77777777" w:rsidR="004E392D" w:rsidRPr="00E97FC1" w:rsidRDefault="004E392D" w:rsidP="004E392D">
      <w:pPr>
        <w:rPr>
          <w:rFonts w:cs="Times New Roman"/>
          <w:lang w:val="en-GB"/>
        </w:rPr>
      </w:pPr>
      <w:r w:rsidRPr="00E97FC1">
        <w:rPr>
          <w:rFonts w:cs="Times New Roman"/>
          <w:lang w:val="en-GB"/>
        </w:rPr>
        <w:br w:type="page"/>
      </w:r>
    </w:p>
    <w:p w14:paraId="400AEE83" w14:textId="77777777" w:rsidR="004E392D" w:rsidRPr="00E97FC1" w:rsidRDefault="004E392D" w:rsidP="004E392D">
      <w:pPr>
        <w:keepNext/>
        <w:spacing w:before="240" w:after="60"/>
        <w:outlineLvl w:val="0"/>
        <w:rPr>
          <w:rFonts w:eastAsia="Times New Roman" w:cs="Times New Roman"/>
          <w:bCs/>
          <w:kern w:val="32"/>
          <w:sz w:val="32"/>
          <w:szCs w:val="32"/>
          <w:lang w:val="en-GB"/>
        </w:rPr>
      </w:pPr>
      <w:bookmarkStart w:id="7" w:name="_Toc132639974"/>
      <w:r w:rsidRPr="00E97FC1">
        <w:rPr>
          <w:rFonts w:eastAsia="Times New Roman" w:cs="Times New Roman"/>
          <w:b/>
          <w:bCs/>
          <w:kern w:val="32"/>
          <w:sz w:val="32"/>
          <w:szCs w:val="32"/>
          <w:lang w:val="en-GB"/>
        </w:rPr>
        <w:lastRenderedPageBreak/>
        <w:t>Table of Contents</w:t>
      </w:r>
      <w:bookmarkEnd w:id="7"/>
    </w:p>
    <w:sdt>
      <w:sdtPr>
        <w:rPr>
          <w:rFonts w:eastAsiaTheme="minorHAnsi" w:cstheme="minorBidi"/>
          <w:b w:val="0"/>
          <w:bCs w:val="0"/>
          <w:color w:val="auto"/>
          <w:sz w:val="24"/>
          <w:szCs w:val="22"/>
          <w:lang w:val="en-US" w:eastAsia="en-US"/>
        </w:rPr>
        <w:id w:val="-955791322"/>
        <w:docPartObj>
          <w:docPartGallery w:val="Table of Contents"/>
          <w:docPartUnique/>
        </w:docPartObj>
      </w:sdtPr>
      <w:sdtEndPr>
        <w:rPr>
          <w:noProof/>
        </w:rPr>
      </w:sdtEndPr>
      <w:sdtContent>
        <w:p w14:paraId="71F892A8" w14:textId="082B24F7" w:rsidR="00642151" w:rsidRPr="009C223B" w:rsidRDefault="00642151" w:rsidP="00C4769A">
          <w:pPr>
            <w:pStyle w:val="TOCHeading"/>
            <w:numPr>
              <w:ilvl w:val="0"/>
              <w:numId w:val="0"/>
            </w:numPr>
            <w:rPr>
              <w:color w:val="0D0D0D" w:themeColor="text1" w:themeTint="F2"/>
            </w:rPr>
          </w:pPr>
        </w:p>
        <w:p w14:paraId="325E4356" w14:textId="26F3E9E2" w:rsidR="00AD64B3" w:rsidRDefault="00642151">
          <w:pPr>
            <w:pStyle w:val="TOC1"/>
            <w:tabs>
              <w:tab w:val="right" w:leader="dot" w:pos="9016"/>
            </w:tabs>
            <w:rPr>
              <w:rFonts w:asciiTheme="minorHAnsi" w:eastAsiaTheme="minorEastAsia" w:hAnsiTheme="minorHAnsi" w:cstheme="minorBidi"/>
              <w:b w:val="0"/>
              <w:bCs w:val="0"/>
              <w:iCs w:val="0"/>
              <w:noProof/>
              <w:sz w:val="22"/>
              <w:szCs w:val="22"/>
              <w:lang w:val="en-US"/>
            </w:rPr>
          </w:pPr>
          <w:r>
            <w:fldChar w:fldCharType="begin"/>
          </w:r>
          <w:r>
            <w:instrText xml:space="preserve"> TOC \o "1-3" \h \z \u </w:instrText>
          </w:r>
          <w:r>
            <w:fldChar w:fldCharType="separate"/>
          </w:r>
          <w:hyperlink w:anchor="_Toc132639971" w:history="1">
            <w:r w:rsidR="00AD64B3" w:rsidRPr="005E2D53">
              <w:rPr>
                <w:rStyle w:val="Hyperlink"/>
                <w:rFonts w:cs="Times New Roman"/>
                <w:noProof/>
                <w:kern w:val="36"/>
                <w:shd w:val="clear" w:color="auto" w:fill="FFFFFF"/>
              </w:rPr>
              <w:t>Abstract</w:t>
            </w:r>
            <w:r w:rsidR="00AD64B3">
              <w:rPr>
                <w:noProof/>
                <w:webHidden/>
              </w:rPr>
              <w:tab/>
            </w:r>
            <w:r w:rsidR="00AD64B3">
              <w:rPr>
                <w:noProof/>
                <w:webHidden/>
              </w:rPr>
              <w:fldChar w:fldCharType="begin"/>
            </w:r>
            <w:r w:rsidR="00AD64B3">
              <w:rPr>
                <w:noProof/>
                <w:webHidden/>
              </w:rPr>
              <w:instrText xml:space="preserve"> PAGEREF _Toc132639971 \h </w:instrText>
            </w:r>
            <w:r w:rsidR="00AD64B3">
              <w:rPr>
                <w:noProof/>
                <w:webHidden/>
              </w:rPr>
            </w:r>
            <w:r w:rsidR="00AD64B3">
              <w:rPr>
                <w:noProof/>
                <w:webHidden/>
              </w:rPr>
              <w:fldChar w:fldCharType="separate"/>
            </w:r>
            <w:r w:rsidR="00ED1816">
              <w:rPr>
                <w:noProof/>
                <w:webHidden/>
              </w:rPr>
              <w:t>v</w:t>
            </w:r>
            <w:r w:rsidR="00AD64B3">
              <w:rPr>
                <w:noProof/>
                <w:webHidden/>
              </w:rPr>
              <w:fldChar w:fldCharType="end"/>
            </w:r>
          </w:hyperlink>
        </w:p>
        <w:p w14:paraId="654A192D" w14:textId="36402CA2" w:rsidR="00AD64B3" w:rsidRDefault="00705721">
          <w:pPr>
            <w:pStyle w:val="TOC1"/>
            <w:tabs>
              <w:tab w:val="right" w:leader="dot" w:pos="9016"/>
            </w:tabs>
            <w:rPr>
              <w:rFonts w:asciiTheme="minorHAnsi" w:eastAsiaTheme="minorEastAsia" w:hAnsiTheme="minorHAnsi" w:cstheme="minorBidi"/>
              <w:b w:val="0"/>
              <w:bCs w:val="0"/>
              <w:iCs w:val="0"/>
              <w:noProof/>
              <w:sz w:val="22"/>
              <w:szCs w:val="22"/>
              <w:lang w:val="en-US"/>
            </w:rPr>
          </w:pPr>
          <w:hyperlink w:anchor="_Toc132639972" w:history="1">
            <w:r w:rsidR="00AD64B3" w:rsidRPr="005E2D53">
              <w:rPr>
                <w:rStyle w:val="Hyperlink"/>
                <w:rFonts w:cs="Times New Roman"/>
                <w:noProof/>
                <w:kern w:val="36"/>
                <w:shd w:val="clear" w:color="auto" w:fill="FFFFFF"/>
              </w:rPr>
              <w:t>Acknowledgments</w:t>
            </w:r>
            <w:r w:rsidR="00AD64B3">
              <w:rPr>
                <w:noProof/>
                <w:webHidden/>
              </w:rPr>
              <w:tab/>
            </w:r>
            <w:r w:rsidR="00AD64B3">
              <w:rPr>
                <w:noProof/>
                <w:webHidden/>
              </w:rPr>
              <w:fldChar w:fldCharType="begin"/>
            </w:r>
            <w:r w:rsidR="00AD64B3">
              <w:rPr>
                <w:noProof/>
                <w:webHidden/>
              </w:rPr>
              <w:instrText xml:space="preserve"> PAGEREF _Toc132639972 \h </w:instrText>
            </w:r>
            <w:r w:rsidR="00AD64B3">
              <w:rPr>
                <w:noProof/>
                <w:webHidden/>
              </w:rPr>
            </w:r>
            <w:r w:rsidR="00AD64B3">
              <w:rPr>
                <w:noProof/>
                <w:webHidden/>
              </w:rPr>
              <w:fldChar w:fldCharType="separate"/>
            </w:r>
            <w:r w:rsidR="00ED1816">
              <w:rPr>
                <w:noProof/>
                <w:webHidden/>
              </w:rPr>
              <w:t>vi</w:t>
            </w:r>
            <w:r w:rsidR="00AD64B3">
              <w:rPr>
                <w:noProof/>
                <w:webHidden/>
              </w:rPr>
              <w:fldChar w:fldCharType="end"/>
            </w:r>
          </w:hyperlink>
        </w:p>
        <w:p w14:paraId="66B4B281" w14:textId="46D828C2" w:rsidR="00AD64B3" w:rsidRDefault="00705721">
          <w:pPr>
            <w:pStyle w:val="TOC1"/>
            <w:tabs>
              <w:tab w:val="right" w:leader="dot" w:pos="9016"/>
            </w:tabs>
            <w:rPr>
              <w:rFonts w:asciiTheme="minorHAnsi" w:eastAsiaTheme="minorEastAsia" w:hAnsiTheme="minorHAnsi" w:cstheme="minorBidi"/>
              <w:b w:val="0"/>
              <w:bCs w:val="0"/>
              <w:iCs w:val="0"/>
              <w:noProof/>
              <w:sz w:val="22"/>
              <w:szCs w:val="22"/>
              <w:lang w:val="en-US"/>
            </w:rPr>
          </w:pPr>
          <w:hyperlink w:anchor="_Toc132639973" w:history="1">
            <w:r w:rsidR="00AD64B3" w:rsidRPr="005E2D53">
              <w:rPr>
                <w:rStyle w:val="Hyperlink"/>
                <w:rFonts w:cs="Times New Roman"/>
                <w:noProof/>
                <w:kern w:val="36"/>
                <w:shd w:val="clear" w:color="auto" w:fill="FFFFFF"/>
              </w:rPr>
              <w:t>About the Author</w:t>
            </w:r>
            <w:r w:rsidR="00AD64B3">
              <w:rPr>
                <w:noProof/>
                <w:webHidden/>
              </w:rPr>
              <w:tab/>
            </w:r>
            <w:r w:rsidR="00AD64B3">
              <w:rPr>
                <w:noProof/>
                <w:webHidden/>
              </w:rPr>
              <w:fldChar w:fldCharType="begin"/>
            </w:r>
            <w:r w:rsidR="00AD64B3">
              <w:rPr>
                <w:noProof/>
                <w:webHidden/>
              </w:rPr>
              <w:instrText xml:space="preserve"> PAGEREF _Toc132639973 \h </w:instrText>
            </w:r>
            <w:r w:rsidR="00AD64B3">
              <w:rPr>
                <w:noProof/>
                <w:webHidden/>
              </w:rPr>
            </w:r>
            <w:r w:rsidR="00AD64B3">
              <w:rPr>
                <w:noProof/>
                <w:webHidden/>
              </w:rPr>
              <w:fldChar w:fldCharType="separate"/>
            </w:r>
            <w:r w:rsidR="00ED1816">
              <w:rPr>
                <w:noProof/>
                <w:webHidden/>
              </w:rPr>
              <w:t>vii</w:t>
            </w:r>
            <w:r w:rsidR="00AD64B3">
              <w:rPr>
                <w:noProof/>
                <w:webHidden/>
              </w:rPr>
              <w:fldChar w:fldCharType="end"/>
            </w:r>
          </w:hyperlink>
        </w:p>
        <w:p w14:paraId="3D30F2ED" w14:textId="3F647B8E" w:rsidR="00AD64B3" w:rsidRDefault="00705721">
          <w:pPr>
            <w:pStyle w:val="TOC1"/>
            <w:tabs>
              <w:tab w:val="right" w:leader="dot" w:pos="9016"/>
            </w:tabs>
            <w:rPr>
              <w:rFonts w:asciiTheme="minorHAnsi" w:eastAsiaTheme="minorEastAsia" w:hAnsiTheme="minorHAnsi" w:cstheme="minorBidi"/>
              <w:b w:val="0"/>
              <w:bCs w:val="0"/>
              <w:iCs w:val="0"/>
              <w:noProof/>
              <w:sz w:val="22"/>
              <w:szCs w:val="22"/>
              <w:lang w:val="en-US"/>
            </w:rPr>
          </w:pPr>
          <w:hyperlink w:anchor="_Toc132639974" w:history="1">
            <w:r w:rsidR="00AD64B3" w:rsidRPr="005E2D53">
              <w:rPr>
                <w:rStyle w:val="Hyperlink"/>
                <w:rFonts w:cs="Times New Roman"/>
                <w:noProof/>
                <w:kern w:val="32"/>
              </w:rPr>
              <w:t>Table of Contents</w:t>
            </w:r>
            <w:r w:rsidR="00AD64B3">
              <w:rPr>
                <w:noProof/>
                <w:webHidden/>
              </w:rPr>
              <w:tab/>
            </w:r>
            <w:r w:rsidR="00AD64B3">
              <w:rPr>
                <w:noProof/>
                <w:webHidden/>
              </w:rPr>
              <w:fldChar w:fldCharType="begin"/>
            </w:r>
            <w:r w:rsidR="00AD64B3">
              <w:rPr>
                <w:noProof/>
                <w:webHidden/>
              </w:rPr>
              <w:instrText xml:space="preserve"> PAGEREF _Toc132639974 \h </w:instrText>
            </w:r>
            <w:r w:rsidR="00AD64B3">
              <w:rPr>
                <w:noProof/>
                <w:webHidden/>
              </w:rPr>
            </w:r>
            <w:r w:rsidR="00AD64B3">
              <w:rPr>
                <w:noProof/>
                <w:webHidden/>
              </w:rPr>
              <w:fldChar w:fldCharType="separate"/>
            </w:r>
            <w:r w:rsidR="00ED1816">
              <w:rPr>
                <w:noProof/>
                <w:webHidden/>
              </w:rPr>
              <w:t>x</w:t>
            </w:r>
            <w:r w:rsidR="00AD64B3">
              <w:rPr>
                <w:noProof/>
                <w:webHidden/>
              </w:rPr>
              <w:fldChar w:fldCharType="end"/>
            </w:r>
          </w:hyperlink>
        </w:p>
        <w:p w14:paraId="19E455CD" w14:textId="414AB533" w:rsidR="00AD64B3" w:rsidRDefault="00705721">
          <w:pPr>
            <w:pStyle w:val="TOC1"/>
            <w:tabs>
              <w:tab w:val="right" w:leader="dot" w:pos="9016"/>
            </w:tabs>
            <w:rPr>
              <w:rFonts w:asciiTheme="minorHAnsi" w:eastAsiaTheme="minorEastAsia" w:hAnsiTheme="minorHAnsi" w:cstheme="minorBidi"/>
              <w:b w:val="0"/>
              <w:bCs w:val="0"/>
              <w:iCs w:val="0"/>
              <w:noProof/>
              <w:sz w:val="22"/>
              <w:szCs w:val="22"/>
              <w:lang w:val="en-US"/>
            </w:rPr>
          </w:pPr>
          <w:hyperlink w:anchor="_Toc132639975" w:history="1">
            <w:r w:rsidR="00AD64B3" w:rsidRPr="005E2D53">
              <w:rPr>
                <w:rStyle w:val="Hyperlink"/>
                <w:rFonts w:cs="Times New Roman"/>
                <w:noProof/>
                <w:kern w:val="36"/>
                <w:shd w:val="clear" w:color="auto" w:fill="FFFFFF"/>
              </w:rPr>
              <w:t>List of figures</w:t>
            </w:r>
            <w:r w:rsidR="00AD64B3">
              <w:rPr>
                <w:noProof/>
                <w:webHidden/>
              </w:rPr>
              <w:tab/>
            </w:r>
            <w:r w:rsidR="00AD64B3">
              <w:rPr>
                <w:noProof/>
                <w:webHidden/>
              </w:rPr>
              <w:fldChar w:fldCharType="begin"/>
            </w:r>
            <w:r w:rsidR="00AD64B3">
              <w:rPr>
                <w:noProof/>
                <w:webHidden/>
              </w:rPr>
              <w:instrText xml:space="preserve"> PAGEREF _Toc132639975 \h </w:instrText>
            </w:r>
            <w:r w:rsidR="00AD64B3">
              <w:rPr>
                <w:noProof/>
                <w:webHidden/>
              </w:rPr>
            </w:r>
            <w:r w:rsidR="00AD64B3">
              <w:rPr>
                <w:noProof/>
                <w:webHidden/>
              </w:rPr>
              <w:fldChar w:fldCharType="separate"/>
            </w:r>
            <w:r w:rsidR="00ED1816">
              <w:rPr>
                <w:noProof/>
                <w:webHidden/>
              </w:rPr>
              <w:t>xii</w:t>
            </w:r>
            <w:r w:rsidR="00AD64B3">
              <w:rPr>
                <w:noProof/>
                <w:webHidden/>
              </w:rPr>
              <w:fldChar w:fldCharType="end"/>
            </w:r>
          </w:hyperlink>
        </w:p>
        <w:p w14:paraId="67BC5BEF" w14:textId="741678F8" w:rsidR="00AD64B3" w:rsidRDefault="00705721">
          <w:pPr>
            <w:pStyle w:val="TOC1"/>
            <w:tabs>
              <w:tab w:val="right" w:leader="dot" w:pos="9016"/>
            </w:tabs>
            <w:rPr>
              <w:rFonts w:asciiTheme="minorHAnsi" w:eastAsiaTheme="minorEastAsia" w:hAnsiTheme="minorHAnsi" w:cstheme="minorBidi"/>
              <w:b w:val="0"/>
              <w:bCs w:val="0"/>
              <w:iCs w:val="0"/>
              <w:noProof/>
              <w:sz w:val="22"/>
              <w:szCs w:val="22"/>
              <w:lang w:val="en-US"/>
            </w:rPr>
          </w:pPr>
          <w:hyperlink w:anchor="_Toc132639976" w:history="1">
            <w:r w:rsidR="00AD64B3" w:rsidRPr="005E2D53">
              <w:rPr>
                <w:rStyle w:val="Hyperlink"/>
                <w:rFonts w:cs="Times New Roman"/>
                <w:noProof/>
                <w:kern w:val="36"/>
                <w:shd w:val="clear" w:color="auto" w:fill="FFFFFF"/>
              </w:rPr>
              <w:t>List of tables</w:t>
            </w:r>
            <w:r w:rsidR="00AD64B3">
              <w:rPr>
                <w:noProof/>
                <w:webHidden/>
              </w:rPr>
              <w:tab/>
            </w:r>
            <w:r w:rsidR="00AD64B3">
              <w:rPr>
                <w:noProof/>
                <w:webHidden/>
              </w:rPr>
              <w:fldChar w:fldCharType="begin"/>
            </w:r>
            <w:r w:rsidR="00AD64B3">
              <w:rPr>
                <w:noProof/>
                <w:webHidden/>
              </w:rPr>
              <w:instrText xml:space="preserve"> PAGEREF _Toc132639976 \h </w:instrText>
            </w:r>
            <w:r w:rsidR="00AD64B3">
              <w:rPr>
                <w:noProof/>
                <w:webHidden/>
              </w:rPr>
            </w:r>
            <w:r w:rsidR="00AD64B3">
              <w:rPr>
                <w:noProof/>
                <w:webHidden/>
              </w:rPr>
              <w:fldChar w:fldCharType="separate"/>
            </w:r>
            <w:r w:rsidR="00ED1816">
              <w:rPr>
                <w:noProof/>
                <w:webHidden/>
              </w:rPr>
              <w:t>xiii</w:t>
            </w:r>
            <w:r w:rsidR="00AD64B3">
              <w:rPr>
                <w:noProof/>
                <w:webHidden/>
              </w:rPr>
              <w:fldChar w:fldCharType="end"/>
            </w:r>
          </w:hyperlink>
        </w:p>
        <w:p w14:paraId="401FBE16" w14:textId="33BB247E" w:rsidR="00AD64B3" w:rsidRDefault="00705721">
          <w:pPr>
            <w:pStyle w:val="TOC1"/>
            <w:tabs>
              <w:tab w:val="right" w:leader="dot" w:pos="9016"/>
            </w:tabs>
            <w:rPr>
              <w:rFonts w:asciiTheme="minorHAnsi" w:eastAsiaTheme="minorEastAsia" w:hAnsiTheme="minorHAnsi" w:cstheme="minorBidi"/>
              <w:b w:val="0"/>
              <w:bCs w:val="0"/>
              <w:iCs w:val="0"/>
              <w:noProof/>
              <w:sz w:val="22"/>
              <w:szCs w:val="22"/>
              <w:lang w:val="en-US"/>
            </w:rPr>
          </w:pPr>
          <w:hyperlink w:anchor="_Toc132639977" w:history="1">
            <w:r w:rsidR="00AD64B3" w:rsidRPr="005E2D53">
              <w:rPr>
                <w:rStyle w:val="Hyperlink"/>
                <w:rFonts w:cs="Times New Roman"/>
                <w:noProof/>
                <w:kern w:val="36"/>
                <w:shd w:val="clear" w:color="auto" w:fill="FFFFFF"/>
              </w:rPr>
              <w:t>List of abbreviations</w:t>
            </w:r>
            <w:r w:rsidR="00AD64B3">
              <w:rPr>
                <w:noProof/>
                <w:webHidden/>
              </w:rPr>
              <w:tab/>
            </w:r>
            <w:r w:rsidR="00AD64B3">
              <w:rPr>
                <w:noProof/>
                <w:webHidden/>
              </w:rPr>
              <w:fldChar w:fldCharType="begin"/>
            </w:r>
            <w:r w:rsidR="00AD64B3">
              <w:rPr>
                <w:noProof/>
                <w:webHidden/>
              </w:rPr>
              <w:instrText xml:space="preserve"> PAGEREF _Toc132639977 \h </w:instrText>
            </w:r>
            <w:r w:rsidR="00AD64B3">
              <w:rPr>
                <w:noProof/>
                <w:webHidden/>
              </w:rPr>
            </w:r>
            <w:r w:rsidR="00AD64B3">
              <w:rPr>
                <w:noProof/>
                <w:webHidden/>
              </w:rPr>
              <w:fldChar w:fldCharType="separate"/>
            </w:r>
            <w:r w:rsidR="00ED1816">
              <w:rPr>
                <w:noProof/>
                <w:webHidden/>
              </w:rPr>
              <w:t>xiii</w:t>
            </w:r>
            <w:r w:rsidR="00AD64B3">
              <w:rPr>
                <w:noProof/>
                <w:webHidden/>
              </w:rPr>
              <w:fldChar w:fldCharType="end"/>
            </w:r>
          </w:hyperlink>
        </w:p>
        <w:p w14:paraId="1CCC18CD" w14:textId="4FC82202" w:rsidR="00AD64B3" w:rsidRDefault="00705721">
          <w:pPr>
            <w:pStyle w:val="TOC1"/>
            <w:tabs>
              <w:tab w:val="left" w:pos="480"/>
              <w:tab w:val="right" w:leader="dot" w:pos="9016"/>
            </w:tabs>
            <w:rPr>
              <w:rFonts w:asciiTheme="minorHAnsi" w:eastAsiaTheme="minorEastAsia" w:hAnsiTheme="minorHAnsi" w:cstheme="minorBidi"/>
              <w:b w:val="0"/>
              <w:bCs w:val="0"/>
              <w:iCs w:val="0"/>
              <w:noProof/>
              <w:sz w:val="22"/>
              <w:szCs w:val="22"/>
              <w:lang w:val="en-US"/>
            </w:rPr>
          </w:pPr>
          <w:hyperlink w:anchor="_Toc132639978" w:history="1">
            <w:r w:rsidR="00AD64B3" w:rsidRPr="005E2D53">
              <w:rPr>
                <w:rStyle w:val="Hyperlink"/>
                <w:rFonts w:eastAsiaTheme="majorEastAsia"/>
                <w:noProof/>
              </w:rPr>
              <w:t>1</w:t>
            </w:r>
            <w:r w:rsidR="00AD64B3">
              <w:rPr>
                <w:rFonts w:asciiTheme="minorHAnsi" w:eastAsiaTheme="minorEastAsia" w:hAnsiTheme="minorHAnsi" w:cstheme="minorBidi"/>
                <w:b w:val="0"/>
                <w:bCs w:val="0"/>
                <w:iCs w:val="0"/>
                <w:noProof/>
                <w:sz w:val="22"/>
                <w:szCs w:val="22"/>
                <w:lang w:val="en-US"/>
              </w:rPr>
              <w:tab/>
            </w:r>
            <w:r w:rsidR="00AD64B3" w:rsidRPr="005E2D53">
              <w:rPr>
                <w:rStyle w:val="Hyperlink"/>
                <w:rFonts w:eastAsiaTheme="majorEastAsia"/>
                <w:noProof/>
              </w:rPr>
              <w:t>Introduction</w:t>
            </w:r>
            <w:r w:rsidR="00AD64B3">
              <w:rPr>
                <w:noProof/>
                <w:webHidden/>
              </w:rPr>
              <w:tab/>
            </w:r>
            <w:r w:rsidR="00AD64B3">
              <w:rPr>
                <w:noProof/>
                <w:webHidden/>
              </w:rPr>
              <w:fldChar w:fldCharType="begin"/>
            </w:r>
            <w:r w:rsidR="00AD64B3">
              <w:rPr>
                <w:noProof/>
                <w:webHidden/>
              </w:rPr>
              <w:instrText xml:space="preserve"> PAGEREF _Toc132639978 \h </w:instrText>
            </w:r>
            <w:r w:rsidR="00AD64B3">
              <w:rPr>
                <w:noProof/>
                <w:webHidden/>
              </w:rPr>
            </w:r>
            <w:r w:rsidR="00AD64B3">
              <w:rPr>
                <w:noProof/>
                <w:webHidden/>
              </w:rPr>
              <w:fldChar w:fldCharType="separate"/>
            </w:r>
            <w:r w:rsidR="00ED1816">
              <w:rPr>
                <w:noProof/>
                <w:webHidden/>
              </w:rPr>
              <w:t>1</w:t>
            </w:r>
            <w:r w:rsidR="00AD64B3">
              <w:rPr>
                <w:noProof/>
                <w:webHidden/>
              </w:rPr>
              <w:fldChar w:fldCharType="end"/>
            </w:r>
          </w:hyperlink>
        </w:p>
        <w:p w14:paraId="5CE03CE6" w14:textId="256570E0" w:rsidR="00AD64B3" w:rsidRDefault="00705721">
          <w:pPr>
            <w:pStyle w:val="TOC2"/>
            <w:tabs>
              <w:tab w:val="left" w:pos="960"/>
              <w:tab w:val="right" w:leader="dot" w:pos="9016"/>
            </w:tabs>
            <w:rPr>
              <w:rFonts w:asciiTheme="minorHAnsi" w:eastAsiaTheme="minorEastAsia" w:hAnsiTheme="minorHAnsi" w:cstheme="minorBidi"/>
              <w:b w:val="0"/>
              <w:bCs w:val="0"/>
              <w:noProof/>
              <w:sz w:val="22"/>
              <w:lang w:val="en-US"/>
            </w:rPr>
          </w:pPr>
          <w:hyperlink w:anchor="_Toc132639979" w:history="1">
            <w:r w:rsidR="00AD64B3" w:rsidRPr="005E2D53">
              <w:rPr>
                <w:rStyle w:val="Hyperlink"/>
                <w:rFonts w:eastAsiaTheme="majorEastAsia"/>
                <w:noProof/>
              </w:rPr>
              <w:t>1.1</w:t>
            </w:r>
            <w:r w:rsidR="00AD64B3">
              <w:rPr>
                <w:rFonts w:asciiTheme="minorHAnsi" w:eastAsiaTheme="minorEastAsia" w:hAnsiTheme="minorHAnsi" w:cstheme="minorBidi"/>
                <w:b w:val="0"/>
                <w:bCs w:val="0"/>
                <w:noProof/>
                <w:sz w:val="22"/>
                <w:lang w:val="en-US"/>
              </w:rPr>
              <w:tab/>
            </w:r>
            <w:r w:rsidR="00AD64B3" w:rsidRPr="005E2D53">
              <w:rPr>
                <w:rStyle w:val="Hyperlink"/>
                <w:rFonts w:eastAsiaTheme="majorEastAsia"/>
                <w:noProof/>
              </w:rPr>
              <w:t>Electron transport chain in different organisms</w:t>
            </w:r>
            <w:r w:rsidR="00AD64B3">
              <w:rPr>
                <w:noProof/>
                <w:webHidden/>
              </w:rPr>
              <w:tab/>
            </w:r>
            <w:r w:rsidR="00AD64B3">
              <w:rPr>
                <w:noProof/>
                <w:webHidden/>
              </w:rPr>
              <w:fldChar w:fldCharType="begin"/>
            </w:r>
            <w:r w:rsidR="00AD64B3">
              <w:rPr>
                <w:noProof/>
                <w:webHidden/>
              </w:rPr>
              <w:instrText xml:space="preserve"> PAGEREF _Toc132639979 \h </w:instrText>
            </w:r>
            <w:r w:rsidR="00AD64B3">
              <w:rPr>
                <w:noProof/>
                <w:webHidden/>
              </w:rPr>
            </w:r>
            <w:r w:rsidR="00AD64B3">
              <w:rPr>
                <w:noProof/>
                <w:webHidden/>
              </w:rPr>
              <w:fldChar w:fldCharType="separate"/>
            </w:r>
            <w:r w:rsidR="00ED1816">
              <w:rPr>
                <w:noProof/>
                <w:webHidden/>
              </w:rPr>
              <w:t>1</w:t>
            </w:r>
            <w:r w:rsidR="00AD64B3">
              <w:rPr>
                <w:noProof/>
                <w:webHidden/>
              </w:rPr>
              <w:fldChar w:fldCharType="end"/>
            </w:r>
          </w:hyperlink>
        </w:p>
        <w:p w14:paraId="218D27E3" w14:textId="2DB60F56" w:rsidR="00AD64B3" w:rsidRDefault="00705721">
          <w:pPr>
            <w:pStyle w:val="TOC2"/>
            <w:tabs>
              <w:tab w:val="left" w:pos="960"/>
              <w:tab w:val="right" w:leader="dot" w:pos="9016"/>
            </w:tabs>
            <w:rPr>
              <w:rFonts w:asciiTheme="minorHAnsi" w:eastAsiaTheme="minorEastAsia" w:hAnsiTheme="minorHAnsi" w:cstheme="minorBidi"/>
              <w:b w:val="0"/>
              <w:bCs w:val="0"/>
              <w:noProof/>
              <w:sz w:val="22"/>
              <w:lang w:val="en-US"/>
            </w:rPr>
          </w:pPr>
          <w:hyperlink w:anchor="_Toc132639980" w:history="1">
            <w:r w:rsidR="00AD64B3" w:rsidRPr="005E2D53">
              <w:rPr>
                <w:rStyle w:val="Hyperlink"/>
                <w:rFonts w:eastAsiaTheme="majorEastAsia"/>
                <w:noProof/>
              </w:rPr>
              <w:t>1.2</w:t>
            </w:r>
            <w:r w:rsidR="00AD64B3">
              <w:rPr>
                <w:rFonts w:asciiTheme="minorHAnsi" w:eastAsiaTheme="minorEastAsia" w:hAnsiTheme="minorHAnsi" w:cstheme="minorBidi"/>
                <w:b w:val="0"/>
                <w:bCs w:val="0"/>
                <w:noProof/>
                <w:sz w:val="22"/>
                <w:lang w:val="en-US"/>
              </w:rPr>
              <w:tab/>
            </w:r>
            <w:r w:rsidR="00AD64B3" w:rsidRPr="005E2D53">
              <w:rPr>
                <w:rStyle w:val="Hyperlink"/>
                <w:rFonts w:eastAsiaTheme="majorEastAsia"/>
                <w:noProof/>
              </w:rPr>
              <w:t>Complex I</w:t>
            </w:r>
            <w:r w:rsidR="00AD64B3">
              <w:rPr>
                <w:noProof/>
                <w:webHidden/>
              </w:rPr>
              <w:tab/>
            </w:r>
            <w:r w:rsidR="00AD64B3">
              <w:rPr>
                <w:noProof/>
                <w:webHidden/>
              </w:rPr>
              <w:fldChar w:fldCharType="begin"/>
            </w:r>
            <w:r w:rsidR="00AD64B3">
              <w:rPr>
                <w:noProof/>
                <w:webHidden/>
              </w:rPr>
              <w:instrText xml:space="preserve"> PAGEREF _Toc132639980 \h </w:instrText>
            </w:r>
            <w:r w:rsidR="00AD64B3">
              <w:rPr>
                <w:noProof/>
                <w:webHidden/>
              </w:rPr>
            </w:r>
            <w:r w:rsidR="00AD64B3">
              <w:rPr>
                <w:noProof/>
                <w:webHidden/>
              </w:rPr>
              <w:fldChar w:fldCharType="separate"/>
            </w:r>
            <w:r w:rsidR="00ED1816">
              <w:rPr>
                <w:noProof/>
                <w:webHidden/>
              </w:rPr>
              <w:t>4</w:t>
            </w:r>
            <w:r w:rsidR="00AD64B3">
              <w:rPr>
                <w:noProof/>
                <w:webHidden/>
              </w:rPr>
              <w:fldChar w:fldCharType="end"/>
            </w:r>
          </w:hyperlink>
        </w:p>
        <w:p w14:paraId="3F3FEB42" w14:textId="42995185" w:rsidR="00AD64B3" w:rsidRDefault="00705721">
          <w:pPr>
            <w:pStyle w:val="TOC3"/>
            <w:tabs>
              <w:tab w:val="left" w:pos="1200"/>
              <w:tab w:val="right" w:leader="dot" w:pos="9016"/>
            </w:tabs>
            <w:rPr>
              <w:rFonts w:asciiTheme="minorHAnsi" w:eastAsiaTheme="minorEastAsia" w:hAnsiTheme="minorHAnsi" w:cstheme="minorBidi"/>
              <w:b w:val="0"/>
              <w:noProof/>
              <w:sz w:val="22"/>
              <w:szCs w:val="22"/>
              <w:lang w:val="en-US"/>
            </w:rPr>
          </w:pPr>
          <w:hyperlink w:anchor="_Toc132639981" w:history="1">
            <w:r w:rsidR="00AD64B3" w:rsidRPr="005E2D53">
              <w:rPr>
                <w:rStyle w:val="Hyperlink"/>
                <w:rFonts w:eastAsiaTheme="majorEastAsia"/>
                <w:noProof/>
                <w14:scene3d>
                  <w14:camera w14:prst="orthographicFront"/>
                  <w14:lightRig w14:rig="threePt" w14:dir="t">
                    <w14:rot w14:lat="0" w14:lon="0" w14:rev="0"/>
                  </w14:lightRig>
                </w14:scene3d>
              </w:rPr>
              <w:t>1.2.1</w:t>
            </w:r>
            <w:r w:rsidR="00AD64B3">
              <w:rPr>
                <w:rFonts w:asciiTheme="minorHAnsi" w:eastAsiaTheme="minorEastAsia" w:hAnsiTheme="minorHAnsi" w:cstheme="minorBidi"/>
                <w:b w:val="0"/>
                <w:noProof/>
                <w:sz w:val="22"/>
                <w:szCs w:val="22"/>
                <w:lang w:val="en-US"/>
              </w:rPr>
              <w:tab/>
            </w:r>
            <w:r w:rsidR="00AD64B3" w:rsidRPr="005E2D53">
              <w:rPr>
                <w:rStyle w:val="Hyperlink"/>
                <w:rFonts w:eastAsiaTheme="majorEastAsia"/>
                <w:noProof/>
              </w:rPr>
              <w:t>Catalytic reaction and the core architecture of Complex I</w:t>
            </w:r>
            <w:r w:rsidR="00AD64B3">
              <w:rPr>
                <w:noProof/>
                <w:webHidden/>
              </w:rPr>
              <w:tab/>
            </w:r>
            <w:r w:rsidR="00AD64B3">
              <w:rPr>
                <w:noProof/>
                <w:webHidden/>
              </w:rPr>
              <w:fldChar w:fldCharType="begin"/>
            </w:r>
            <w:r w:rsidR="00AD64B3">
              <w:rPr>
                <w:noProof/>
                <w:webHidden/>
              </w:rPr>
              <w:instrText xml:space="preserve"> PAGEREF _Toc132639981 \h </w:instrText>
            </w:r>
            <w:r w:rsidR="00AD64B3">
              <w:rPr>
                <w:noProof/>
                <w:webHidden/>
              </w:rPr>
            </w:r>
            <w:r w:rsidR="00AD64B3">
              <w:rPr>
                <w:noProof/>
                <w:webHidden/>
              </w:rPr>
              <w:fldChar w:fldCharType="separate"/>
            </w:r>
            <w:r w:rsidR="00ED1816">
              <w:rPr>
                <w:noProof/>
                <w:webHidden/>
              </w:rPr>
              <w:t>4</w:t>
            </w:r>
            <w:r w:rsidR="00AD64B3">
              <w:rPr>
                <w:noProof/>
                <w:webHidden/>
              </w:rPr>
              <w:fldChar w:fldCharType="end"/>
            </w:r>
          </w:hyperlink>
        </w:p>
        <w:p w14:paraId="12311ADF" w14:textId="3AD3D3FE" w:rsidR="00AD64B3" w:rsidRDefault="00705721">
          <w:pPr>
            <w:pStyle w:val="TOC3"/>
            <w:tabs>
              <w:tab w:val="left" w:pos="1200"/>
              <w:tab w:val="right" w:leader="dot" w:pos="9016"/>
            </w:tabs>
            <w:rPr>
              <w:rFonts w:asciiTheme="minorHAnsi" w:eastAsiaTheme="minorEastAsia" w:hAnsiTheme="minorHAnsi" w:cstheme="minorBidi"/>
              <w:b w:val="0"/>
              <w:noProof/>
              <w:sz w:val="22"/>
              <w:szCs w:val="22"/>
              <w:lang w:val="en-US"/>
            </w:rPr>
          </w:pPr>
          <w:hyperlink w:anchor="_Toc132639982" w:history="1">
            <w:r w:rsidR="00AD64B3" w:rsidRPr="005E2D53">
              <w:rPr>
                <w:rStyle w:val="Hyperlink"/>
                <w:rFonts w:eastAsiaTheme="majorEastAsia"/>
                <w:noProof/>
                <w14:scene3d>
                  <w14:camera w14:prst="orthographicFront"/>
                  <w14:lightRig w14:rig="threePt" w14:dir="t">
                    <w14:rot w14:lat="0" w14:lon="0" w14:rev="0"/>
                  </w14:lightRig>
                </w14:scene3d>
              </w:rPr>
              <w:t>1.2.2</w:t>
            </w:r>
            <w:r w:rsidR="00AD64B3">
              <w:rPr>
                <w:rFonts w:asciiTheme="minorHAnsi" w:eastAsiaTheme="minorEastAsia" w:hAnsiTheme="minorHAnsi" w:cstheme="minorBidi"/>
                <w:b w:val="0"/>
                <w:noProof/>
                <w:sz w:val="22"/>
                <w:szCs w:val="22"/>
                <w:lang w:val="en-US"/>
              </w:rPr>
              <w:tab/>
            </w:r>
            <w:r w:rsidR="00AD64B3" w:rsidRPr="005E2D53">
              <w:rPr>
                <w:rStyle w:val="Hyperlink"/>
                <w:rFonts w:eastAsiaTheme="majorEastAsia"/>
                <w:noProof/>
              </w:rPr>
              <w:t>Evolution and assembly of complex I</w:t>
            </w:r>
            <w:r w:rsidR="00AD64B3">
              <w:rPr>
                <w:noProof/>
                <w:webHidden/>
              </w:rPr>
              <w:tab/>
            </w:r>
            <w:r w:rsidR="00AD64B3">
              <w:rPr>
                <w:noProof/>
                <w:webHidden/>
              </w:rPr>
              <w:fldChar w:fldCharType="begin"/>
            </w:r>
            <w:r w:rsidR="00AD64B3">
              <w:rPr>
                <w:noProof/>
                <w:webHidden/>
              </w:rPr>
              <w:instrText xml:space="preserve"> PAGEREF _Toc132639982 \h </w:instrText>
            </w:r>
            <w:r w:rsidR="00AD64B3">
              <w:rPr>
                <w:noProof/>
                <w:webHidden/>
              </w:rPr>
            </w:r>
            <w:r w:rsidR="00AD64B3">
              <w:rPr>
                <w:noProof/>
                <w:webHidden/>
              </w:rPr>
              <w:fldChar w:fldCharType="separate"/>
            </w:r>
            <w:r w:rsidR="00ED1816">
              <w:rPr>
                <w:noProof/>
                <w:webHidden/>
              </w:rPr>
              <w:t>6</w:t>
            </w:r>
            <w:r w:rsidR="00AD64B3">
              <w:rPr>
                <w:noProof/>
                <w:webHidden/>
              </w:rPr>
              <w:fldChar w:fldCharType="end"/>
            </w:r>
          </w:hyperlink>
        </w:p>
        <w:p w14:paraId="00E092F7" w14:textId="0ABA3ED7" w:rsidR="00AD64B3" w:rsidRDefault="00705721">
          <w:pPr>
            <w:pStyle w:val="TOC3"/>
            <w:tabs>
              <w:tab w:val="left" w:pos="1200"/>
              <w:tab w:val="right" w:leader="dot" w:pos="9016"/>
            </w:tabs>
            <w:rPr>
              <w:rFonts w:asciiTheme="minorHAnsi" w:eastAsiaTheme="minorEastAsia" w:hAnsiTheme="minorHAnsi" w:cstheme="minorBidi"/>
              <w:b w:val="0"/>
              <w:noProof/>
              <w:sz w:val="22"/>
              <w:szCs w:val="22"/>
              <w:lang w:val="en-US"/>
            </w:rPr>
          </w:pPr>
          <w:hyperlink w:anchor="_Toc132639983" w:history="1">
            <w:r w:rsidR="00AD64B3" w:rsidRPr="005E2D53">
              <w:rPr>
                <w:rStyle w:val="Hyperlink"/>
                <w:rFonts w:eastAsiaTheme="majorEastAsia"/>
                <w:noProof/>
                <w14:scene3d>
                  <w14:camera w14:prst="orthographicFront"/>
                  <w14:lightRig w14:rig="threePt" w14:dir="t">
                    <w14:rot w14:lat="0" w14:lon="0" w14:rev="0"/>
                  </w14:lightRig>
                </w14:scene3d>
              </w:rPr>
              <w:t>1.2.3</w:t>
            </w:r>
            <w:r w:rsidR="00AD64B3">
              <w:rPr>
                <w:rFonts w:asciiTheme="minorHAnsi" w:eastAsiaTheme="minorEastAsia" w:hAnsiTheme="minorHAnsi" w:cstheme="minorBidi"/>
                <w:b w:val="0"/>
                <w:noProof/>
                <w:sz w:val="22"/>
                <w:szCs w:val="22"/>
                <w:lang w:val="en-US"/>
              </w:rPr>
              <w:tab/>
            </w:r>
            <w:r w:rsidR="00AD64B3" w:rsidRPr="005E2D53">
              <w:rPr>
                <w:rStyle w:val="Hyperlink"/>
                <w:rFonts w:eastAsiaTheme="majorEastAsia"/>
                <w:noProof/>
              </w:rPr>
              <w:t>Complex I in different organisms</w:t>
            </w:r>
            <w:r w:rsidR="00AD64B3">
              <w:rPr>
                <w:noProof/>
                <w:webHidden/>
              </w:rPr>
              <w:tab/>
            </w:r>
            <w:r w:rsidR="00AD64B3">
              <w:rPr>
                <w:noProof/>
                <w:webHidden/>
              </w:rPr>
              <w:fldChar w:fldCharType="begin"/>
            </w:r>
            <w:r w:rsidR="00AD64B3">
              <w:rPr>
                <w:noProof/>
                <w:webHidden/>
              </w:rPr>
              <w:instrText xml:space="preserve"> PAGEREF _Toc132639983 \h </w:instrText>
            </w:r>
            <w:r w:rsidR="00AD64B3">
              <w:rPr>
                <w:noProof/>
                <w:webHidden/>
              </w:rPr>
            </w:r>
            <w:r w:rsidR="00AD64B3">
              <w:rPr>
                <w:noProof/>
                <w:webHidden/>
              </w:rPr>
              <w:fldChar w:fldCharType="separate"/>
            </w:r>
            <w:r w:rsidR="00ED1816">
              <w:rPr>
                <w:noProof/>
                <w:webHidden/>
              </w:rPr>
              <w:t>7</w:t>
            </w:r>
            <w:r w:rsidR="00AD64B3">
              <w:rPr>
                <w:noProof/>
                <w:webHidden/>
              </w:rPr>
              <w:fldChar w:fldCharType="end"/>
            </w:r>
          </w:hyperlink>
        </w:p>
        <w:p w14:paraId="4272B8D0" w14:textId="553A1D13" w:rsidR="00AD64B3" w:rsidRDefault="00705721">
          <w:pPr>
            <w:pStyle w:val="TOC3"/>
            <w:tabs>
              <w:tab w:val="left" w:pos="1200"/>
              <w:tab w:val="right" w:leader="dot" w:pos="9016"/>
            </w:tabs>
            <w:rPr>
              <w:rFonts w:asciiTheme="minorHAnsi" w:eastAsiaTheme="minorEastAsia" w:hAnsiTheme="minorHAnsi" w:cstheme="minorBidi"/>
              <w:b w:val="0"/>
              <w:noProof/>
              <w:sz w:val="22"/>
              <w:szCs w:val="22"/>
              <w:lang w:val="en-US"/>
            </w:rPr>
          </w:pPr>
          <w:hyperlink w:anchor="_Toc132639984" w:history="1">
            <w:r w:rsidR="00AD64B3" w:rsidRPr="005E2D53">
              <w:rPr>
                <w:rStyle w:val="Hyperlink"/>
                <w:rFonts w:eastAsiaTheme="majorEastAsia"/>
                <w:noProof/>
                <w14:scene3d>
                  <w14:camera w14:prst="orthographicFront"/>
                  <w14:lightRig w14:rig="threePt" w14:dir="t">
                    <w14:rot w14:lat="0" w14:lon="0" w14:rev="0"/>
                  </w14:lightRig>
                </w14:scene3d>
              </w:rPr>
              <w:t>1.2.4</w:t>
            </w:r>
            <w:r w:rsidR="00AD64B3">
              <w:rPr>
                <w:rFonts w:asciiTheme="minorHAnsi" w:eastAsiaTheme="minorEastAsia" w:hAnsiTheme="minorHAnsi" w:cstheme="minorBidi"/>
                <w:b w:val="0"/>
                <w:noProof/>
                <w:sz w:val="22"/>
                <w:szCs w:val="22"/>
                <w:lang w:val="en-US"/>
              </w:rPr>
              <w:tab/>
            </w:r>
            <w:r w:rsidR="00AD64B3" w:rsidRPr="005E2D53">
              <w:rPr>
                <w:rStyle w:val="Hyperlink"/>
                <w:rFonts w:eastAsiaTheme="majorEastAsia"/>
                <w:noProof/>
              </w:rPr>
              <w:t>Cyanobacterial NDH complex</w:t>
            </w:r>
            <w:r w:rsidR="00AD64B3">
              <w:rPr>
                <w:noProof/>
                <w:webHidden/>
              </w:rPr>
              <w:tab/>
            </w:r>
            <w:r w:rsidR="00AD64B3">
              <w:rPr>
                <w:noProof/>
                <w:webHidden/>
              </w:rPr>
              <w:fldChar w:fldCharType="begin"/>
            </w:r>
            <w:r w:rsidR="00AD64B3">
              <w:rPr>
                <w:noProof/>
                <w:webHidden/>
              </w:rPr>
              <w:instrText xml:space="preserve"> PAGEREF _Toc132639984 \h </w:instrText>
            </w:r>
            <w:r w:rsidR="00AD64B3">
              <w:rPr>
                <w:noProof/>
                <w:webHidden/>
              </w:rPr>
            </w:r>
            <w:r w:rsidR="00AD64B3">
              <w:rPr>
                <w:noProof/>
                <w:webHidden/>
              </w:rPr>
              <w:fldChar w:fldCharType="separate"/>
            </w:r>
            <w:r w:rsidR="00ED1816">
              <w:rPr>
                <w:noProof/>
                <w:webHidden/>
              </w:rPr>
              <w:t>8</w:t>
            </w:r>
            <w:r w:rsidR="00AD64B3">
              <w:rPr>
                <w:noProof/>
                <w:webHidden/>
              </w:rPr>
              <w:fldChar w:fldCharType="end"/>
            </w:r>
          </w:hyperlink>
        </w:p>
        <w:p w14:paraId="4628EE69" w14:textId="38FC7D93" w:rsidR="00AD64B3" w:rsidRDefault="00705721">
          <w:pPr>
            <w:pStyle w:val="TOC3"/>
            <w:tabs>
              <w:tab w:val="left" w:pos="1200"/>
              <w:tab w:val="right" w:leader="dot" w:pos="9016"/>
            </w:tabs>
            <w:rPr>
              <w:rFonts w:asciiTheme="minorHAnsi" w:eastAsiaTheme="minorEastAsia" w:hAnsiTheme="minorHAnsi" w:cstheme="minorBidi"/>
              <w:b w:val="0"/>
              <w:noProof/>
              <w:sz w:val="22"/>
              <w:szCs w:val="22"/>
              <w:lang w:val="en-US"/>
            </w:rPr>
          </w:pPr>
          <w:hyperlink w:anchor="_Toc132639985" w:history="1">
            <w:r w:rsidR="00AD64B3" w:rsidRPr="005E2D53">
              <w:rPr>
                <w:rStyle w:val="Hyperlink"/>
                <w:rFonts w:eastAsiaTheme="majorEastAsia"/>
                <w:noProof/>
                <w14:scene3d>
                  <w14:camera w14:prst="orthographicFront"/>
                  <w14:lightRig w14:rig="threePt" w14:dir="t">
                    <w14:rot w14:lat="0" w14:lon="0" w14:rev="0"/>
                  </w14:lightRig>
                </w14:scene3d>
              </w:rPr>
              <w:t>1.2.5</w:t>
            </w:r>
            <w:r w:rsidR="00AD64B3">
              <w:rPr>
                <w:rFonts w:asciiTheme="minorHAnsi" w:eastAsiaTheme="minorEastAsia" w:hAnsiTheme="minorHAnsi" w:cstheme="minorBidi"/>
                <w:b w:val="0"/>
                <w:noProof/>
                <w:sz w:val="22"/>
                <w:szCs w:val="22"/>
                <w:lang w:val="en-US"/>
              </w:rPr>
              <w:tab/>
            </w:r>
            <w:r w:rsidR="00AD64B3" w:rsidRPr="005E2D53">
              <w:rPr>
                <w:rStyle w:val="Hyperlink"/>
                <w:rFonts w:eastAsiaTheme="majorEastAsia"/>
                <w:noProof/>
              </w:rPr>
              <w:t>Bacterial complex I as an important model</w:t>
            </w:r>
            <w:r w:rsidR="00AD64B3">
              <w:rPr>
                <w:noProof/>
                <w:webHidden/>
              </w:rPr>
              <w:tab/>
            </w:r>
            <w:r w:rsidR="00AD64B3">
              <w:rPr>
                <w:noProof/>
                <w:webHidden/>
              </w:rPr>
              <w:fldChar w:fldCharType="begin"/>
            </w:r>
            <w:r w:rsidR="00AD64B3">
              <w:rPr>
                <w:noProof/>
                <w:webHidden/>
              </w:rPr>
              <w:instrText xml:space="preserve"> PAGEREF _Toc132639985 \h </w:instrText>
            </w:r>
            <w:r w:rsidR="00AD64B3">
              <w:rPr>
                <w:noProof/>
                <w:webHidden/>
              </w:rPr>
            </w:r>
            <w:r w:rsidR="00AD64B3">
              <w:rPr>
                <w:noProof/>
                <w:webHidden/>
              </w:rPr>
              <w:fldChar w:fldCharType="separate"/>
            </w:r>
            <w:r w:rsidR="00ED1816">
              <w:rPr>
                <w:noProof/>
                <w:webHidden/>
              </w:rPr>
              <w:t>10</w:t>
            </w:r>
            <w:r w:rsidR="00AD64B3">
              <w:rPr>
                <w:noProof/>
                <w:webHidden/>
              </w:rPr>
              <w:fldChar w:fldCharType="end"/>
            </w:r>
          </w:hyperlink>
        </w:p>
        <w:p w14:paraId="2B4F1833" w14:textId="0EE5703B" w:rsidR="00AD64B3" w:rsidRDefault="00705721">
          <w:pPr>
            <w:pStyle w:val="TOC2"/>
            <w:tabs>
              <w:tab w:val="left" w:pos="960"/>
              <w:tab w:val="right" w:leader="dot" w:pos="9016"/>
            </w:tabs>
            <w:rPr>
              <w:rFonts w:asciiTheme="minorHAnsi" w:eastAsiaTheme="minorEastAsia" w:hAnsiTheme="minorHAnsi" w:cstheme="minorBidi"/>
              <w:b w:val="0"/>
              <w:bCs w:val="0"/>
              <w:noProof/>
              <w:sz w:val="22"/>
              <w:lang w:val="en-US"/>
            </w:rPr>
          </w:pPr>
          <w:hyperlink w:anchor="_Toc132639986" w:history="1">
            <w:r w:rsidR="00AD64B3" w:rsidRPr="005E2D53">
              <w:rPr>
                <w:rStyle w:val="Hyperlink"/>
                <w:rFonts w:eastAsiaTheme="majorEastAsia"/>
                <w:noProof/>
              </w:rPr>
              <w:t>1.3</w:t>
            </w:r>
            <w:r w:rsidR="00AD64B3">
              <w:rPr>
                <w:rFonts w:asciiTheme="minorHAnsi" w:eastAsiaTheme="minorEastAsia" w:hAnsiTheme="minorHAnsi" w:cstheme="minorBidi"/>
                <w:b w:val="0"/>
                <w:bCs w:val="0"/>
                <w:noProof/>
                <w:sz w:val="22"/>
                <w:lang w:val="en-US"/>
              </w:rPr>
              <w:tab/>
            </w:r>
            <w:r w:rsidR="00AD64B3" w:rsidRPr="005E2D53">
              <w:rPr>
                <w:rStyle w:val="Hyperlink"/>
                <w:rFonts w:eastAsiaTheme="majorEastAsia"/>
                <w:noProof/>
              </w:rPr>
              <w:t>Current structural and mechanistic understanding of complex I</w:t>
            </w:r>
            <w:r w:rsidR="00AD64B3">
              <w:rPr>
                <w:noProof/>
                <w:webHidden/>
              </w:rPr>
              <w:tab/>
            </w:r>
            <w:r w:rsidR="00AD64B3">
              <w:rPr>
                <w:noProof/>
                <w:webHidden/>
              </w:rPr>
              <w:fldChar w:fldCharType="begin"/>
            </w:r>
            <w:r w:rsidR="00AD64B3">
              <w:rPr>
                <w:noProof/>
                <w:webHidden/>
              </w:rPr>
              <w:instrText xml:space="preserve"> PAGEREF _Toc132639986 \h </w:instrText>
            </w:r>
            <w:r w:rsidR="00AD64B3">
              <w:rPr>
                <w:noProof/>
                <w:webHidden/>
              </w:rPr>
            </w:r>
            <w:r w:rsidR="00AD64B3">
              <w:rPr>
                <w:noProof/>
                <w:webHidden/>
              </w:rPr>
              <w:fldChar w:fldCharType="separate"/>
            </w:r>
            <w:r w:rsidR="00ED1816">
              <w:rPr>
                <w:noProof/>
                <w:webHidden/>
              </w:rPr>
              <w:t>11</w:t>
            </w:r>
            <w:r w:rsidR="00AD64B3">
              <w:rPr>
                <w:noProof/>
                <w:webHidden/>
              </w:rPr>
              <w:fldChar w:fldCharType="end"/>
            </w:r>
          </w:hyperlink>
        </w:p>
        <w:p w14:paraId="14601F24" w14:textId="4C8CF4B6" w:rsidR="00AD64B3" w:rsidRDefault="00705721">
          <w:pPr>
            <w:pStyle w:val="TOC3"/>
            <w:tabs>
              <w:tab w:val="left" w:pos="1200"/>
              <w:tab w:val="right" w:leader="dot" w:pos="9016"/>
            </w:tabs>
            <w:rPr>
              <w:rFonts w:asciiTheme="minorHAnsi" w:eastAsiaTheme="minorEastAsia" w:hAnsiTheme="minorHAnsi" w:cstheme="minorBidi"/>
              <w:b w:val="0"/>
              <w:noProof/>
              <w:sz w:val="22"/>
              <w:szCs w:val="22"/>
              <w:lang w:val="en-US"/>
            </w:rPr>
          </w:pPr>
          <w:hyperlink w:anchor="_Toc132639987" w:history="1">
            <w:r w:rsidR="00AD64B3" w:rsidRPr="005E2D53">
              <w:rPr>
                <w:rStyle w:val="Hyperlink"/>
                <w:rFonts w:eastAsiaTheme="majorEastAsia"/>
                <w:noProof/>
                <w14:scene3d>
                  <w14:camera w14:prst="orthographicFront"/>
                  <w14:lightRig w14:rig="threePt" w14:dir="t">
                    <w14:rot w14:lat="0" w14:lon="0" w14:rev="0"/>
                  </w14:lightRig>
                </w14:scene3d>
              </w:rPr>
              <w:t>1.3.1</w:t>
            </w:r>
            <w:r w:rsidR="00AD64B3">
              <w:rPr>
                <w:rFonts w:asciiTheme="minorHAnsi" w:eastAsiaTheme="minorEastAsia" w:hAnsiTheme="minorHAnsi" w:cstheme="minorBidi"/>
                <w:b w:val="0"/>
                <w:noProof/>
                <w:sz w:val="22"/>
                <w:szCs w:val="22"/>
                <w:lang w:val="en-US"/>
              </w:rPr>
              <w:tab/>
            </w:r>
            <w:r w:rsidR="00AD64B3" w:rsidRPr="005E2D53">
              <w:rPr>
                <w:rStyle w:val="Hyperlink"/>
                <w:rFonts w:eastAsiaTheme="majorEastAsia"/>
                <w:noProof/>
              </w:rPr>
              <w:t>History of structure determination</w:t>
            </w:r>
            <w:r w:rsidR="00AD64B3">
              <w:rPr>
                <w:noProof/>
                <w:webHidden/>
              </w:rPr>
              <w:tab/>
            </w:r>
            <w:r w:rsidR="00AD64B3">
              <w:rPr>
                <w:noProof/>
                <w:webHidden/>
              </w:rPr>
              <w:fldChar w:fldCharType="begin"/>
            </w:r>
            <w:r w:rsidR="00AD64B3">
              <w:rPr>
                <w:noProof/>
                <w:webHidden/>
              </w:rPr>
              <w:instrText xml:space="preserve"> PAGEREF _Toc132639987 \h </w:instrText>
            </w:r>
            <w:r w:rsidR="00AD64B3">
              <w:rPr>
                <w:noProof/>
                <w:webHidden/>
              </w:rPr>
            </w:r>
            <w:r w:rsidR="00AD64B3">
              <w:rPr>
                <w:noProof/>
                <w:webHidden/>
              </w:rPr>
              <w:fldChar w:fldCharType="separate"/>
            </w:r>
            <w:r w:rsidR="00ED1816">
              <w:rPr>
                <w:noProof/>
                <w:webHidden/>
              </w:rPr>
              <w:t>11</w:t>
            </w:r>
            <w:r w:rsidR="00AD64B3">
              <w:rPr>
                <w:noProof/>
                <w:webHidden/>
              </w:rPr>
              <w:fldChar w:fldCharType="end"/>
            </w:r>
          </w:hyperlink>
        </w:p>
        <w:p w14:paraId="46976DE9" w14:textId="2290724D" w:rsidR="00AD64B3" w:rsidRDefault="00705721">
          <w:pPr>
            <w:pStyle w:val="TOC3"/>
            <w:tabs>
              <w:tab w:val="left" w:pos="1200"/>
              <w:tab w:val="right" w:leader="dot" w:pos="9016"/>
            </w:tabs>
            <w:rPr>
              <w:rFonts w:asciiTheme="minorHAnsi" w:eastAsiaTheme="minorEastAsia" w:hAnsiTheme="minorHAnsi" w:cstheme="minorBidi"/>
              <w:b w:val="0"/>
              <w:noProof/>
              <w:sz w:val="22"/>
              <w:szCs w:val="22"/>
              <w:lang w:val="en-US"/>
            </w:rPr>
          </w:pPr>
          <w:hyperlink w:anchor="_Toc132639988" w:history="1">
            <w:r w:rsidR="00AD64B3" w:rsidRPr="005E2D53">
              <w:rPr>
                <w:rStyle w:val="Hyperlink"/>
                <w:rFonts w:eastAsiaTheme="majorEastAsia"/>
                <w:noProof/>
                <w14:scene3d>
                  <w14:camera w14:prst="orthographicFront"/>
                  <w14:lightRig w14:rig="threePt" w14:dir="t">
                    <w14:rot w14:lat="0" w14:lon="0" w14:rev="0"/>
                  </w14:lightRig>
                </w14:scene3d>
              </w:rPr>
              <w:t>1.3.2</w:t>
            </w:r>
            <w:r w:rsidR="00AD64B3">
              <w:rPr>
                <w:rFonts w:asciiTheme="minorHAnsi" w:eastAsiaTheme="minorEastAsia" w:hAnsiTheme="minorHAnsi" w:cstheme="minorBidi"/>
                <w:b w:val="0"/>
                <w:noProof/>
                <w:sz w:val="22"/>
                <w:szCs w:val="22"/>
                <w:lang w:val="en-US"/>
              </w:rPr>
              <w:tab/>
            </w:r>
            <w:r w:rsidR="00AD64B3" w:rsidRPr="005E2D53">
              <w:rPr>
                <w:rStyle w:val="Hyperlink"/>
                <w:rFonts w:eastAsiaTheme="majorEastAsia"/>
                <w:noProof/>
              </w:rPr>
              <w:t>Structural states of complex I</w:t>
            </w:r>
            <w:r w:rsidR="00AD64B3">
              <w:rPr>
                <w:noProof/>
                <w:webHidden/>
              </w:rPr>
              <w:tab/>
            </w:r>
            <w:r w:rsidR="00AD64B3">
              <w:rPr>
                <w:noProof/>
                <w:webHidden/>
              </w:rPr>
              <w:fldChar w:fldCharType="begin"/>
            </w:r>
            <w:r w:rsidR="00AD64B3">
              <w:rPr>
                <w:noProof/>
                <w:webHidden/>
              </w:rPr>
              <w:instrText xml:space="preserve"> PAGEREF _Toc132639988 \h </w:instrText>
            </w:r>
            <w:r w:rsidR="00AD64B3">
              <w:rPr>
                <w:noProof/>
                <w:webHidden/>
              </w:rPr>
            </w:r>
            <w:r w:rsidR="00AD64B3">
              <w:rPr>
                <w:noProof/>
                <w:webHidden/>
              </w:rPr>
              <w:fldChar w:fldCharType="separate"/>
            </w:r>
            <w:r w:rsidR="00ED1816">
              <w:rPr>
                <w:noProof/>
                <w:webHidden/>
              </w:rPr>
              <w:t>12</w:t>
            </w:r>
            <w:r w:rsidR="00AD64B3">
              <w:rPr>
                <w:noProof/>
                <w:webHidden/>
              </w:rPr>
              <w:fldChar w:fldCharType="end"/>
            </w:r>
          </w:hyperlink>
        </w:p>
        <w:p w14:paraId="3A606893" w14:textId="642E5A2F" w:rsidR="00AD64B3" w:rsidRDefault="00705721">
          <w:pPr>
            <w:pStyle w:val="TOC3"/>
            <w:tabs>
              <w:tab w:val="left" w:pos="1200"/>
              <w:tab w:val="right" w:leader="dot" w:pos="9016"/>
            </w:tabs>
            <w:rPr>
              <w:rFonts w:asciiTheme="minorHAnsi" w:eastAsiaTheme="minorEastAsia" w:hAnsiTheme="minorHAnsi" w:cstheme="minorBidi"/>
              <w:b w:val="0"/>
              <w:noProof/>
              <w:sz w:val="22"/>
              <w:szCs w:val="22"/>
              <w:lang w:val="en-US"/>
            </w:rPr>
          </w:pPr>
          <w:hyperlink w:anchor="_Toc132639989" w:history="1">
            <w:r w:rsidR="00AD64B3" w:rsidRPr="005E2D53">
              <w:rPr>
                <w:rStyle w:val="Hyperlink"/>
                <w:rFonts w:eastAsiaTheme="majorEastAsia"/>
                <w:noProof/>
                <w14:scene3d>
                  <w14:camera w14:prst="orthographicFront"/>
                  <w14:lightRig w14:rig="threePt" w14:dir="t">
                    <w14:rot w14:lat="0" w14:lon="0" w14:rev="0"/>
                  </w14:lightRig>
                </w14:scene3d>
              </w:rPr>
              <w:t>1.3.3</w:t>
            </w:r>
            <w:r w:rsidR="00AD64B3">
              <w:rPr>
                <w:rFonts w:asciiTheme="minorHAnsi" w:eastAsiaTheme="minorEastAsia" w:hAnsiTheme="minorHAnsi" w:cstheme="minorBidi"/>
                <w:b w:val="0"/>
                <w:noProof/>
                <w:sz w:val="22"/>
                <w:szCs w:val="22"/>
                <w:lang w:val="en-US"/>
              </w:rPr>
              <w:tab/>
            </w:r>
            <w:r w:rsidR="00AD64B3" w:rsidRPr="005E2D53">
              <w:rPr>
                <w:rStyle w:val="Hyperlink"/>
                <w:rFonts w:eastAsiaTheme="majorEastAsia"/>
                <w:noProof/>
              </w:rPr>
              <w:t>Coupling mechanism in complex I</w:t>
            </w:r>
            <w:r w:rsidR="00AD64B3">
              <w:rPr>
                <w:noProof/>
                <w:webHidden/>
              </w:rPr>
              <w:tab/>
            </w:r>
            <w:r w:rsidR="00AD64B3">
              <w:rPr>
                <w:noProof/>
                <w:webHidden/>
              </w:rPr>
              <w:fldChar w:fldCharType="begin"/>
            </w:r>
            <w:r w:rsidR="00AD64B3">
              <w:rPr>
                <w:noProof/>
                <w:webHidden/>
              </w:rPr>
              <w:instrText xml:space="preserve"> PAGEREF _Toc132639989 \h </w:instrText>
            </w:r>
            <w:r w:rsidR="00AD64B3">
              <w:rPr>
                <w:noProof/>
                <w:webHidden/>
              </w:rPr>
            </w:r>
            <w:r w:rsidR="00AD64B3">
              <w:rPr>
                <w:noProof/>
                <w:webHidden/>
              </w:rPr>
              <w:fldChar w:fldCharType="separate"/>
            </w:r>
            <w:r w:rsidR="00ED1816">
              <w:rPr>
                <w:noProof/>
                <w:webHidden/>
              </w:rPr>
              <w:t>14</w:t>
            </w:r>
            <w:r w:rsidR="00AD64B3">
              <w:rPr>
                <w:noProof/>
                <w:webHidden/>
              </w:rPr>
              <w:fldChar w:fldCharType="end"/>
            </w:r>
          </w:hyperlink>
        </w:p>
        <w:p w14:paraId="1F989C95" w14:textId="70FDA84A" w:rsidR="00AD64B3" w:rsidRDefault="00705721">
          <w:pPr>
            <w:pStyle w:val="TOC2"/>
            <w:tabs>
              <w:tab w:val="left" w:pos="960"/>
              <w:tab w:val="right" w:leader="dot" w:pos="9016"/>
            </w:tabs>
            <w:rPr>
              <w:rFonts w:asciiTheme="minorHAnsi" w:eastAsiaTheme="minorEastAsia" w:hAnsiTheme="minorHAnsi" w:cstheme="minorBidi"/>
              <w:b w:val="0"/>
              <w:bCs w:val="0"/>
              <w:noProof/>
              <w:sz w:val="22"/>
              <w:lang w:val="en-US"/>
            </w:rPr>
          </w:pPr>
          <w:hyperlink w:anchor="_Toc132639990" w:history="1">
            <w:r w:rsidR="00AD64B3" w:rsidRPr="005E2D53">
              <w:rPr>
                <w:rStyle w:val="Hyperlink"/>
                <w:rFonts w:eastAsiaTheme="majorEastAsia"/>
                <w:noProof/>
              </w:rPr>
              <w:t>1.4</w:t>
            </w:r>
            <w:r w:rsidR="00AD64B3">
              <w:rPr>
                <w:rFonts w:asciiTheme="minorHAnsi" w:eastAsiaTheme="minorEastAsia" w:hAnsiTheme="minorHAnsi" w:cstheme="minorBidi"/>
                <w:b w:val="0"/>
                <w:bCs w:val="0"/>
                <w:noProof/>
                <w:sz w:val="22"/>
                <w:lang w:val="en-US"/>
              </w:rPr>
              <w:tab/>
            </w:r>
            <w:r w:rsidR="00AD64B3" w:rsidRPr="005E2D53">
              <w:rPr>
                <w:rStyle w:val="Hyperlink"/>
                <w:rFonts w:eastAsiaTheme="majorEastAsia"/>
                <w:noProof/>
              </w:rPr>
              <w:t>Goals of the project</w:t>
            </w:r>
            <w:r w:rsidR="00AD64B3">
              <w:rPr>
                <w:noProof/>
                <w:webHidden/>
              </w:rPr>
              <w:tab/>
            </w:r>
            <w:r w:rsidR="00AD64B3">
              <w:rPr>
                <w:noProof/>
                <w:webHidden/>
              </w:rPr>
              <w:fldChar w:fldCharType="begin"/>
            </w:r>
            <w:r w:rsidR="00AD64B3">
              <w:rPr>
                <w:noProof/>
                <w:webHidden/>
              </w:rPr>
              <w:instrText xml:space="preserve"> PAGEREF _Toc132639990 \h </w:instrText>
            </w:r>
            <w:r w:rsidR="00AD64B3">
              <w:rPr>
                <w:noProof/>
                <w:webHidden/>
              </w:rPr>
            </w:r>
            <w:r w:rsidR="00AD64B3">
              <w:rPr>
                <w:noProof/>
                <w:webHidden/>
              </w:rPr>
              <w:fldChar w:fldCharType="separate"/>
            </w:r>
            <w:r w:rsidR="00ED1816">
              <w:rPr>
                <w:noProof/>
                <w:webHidden/>
              </w:rPr>
              <w:t>15</w:t>
            </w:r>
            <w:r w:rsidR="00AD64B3">
              <w:rPr>
                <w:noProof/>
                <w:webHidden/>
              </w:rPr>
              <w:fldChar w:fldCharType="end"/>
            </w:r>
          </w:hyperlink>
        </w:p>
        <w:p w14:paraId="3CBBB70D" w14:textId="5B4B96A6" w:rsidR="00AD64B3" w:rsidRDefault="00705721">
          <w:pPr>
            <w:pStyle w:val="TOC1"/>
            <w:tabs>
              <w:tab w:val="left" w:pos="480"/>
              <w:tab w:val="right" w:leader="dot" w:pos="9016"/>
            </w:tabs>
            <w:rPr>
              <w:rFonts w:asciiTheme="minorHAnsi" w:eastAsiaTheme="minorEastAsia" w:hAnsiTheme="minorHAnsi" w:cstheme="minorBidi"/>
              <w:b w:val="0"/>
              <w:bCs w:val="0"/>
              <w:iCs w:val="0"/>
              <w:noProof/>
              <w:sz w:val="22"/>
              <w:szCs w:val="22"/>
              <w:lang w:val="en-US"/>
            </w:rPr>
          </w:pPr>
          <w:hyperlink w:anchor="_Toc132639991" w:history="1">
            <w:r w:rsidR="00AD64B3" w:rsidRPr="005E2D53">
              <w:rPr>
                <w:rStyle w:val="Hyperlink"/>
                <w:rFonts w:eastAsiaTheme="majorEastAsia"/>
                <w:noProof/>
              </w:rPr>
              <w:t>2</w:t>
            </w:r>
            <w:r w:rsidR="00AD64B3">
              <w:rPr>
                <w:rFonts w:asciiTheme="minorHAnsi" w:eastAsiaTheme="minorEastAsia" w:hAnsiTheme="minorHAnsi" w:cstheme="minorBidi"/>
                <w:b w:val="0"/>
                <w:bCs w:val="0"/>
                <w:iCs w:val="0"/>
                <w:noProof/>
                <w:sz w:val="22"/>
                <w:szCs w:val="22"/>
                <w:lang w:val="en-US"/>
              </w:rPr>
              <w:tab/>
            </w:r>
            <w:r w:rsidR="00AD64B3" w:rsidRPr="005E2D53">
              <w:rPr>
                <w:rStyle w:val="Hyperlink"/>
                <w:rFonts w:eastAsiaTheme="majorEastAsia"/>
                <w:noProof/>
              </w:rPr>
              <w:t>Methods</w:t>
            </w:r>
            <w:r w:rsidR="00AD64B3">
              <w:rPr>
                <w:noProof/>
                <w:webHidden/>
              </w:rPr>
              <w:tab/>
            </w:r>
            <w:r w:rsidR="00AD64B3">
              <w:rPr>
                <w:noProof/>
                <w:webHidden/>
              </w:rPr>
              <w:fldChar w:fldCharType="begin"/>
            </w:r>
            <w:r w:rsidR="00AD64B3">
              <w:rPr>
                <w:noProof/>
                <w:webHidden/>
              </w:rPr>
              <w:instrText xml:space="preserve"> PAGEREF _Toc132639991 \h </w:instrText>
            </w:r>
            <w:r w:rsidR="00AD64B3">
              <w:rPr>
                <w:noProof/>
                <w:webHidden/>
              </w:rPr>
            </w:r>
            <w:r w:rsidR="00AD64B3">
              <w:rPr>
                <w:noProof/>
                <w:webHidden/>
              </w:rPr>
              <w:fldChar w:fldCharType="separate"/>
            </w:r>
            <w:r w:rsidR="00ED1816">
              <w:rPr>
                <w:noProof/>
                <w:webHidden/>
              </w:rPr>
              <w:t>16</w:t>
            </w:r>
            <w:r w:rsidR="00AD64B3">
              <w:rPr>
                <w:noProof/>
                <w:webHidden/>
              </w:rPr>
              <w:fldChar w:fldCharType="end"/>
            </w:r>
          </w:hyperlink>
        </w:p>
        <w:p w14:paraId="086A4D09" w14:textId="7C05E0BC" w:rsidR="00AD64B3" w:rsidRDefault="00705721">
          <w:pPr>
            <w:pStyle w:val="TOC2"/>
            <w:tabs>
              <w:tab w:val="left" w:pos="960"/>
              <w:tab w:val="right" w:leader="dot" w:pos="9016"/>
            </w:tabs>
            <w:rPr>
              <w:rFonts w:asciiTheme="minorHAnsi" w:eastAsiaTheme="minorEastAsia" w:hAnsiTheme="minorHAnsi" w:cstheme="minorBidi"/>
              <w:b w:val="0"/>
              <w:bCs w:val="0"/>
              <w:noProof/>
              <w:sz w:val="22"/>
              <w:lang w:val="en-US"/>
            </w:rPr>
          </w:pPr>
          <w:hyperlink w:anchor="_Toc132639992" w:history="1">
            <w:r w:rsidR="00AD64B3" w:rsidRPr="005E2D53">
              <w:rPr>
                <w:rStyle w:val="Hyperlink"/>
                <w:rFonts w:eastAsiaTheme="majorEastAsia"/>
                <w:noProof/>
              </w:rPr>
              <w:t>2.1</w:t>
            </w:r>
            <w:r w:rsidR="00AD64B3">
              <w:rPr>
                <w:rFonts w:asciiTheme="minorHAnsi" w:eastAsiaTheme="minorEastAsia" w:hAnsiTheme="minorHAnsi" w:cstheme="minorBidi"/>
                <w:b w:val="0"/>
                <w:bCs w:val="0"/>
                <w:noProof/>
                <w:sz w:val="22"/>
                <w:lang w:val="en-US"/>
              </w:rPr>
              <w:tab/>
            </w:r>
            <w:r w:rsidR="00AD64B3" w:rsidRPr="005E2D53">
              <w:rPr>
                <w:rStyle w:val="Hyperlink"/>
                <w:rFonts w:eastAsiaTheme="majorEastAsia"/>
                <w:noProof/>
              </w:rPr>
              <w:t>Sample Preparation</w:t>
            </w:r>
            <w:r w:rsidR="00AD64B3">
              <w:rPr>
                <w:noProof/>
                <w:webHidden/>
              </w:rPr>
              <w:tab/>
            </w:r>
            <w:r w:rsidR="00AD64B3">
              <w:rPr>
                <w:noProof/>
                <w:webHidden/>
              </w:rPr>
              <w:fldChar w:fldCharType="begin"/>
            </w:r>
            <w:r w:rsidR="00AD64B3">
              <w:rPr>
                <w:noProof/>
                <w:webHidden/>
              </w:rPr>
              <w:instrText xml:space="preserve"> PAGEREF _Toc132639992 \h </w:instrText>
            </w:r>
            <w:r w:rsidR="00AD64B3">
              <w:rPr>
                <w:noProof/>
                <w:webHidden/>
              </w:rPr>
            </w:r>
            <w:r w:rsidR="00AD64B3">
              <w:rPr>
                <w:noProof/>
                <w:webHidden/>
              </w:rPr>
              <w:fldChar w:fldCharType="separate"/>
            </w:r>
            <w:r w:rsidR="00ED1816">
              <w:rPr>
                <w:noProof/>
                <w:webHidden/>
              </w:rPr>
              <w:t>16</w:t>
            </w:r>
            <w:r w:rsidR="00AD64B3">
              <w:rPr>
                <w:noProof/>
                <w:webHidden/>
              </w:rPr>
              <w:fldChar w:fldCharType="end"/>
            </w:r>
          </w:hyperlink>
        </w:p>
        <w:p w14:paraId="711A078A" w14:textId="69A2FE63" w:rsidR="00AD64B3" w:rsidRDefault="00705721">
          <w:pPr>
            <w:pStyle w:val="TOC3"/>
            <w:tabs>
              <w:tab w:val="left" w:pos="1200"/>
              <w:tab w:val="right" w:leader="dot" w:pos="9016"/>
            </w:tabs>
            <w:rPr>
              <w:rFonts w:asciiTheme="minorHAnsi" w:eastAsiaTheme="minorEastAsia" w:hAnsiTheme="minorHAnsi" w:cstheme="minorBidi"/>
              <w:b w:val="0"/>
              <w:noProof/>
              <w:sz w:val="22"/>
              <w:szCs w:val="22"/>
              <w:lang w:val="en-US"/>
            </w:rPr>
          </w:pPr>
          <w:hyperlink w:anchor="_Toc132639993" w:history="1">
            <w:r w:rsidR="00AD64B3" w:rsidRPr="005E2D53">
              <w:rPr>
                <w:rStyle w:val="Hyperlink"/>
                <w:rFonts w:eastAsiaTheme="majorEastAsia"/>
                <w:noProof/>
                <w14:scene3d>
                  <w14:camera w14:prst="orthographicFront"/>
                  <w14:lightRig w14:rig="threePt" w14:dir="t">
                    <w14:rot w14:lat="0" w14:lon="0" w14:rev="0"/>
                  </w14:lightRig>
                </w14:scene3d>
              </w:rPr>
              <w:t>2.1.1</w:t>
            </w:r>
            <w:r w:rsidR="00AD64B3">
              <w:rPr>
                <w:rFonts w:asciiTheme="minorHAnsi" w:eastAsiaTheme="minorEastAsia" w:hAnsiTheme="minorHAnsi" w:cstheme="minorBidi"/>
                <w:b w:val="0"/>
                <w:noProof/>
                <w:sz w:val="22"/>
                <w:szCs w:val="22"/>
                <w:lang w:val="en-US"/>
              </w:rPr>
              <w:tab/>
            </w:r>
            <w:r w:rsidR="00AD64B3" w:rsidRPr="005E2D53">
              <w:rPr>
                <w:rStyle w:val="Hyperlink"/>
                <w:rFonts w:eastAsiaTheme="majorEastAsia"/>
                <w:noProof/>
              </w:rPr>
              <w:t>Sample preparation and purification</w:t>
            </w:r>
            <w:r w:rsidR="00AD64B3">
              <w:rPr>
                <w:noProof/>
                <w:webHidden/>
              </w:rPr>
              <w:tab/>
            </w:r>
            <w:r w:rsidR="00AD64B3">
              <w:rPr>
                <w:noProof/>
                <w:webHidden/>
              </w:rPr>
              <w:fldChar w:fldCharType="begin"/>
            </w:r>
            <w:r w:rsidR="00AD64B3">
              <w:rPr>
                <w:noProof/>
                <w:webHidden/>
              </w:rPr>
              <w:instrText xml:space="preserve"> PAGEREF _Toc132639993 \h </w:instrText>
            </w:r>
            <w:r w:rsidR="00AD64B3">
              <w:rPr>
                <w:noProof/>
                <w:webHidden/>
              </w:rPr>
            </w:r>
            <w:r w:rsidR="00AD64B3">
              <w:rPr>
                <w:noProof/>
                <w:webHidden/>
              </w:rPr>
              <w:fldChar w:fldCharType="separate"/>
            </w:r>
            <w:r w:rsidR="00ED1816">
              <w:rPr>
                <w:noProof/>
                <w:webHidden/>
              </w:rPr>
              <w:t>16</w:t>
            </w:r>
            <w:r w:rsidR="00AD64B3">
              <w:rPr>
                <w:noProof/>
                <w:webHidden/>
              </w:rPr>
              <w:fldChar w:fldCharType="end"/>
            </w:r>
          </w:hyperlink>
        </w:p>
        <w:p w14:paraId="0EA03EF5" w14:textId="5BBEAE76" w:rsidR="00AD64B3" w:rsidRDefault="00705721">
          <w:pPr>
            <w:pStyle w:val="TOC2"/>
            <w:tabs>
              <w:tab w:val="left" w:pos="960"/>
              <w:tab w:val="right" w:leader="dot" w:pos="9016"/>
            </w:tabs>
            <w:rPr>
              <w:rFonts w:asciiTheme="minorHAnsi" w:eastAsiaTheme="minorEastAsia" w:hAnsiTheme="minorHAnsi" w:cstheme="minorBidi"/>
              <w:b w:val="0"/>
              <w:bCs w:val="0"/>
              <w:noProof/>
              <w:sz w:val="22"/>
              <w:lang w:val="en-US"/>
            </w:rPr>
          </w:pPr>
          <w:hyperlink w:anchor="_Toc132639994" w:history="1">
            <w:r w:rsidR="00AD64B3" w:rsidRPr="005E2D53">
              <w:rPr>
                <w:rStyle w:val="Hyperlink"/>
                <w:rFonts w:eastAsiaTheme="majorEastAsia"/>
                <w:noProof/>
              </w:rPr>
              <w:t>2.2</w:t>
            </w:r>
            <w:r w:rsidR="00AD64B3">
              <w:rPr>
                <w:rFonts w:asciiTheme="minorHAnsi" w:eastAsiaTheme="minorEastAsia" w:hAnsiTheme="minorHAnsi" w:cstheme="minorBidi"/>
                <w:b w:val="0"/>
                <w:bCs w:val="0"/>
                <w:noProof/>
                <w:sz w:val="22"/>
                <w:lang w:val="en-US"/>
              </w:rPr>
              <w:tab/>
            </w:r>
            <w:r w:rsidR="00AD64B3" w:rsidRPr="005E2D53">
              <w:rPr>
                <w:rStyle w:val="Hyperlink"/>
                <w:rFonts w:eastAsiaTheme="majorEastAsia"/>
                <w:noProof/>
              </w:rPr>
              <w:t>Analytical methods</w:t>
            </w:r>
            <w:r w:rsidR="00AD64B3">
              <w:rPr>
                <w:noProof/>
                <w:webHidden/>
              </w:rPr>
              <w:tab/>
            </w:r>
            <w:r w:rsidR="00AD64B3">
              <w:rPr>
                <w:noProof/>
                <w:webHidden/>
              </w:rPr>
              <w:fldChar w:fldCharType="begin"/>
            </w:r>
            <w:r w:rsidR="00AD64B3">
              <w:rPr>
                <w:noProof/>
                <w:webHidden/>
              </w:rPr>
              <w:instrText xml:space="preserve"> PAGEREF _Toc132639994 \h </w:instrText>
            </w:r>
            <w:r w:rsidR="00AD64B3">
              <w:rPr>
                <w:noProof/>
                <w:webHidden/>
              </w:rPr>
            </w:r>
            <w:r w:rsidR="00AD64B3">
              <w:rPr>
                <w:noProof/>
                <w:webHidden/>
              </w:rPr>
              <w:fldChar w:fldCharType="separate"/>
            </w:r>
            <w:r w:rsidR="00ED1816">
              <w:rPr>
                <w:noProof/>
                <w:webHidden/>
              </w:rPr>
              <w:t>17</w:t>
            </w:r>
            <w:r w:rsidR="00AD64B3">
              <w:rPr>
                <w:noProof/>
                <w:webHidden/>
              </w:rPr>
              <w:fldChar w:fldCharType="end"/>
            </w:r>
          </w:hyperlink>
        </w:p>
        <w:p w14:paraId="349C005E" w14:textId="1DE6DF93" w:rsidR="00AD64B3" w:rsidRDefault="00705721">
          <w:pPr>
            <w:pStyle w:val="TOC3"/>
            <w:tabs>
              <w:tab w:val="left" w:pos="1200"/>
              <w:tab w:val="right" w:leader="dot" w:pos="9016"/>
            </w:tabs>
            <w:rPr>
              <w:rFonts w:asciiTheme="minorHAnsi" w:eastAsiaTheme="minorEastAsia" w:hAnsiTheme="minorHAnsi" w:cstheme="minorBidi"/>
              <w:b w:val="0"/>
              <w:noProof/>
              <w:sz w:val="22"/>
              <w:szCs w:val="22"/>
              <w:lang w:val="en-US"/>
            </w:rPr>
          </w:pPr>
          <w:hyperlink w:anchor="_Toc132639995" w:history="1">
            <w:r w:rsidR="00AD64B3" w:rsidRPr="005E2D53">
              <w:rPr>
                <w:rStyle w:val="Hyperlink"/>
                <w:rFonts w:eastAsiaTheme="majorEastAsia"/>
                <w:noProof/>
                <w14:scene3d>
                  <w14:camera w14:prst="orthographicFront"/>
                  <w14:lightRig w14:rig="threePt" w14:dir="t">
                    <w14:rot w14:lat="0" w14:lon="0" w14:rev="0"/>
                  </w14:lightRig>
                </w14:scene3d>
              </w:rPr>
              <w:t>2.2.1</w:t>
            </w:r>
            <w:r w:rsidR="00AD64B3">
              <w:rPr>
                <w:rFonts w:asciiTheme="minorHAnsi" w:eastAsiaTheme="minorEastAsia" w:hAnsiTheme="minorHAnsi" w:cstheme="minorBidi"/>
                <w:b w:val="0"/>
                <w:noProof/>
                <w:sz w:val="22"/>
                <w:szCs w:val="22"/>
                <w:lang w:val="en-US"/>
              </w:rPr>
              <w:tab/>
            </w:r>
            <w:r w:rsidR="00AD64B3" w:rsidRPr="005E2D53">
              <w:rPr>
                <w:rStyle w:val="Hyperlink"/>
                <w:rFonts w:eastAsiaTheme="majorEastAsia"/>
                <w:noProof/>
              </w:rPr>
              <w:t>Complex I activity measurements</w:t>
            </w:r>
            <w:r w:rsidR="00AD64B3">
              <w:rPr>
                <w:noProof/>
                <w:webHidden/>
              </w:rPr>
              <w:tab/>
            </w:r>
            <w:r w:rsidR="00AD64B3">
              <w:rPr>
                <w:noProof/>
                <w:webHidden/>
              </w:rPr>
              <w:fldChar w:fldCharType="begin"/>
            </w:r>
            <w:r w:rsidR="00AD64B3">
              <w:rPr>
                <w:noProof/>
                <w:webHidden/>
              </w:rPr>
              <w:instrText xml:space="preserve"> PAGEREF _Toc132639995 \h </w:instrText>
            </w:r>
            <w:r w:rsidR="00AD64B3">
              <w:rPr>
                <w:noProof/>
                <w:webHidden/>
              </w:rPr>
            </w:r>
            <w:r w:rsidR="00AD64B3">
              <w:rPr>
                <w:noProof/>
                <w:webHidden/>
              </w:rPr>
              <w:fldChar w:fldCharType="separate"/>
            </w:r>
            <w:r w:rsidR="00ED1816">
              <w:rPr>
                <w:noProof/>
                <w:webHidden/>
              </w:rPr>
              <w:t>17</w:t>
            </w:r>
            <w:r w:rsidR="00AD64B3">
              <w:rPr>
                <w:noProof/>
                <w:webHidden/>
              </w:rPr>
              <w:fldChar w:fldCharType="end"/>
            </w:r>
          </w:hyperlink>
        </w:p>
        <w:p w14:paraId="5FC6D4F0" w14:textId="70A8A05C" w:rsidR="00AD64B3" w:rsidRDefault="00705721">
          <w:pPr>
            <w:pStyle w:val="TOC3"/>
            <w:tabs>
              <w:tab w:val="left" w:pos="1200"/>
              <w:tab w:val="right" w:leader="dot" w:pos="9016"/>
            </w:tabs>
            <w:rPr>
              <w:rFonts w:asciiTheme="minorHAnsi" w:eastAsiaTheme="minorEastAsia" w:hAnsiTheme="minorHAnsi" w:cstheme="minorBidi"/>
              <w:b w:val="0"/>
              <w:noProof/>
              <w:sz w:val="22"/>
              <w:szCs w:val="22"/>
              <w:lang w:val="en-US"/>
            </w:rPr>
          </w:pPr>
          <w:hyperlink w:anchor="_Toc132639996" w:history="1">
            <w:r w:rsidR="00AD64B3" w:rsidRPr="005E2D53">
              <w:rPr>
                <w:rStyle w:val="Hyperlink"/>
                <w:rFonts w:eastAsiaTheme="majorEastAsia"/>
                <w:noProof/>
                <w14:scene3d>
                  <w14:camera w14:prst="orthographicFront"/>
                  <w14:lightRig w14:rig="threePt" w14:dir="t">
                    <w14:rot w14:lat="0" w14:lon="0" w14:rev="0"/>
                  </w14:lightRig>
                </w14:scene3d>
              </w:rPr>
              <w:t>2.2.2</w:t>
            </w:r>
            <w:r w:rsidR="00AD64B3">
              <w:rPr>
                <w:rFonts w:asciiTheme="minorHAnsi" w:eastAsiaTheme="minorEastAsia" w:hAnsiTheme="minorHAnsi" w:cstheme="minorBidi"/>
                <w:b w:val="0"/>
                <w:noProof/>
                <w:sz w:val="22"/>
                <w:szCs w:val="22"/>
                <w:lang w:val="en-US"/>
              </w:rPr>
              <w:tab/>
            </w:r>
            <w:r w:rsidR="00AD64B3" w:rsidRPr="005E2D53">
              <w:rPr>
                <w:rStyle w:val="Hyperlink"/>
                <w:rFonts w:eastAsiaTheme="majorEastAsia"/>
                <w:noProof/>
              </w:rPr>
              <w:t>NDH activity measurements attempts</w:t>
            </w:r>
            <w:r w:rsidR="00AD64B3">
              <w:rPr>
                <w:noProof/>
                <w:webHidden/>
              </w:rPr>
              <w:tab/>
            </w:r>
            <w:r w:rsidR="00AD64B3">
              <w:rPr>
                <w:noProof/>
                <w:webHidden/>
              </w:rPr>
              <w:fldChar w:fldCharType="begin"/>
            </w:r>
            <w:r w:rsidR="00AD64B3">
              <w:rPr>
                <w:noProof/>
                <w:webHidden/>
              </w:rPr>
              <w:instrText xml:space="preserve"> PAGEREF _Toc132639996 \h </w:instrText>
            </w:r>
            <w:r w:rsidR="00AD64B3">
              <w:rPr>
                <w:noProof/>
                <w:webHidden/>
              </w:rPr>
            </w:r>
            <w:r w:rsidR="00AD64B3">
              <w:rPr>
                <w:noProof/>
                <w:webHidden/>
              </w:rPr>
              <w:fldChar w:fldCharType="separate"/>
            </w:r>
            <w:r w:rsidR="00ED1816">
              <w:rPr>
                <w:noProof/>
                <w:webHidden/>
              </w:rPr>
              <w:t>17</w:t>
            </w:r>
            <w:r w:rsidR="00AD64B3">
              <w:rPr>
                <w:noProof/>
                <w:webHidden/>
              </w:rPr>
              <w:fldChar w:fldCharType="end"/>
            </w:r>
          </w:hyperlink>
        </w:p>
        <w:p w14:paraId="69E3DD44" w14:textId="3CDFF777" w:rsidR="00AD64B3" w:rsidRDefault="00705721">
          <w:pPr>
            <w:pStyle w:val="TOC2"/>
            <w:tabs>
              <w:tab w:val="left" w:pos="960"/>
              <w:tab w:val="right" w:leader="dot" w:pos="9016"/>
            </w:tabs>
            <w:rPr>
              <w:rFonts w:asciiTheme="minorHAnsi" w:eastAsiaTheme="minorEastAsia" w:hAnsiTheme="minorHAnsi" w:cstheme="minorBidi"/>
              <w:b w:val="0"/>
              <w:bCs w:val="0"/>
              <w:noProof/>
              <w:sz w:val="22"/>
              <w:lang w:val="en-US"/>
            </w:rPr>
          </w:pPr>
          <w:hyperlink w:anchor="_Toc132639997" w:history="1">
            <w:r w:rsidR="00AD64B3" w:rsidRPr="005E2D53">
              <w:rPr>
                <w:rStyle w:val="Hyperlink"/>
                <w:rFonts w:eastAsiaTheme="majorEastAsia"/>
                <w:noProof/>
              </w:rPr>
              <w:t>2.3</w:t>
            </w:r>
            <w:r w:rsidR="00AD64B3">
              <w:rPr>
                <w:rFonts w:asciiTheme="minorHAnsi" w:eastAsiaTheme="minorEastAsia" w:hAnsiTheme="minorHAnsi" w:cstheme="minorBidi"/>
                <w:b w:val="0"/>
                <w:bCs w:val="0"/>
                <w:noProof/>
                <w:sz w:val="22"/>
                <w:lang w:val="en-US"/>
              </w:rPr>
              <w:tab/>
            </w:r>
            <w:r w:rsidR="00AD64B3" w:rsidRPr="005E2D53">
              <w:rPr>
                <w:rStyle w:val="Hyperlink"/>
                <w:rFonts w:eastAsiaTheme="majorEastAsia"/>
                <w:noProof/>
              </w:rPr>
              <w:t>Electron cryo-microscopy</w:t>
            </w:r>
            <w:r w:rsidR="00AD64B3">
              <w:rPr>
                <w:noProof/>
                <w:webHidden/>
              </w:rPr>
              <w:tab/>
            </w:r>
            <w:r w:rsidR="00AD64B3">
              <w:rPr>
                <w:noProof/>
                <w:webHidden/>
              </w:rPr>
              <w:fldChar w:fldCharType="begin"/>
            </w:r>
            <w:r w:rsidR="00AD64B3">
              <w:rPr>
                <w:noProof/>
                <w:webHidden/>
              </w:rPr>
              <w:instrText xml:space="preserve"> PAGEREF _Toc132639997 \h </w:instrText>
            </w:r>
            <w:r w:rsidR="00AD64B3">
              <w:rPr>
                <w:noProof/>
                <w:webHidden/>
              </w:rPr>
            </w:r>
            <w:r w:rsidR="00AD64B3">
              <w:rPr>
                <w:noProof/>
                <w:webHidden/>
              </w:rPr>
              <w:fldChar w:fldCharType="separate"/>
            </w:r>
            <w:r w:rsidR="00ED1816">
              <w:rPr>
                <w:noProof/>
                <w:webHidden/>
              </w:rPr>
              <w:t>18</w:t>
            </w:r>
            <w:r w:rsidR="00AD64B3">
              <w:rPr>
                <w:noProof/>
                <w:webHidden/>
              </w:rPr>
              <w:fldChar w:fldCharType="end"/>
            </w:r>
          </w:hyperlink>
        </w:p>
        <w:p w14:paraId="65AC70FD" w14:textId="72011F18" w:rsidR="00AD64B3" w:rsidRDefault="00705721">
          <w:pPr>
            <w:pStyle w:val="TOC2"/>
            <w:tabs>
              <w:tab w:val="left" w:pos="960"/>
              <w:tab w:val="right" w:leader="dot" w:pos="9016"/>
            </w:tabs>
            <w:rPr>
              <w:rFonts w:asciiTheme="minorHAnsi" w:eastAsiaTheme="minorEastAsia" w:hAnsiTheme="minorHAnsi" w:cstheme="minorBidi"/>
              <w:b w:val="0"/>
              <w:bCs w:val="0"/>
              <w:noProof/>
              <w:sz w:val="22"/>
              <w:lang w:val="en-US"/>
            </w:rPr>
          </w:pPr>
          <w:hyperlink w:anchor="_Toc132639998" w:history="1">
            <w:r w:rsidR="00AD64B3" w:rsidRPr="005E2D53">
              <w:rPr>
                <w:rStyle w:val="Hyperlink"/>
                <w:rFonts w:eastAsiaTheme="majorEastAsia"/>
                <w:noProof/>
              </w:rPr>
              <w:t>2.4</w:t>
            </w:r>
            <w:r w:rsidR="00AD64B3">
              <w:rPr>
                <w:rFonts w:asciiTheme="minorHAnsi" w:eastAsiaTheme="minorEastAsia" w:hAnsiTheme="minorHAnsi" w:cstheme="minorBidi"/>
                <w:b w:val="0"/>
                <w:bCs w:val="0"/>
                <w:noProof/>
                <w:sz w:val="22"/>
                <w:lang w:val="en-US"/>
              </w:rPr>
              <w:tab/>
            </w:r>
            <w:r w:rsidR="00AD64B3" w:rsidRPr="005E2D53">
              <w:rPr>
                <w:rStyle w:val="Hyperlink"/>
                <w:rFonts w:eastAsiaTheme="majorEastAsia"/>
                <w:noProof/>
              </w:rPr>
              <w:t>Grid preparation and data collection</w:t>
            </w:r>
            <w:r w:rsidR="00AD64B3">
              <w:rPr>
                <w:noProof/>
                <w:webHidden/>
              </w:rPr>
              <w:tab/>
            </w:r>
            <w:r w:rsidR="00AD64B3">
              <w:rPr>
                <w:noProof/>
                <w:webHidden/>
              </w:rPr>
              <w:fldChar w:fldCharType="begin"/>
            </w:r>
            <w:r w:rsidR="00AD64B3">
              <w:rPr>
                <w:noProof/>
                <w:webHidden/>
              </w:rPr>
              <w:instrText xml:space="preserve"> PAGEREF _Toc132639998 \h </w:instrText>
            </w:r>
            <w:r w:rsidR="00AD64B3">
              <w:rPr>
                <w:noProof/>
                <w:webHidden/>
              </w:rPr>
            </w:r>
            <w:r w:rsidR="00AD64B3">
              <w:rPr>
                <w:noProof/>
                <w:webHidden/>
              </w:rPr>
              <w:fldChar w:fldCharType="separate"/>
            </w:r>
            <w:r w:rsidR="00ED1816">
              <w:rPr>
                <w:noProof/>
                <w:webHidden/>
              </w:rPr>
              <w:t>18</w:t>
            </w:r>
            <w:r w:rsidR="00AD64B3">
              <w:rPr>
                <w:noProof/>
                <w:webHidden/>
              </w:rPr>
              <w:fldChar w:fldCharType="end"/>
            </w:r>
          </w:hyperlink>
        </w:p>
        <w:p w14:paraId="23777A58" w14:textId="5F04790C" w:rsidR="00AD64B3" w:rsidRDefault="00705721">
          <w:pPr>
            <w:pStyle w:val="TOC3"/>
            <w:tabs>
              <w:tab w:val="left" w:pos="1200"/>
              <w:tab w:val="right" w:leader="dot" w:pos="9016"/>
            </w:tabs>
            <w:rPr>
              <w:rFonts w:asciiTheme="minorHAnsi" w:eastAsiaTheme="minorEastAsia" w:hAnsiTheme="minorHAnsi" w:cstheme="minorBidi"/>
              <w:b w:val="0"/>
              <w:noProof/>
              <w:sz w:val="22"/>
              <w:szCs w:val="22"/>
              <w:lang w:val="en-US"/>
            </w:rPr>
          </w:pPr>
          <w:hyperlink w:anchor="_Toc132639999" w:history="1">
            <w:r w:rsidR="00AD64B3" w:rsidRPr="005E2D53">
              <w:rPr>
                <w:rStyle w:val="Hyperlink"/>
                <w:rFonts w:eastAsiaTheme="majorEastAsia"/>
                <w:noProof/>
                <w14:scene3d>
                  <w14:camera w14:prst="orthographicFront"/>
                  <w14:lightRig w14:rig="threePt" w14:dir="t">
                    <w14:rot w14:lat="0" w14:lon="0" w14:rev="0"/>
                  </w14:lightRig>
                </w14:scene3d>
              </w:rPr>
              <w:t>2.4.1</w:t>
            </w:r>
            <w:r w:rsidR="00AD64B3">
              <w:rPr>
                <w:rFonts w:asciiTheme="minorHAnsi" w:eastAsiaTheme="minorEastAsia" w:hAnsiTheme="minorHAnsi" w:cstheme="minorBidi"/>
                <w:b w:val="0"/>
                <w:noProof/>
                <w:sz w:val="22"/>
                <w:szCs w:val="22"/>
                <w:lang w:val="en-US"/>
              </w:rPr>
              <w:tab/>
            </w:r>
            <w:r w:rsidR="00AD64B3" w:rsidRPr="005E2D53">
              <w:rPr>
                <w:rStyle w:val="Hyperlink"/>
                <w:rFonts w:eastAsiaTheme="majorEastAsia"/>
                <w:noProof/>
              </w:rPr>
              <w:t>Grid preparation for complex I</w:t>
            </w:r>
            <w:r w:rsidR="00AD64B3">
              <w:rPr>
                <w:noProof/>
                <w:webHidden/>
              </w:rPr>
              <w:tab/>
            </w:r>
            <w:r w:rsidR="00AD64B3">
              <w:rPr>
                <w:noProof/>
                <w:webHidden/>
              </w:rPr>
              <w:fldChar w:fldCharType="begin"/>
            </w:r>
            <w:r w:rsidR="00AD64B3">
              <w:rPr>
                <w:noProof/>
                <w:webHidden/>
              </w:rPr>
              <w:instrText xml:space="preserve"> PAGEREF _Toc132639999 \h </w:instrText>
            </w:r>
            <w:r w:rsidR="00AD64B3">
              <w:rPr>
                <w:noProof/>
                <w:webHidden/>
              </w:rPr>
            </w:r>
            <w:r w:rsidR="00AD64B3">
              <w:rPr>
                <w:noProof/>
                <w:webHidden/>
              </w:rPr>
              <w:fldChar w:fldCharType="separate"/>
            </w:r>
            <w:r w:rsidR="00ED1816">
              <w:rPr>
                <w:noProof/>
                <w:webHidden/>
              </w:rPr>
              <w:t>18</w:t>
            </w:r>
            <w:r w:rsidR="00AD64B3">
              <w:rPr>
                <w:noProof/>
                <w:webHidden/>
              </w:rPr>
              <w:fldChar w:fldCharType="end"/>
            </w:r>
          </w:hyperlink>
        </w:p>
        <w:p w14:paraId="399D530B" w14:textId="4EAB799E" w:rsidR="00AD64B3" w:rsidRDefault="00705721">
          <w:pPr>
            <w:pStyle w:val="TOC3"/>
            <w:tabs>
              <w:tab w:val="left" w:pos="1200"/>
              <w:tab w:val="right" w:leader="dot" w:pos="9016"/>
            </w:tabs>
            <w:rPr>
              <w:rFonts w:asciiTheme="minorHAnsi" w:eastAsiaTheme="minorEastAsia" w:hAnsiTheme="minorHAnsi" w:cstheme="minorBidi"/>
              <w:b w:val="0"/>
              <w:noProof/>
              <w:sz w:val="22"/>
              <w:szCs w:val="22"/>
              <w:lang w:val="en-US"/>
            </w:rPr>
          </w:pPr>
          <w:hyperlink w:anchor="_Toc132640000" w:history="1">
            <w:r w:rsidR="00AD64B3" w:rsidRPr="005E2D53">
              <w:rPr>
                <w:rStyle w:val="Hyperlink"/>
                <w:rFonts w:eastAsiaTheme="majorEastAsia"/>
                <w:noProof/>
                <w14:scene3d>
                  <w14:camera w14:prst="orthographicFront"/>
                  <w14:lightRig w14:rig="threePt" w14:dir="t">
                    <w14:rot w14:lat="0" w14:lon="0" w14:rev="0"/>
                  </w14:lightRig>
                </w14:scene3d>
              </w:rPr>
              <w:t>2.4.2</w:t>
            </w:r>
            <w:r w:rsidR="00AD64B3">
              <w:rPr>
                <w:rFonts w:asciiTheme="minorHAnsi" w:eastAsiaTheme="minorEastAsia" w:hAnsiTheme="minorHAnsi" w:cstheme="minorBidi"/>
                <w:b w:val="0"/>
                <w:noProof/>
                <w:sz w:val="22"/>
                <w:szCs w:val="22"/>
                <w:lang w:val="en-US"/>
              </w:rPr>
              <w:tab/>
            </w:r>
            <w:r w:rsidR="00AD64B3" w:rsidRPr="005E2D53">
              <w:rPr>
                <w:rStyle w:val="Hyperlink"/>
                <w:rFonts w:eastAsiaTheme="majorEastAsia"/>
                <w:noProof/>
              </w:rPr>
              <w:t>Grid preparation NDH</w:t>
            </w:r>
            <w:r w:rsidR="00AD64B3">
              <w:rPr>
                <w:noProof/>
                <w:webHidden/>
              </w:rPr>
              <w:tab/>
            </w:r>
            <w:r w:rsidR="00AD64B3">
              <w:rPr>
                <w:noProof/>
                <w:webHidden/>
              </w:rPr>
              <w:fldChar w:fldCharType="begin"/>
            </w:r>
            <w:r w:rsidR="00AD64B3">
              <w:rPr>
                <w:noProof/>
                <w:webHidden/>
              </w:rPr>
              <w:instrText xml:space="preserve"> PAGEREF _Toc132640000 \h </w:instrText>
            </w:r>
            <w:r w:rsidR="00AD64B3">
              <w:rPr>
                <w:noProof/>
                <w:webHidden/>
              </w:rPr>
            </w:r>
            <w:r w:rsidR="00AD64B3">
              <w:rPr>
                <w:noProof/>
                <w:webHidden/>
              </w:rPr>
              <w:fldChar w:fldCharType="separate"/>
            </w:r>
            <w:r w:rsidR="00ED1816">
              <w:rPr>
                <w:noProof/>
                <w:webHidden/>
              </w:rPr>
              <w:t>20</w:t>
            </w:r>
            <w:r w:rsidR="00AD64B3">
              <w:rPr>
                <w:noProof/>
                <w:webHidden/>
              </w:rPr>
              <w:fldChar w:fldCharType="end"/>
            </w:r>
          </w:hyperlink>
        </w:p>
        <w:p w14:paraId="63879500" w14:textId="0622AFEF" w:rsidR="00AD64B3" w:rsidRDefault="00705721">
          <w:pPr>
            <w:pStyle w:val="TOC3"/>
            <w:tabs>
              <w:tab w:val="left" w:pos="1200"/>
              <w:tab w:val="right" w:leader="dot" w:pos="9016"/>
            </w:tabs>
            <w:rPr>
              <w:rFonts w:asciiTheme="minorHAnsi" w:eastAsiaTheme="minorEastAsia" w:hAnsiTheme="minorHAnsi" w:cstheme="minorBidi"/>
              <w:b w:val="0"/>
              <w:noProof/>
              <w:sz w:val="22"/>
              <w:szCs w:val="22"/>
              <w:lang w:val="en-US"/>
            </w:rPr>
          </w:pPr>
          <w:hyperlink w:anchor="_Toc132640001" w:history="1">
            <w:r w:rsidR="00AD64B3" w:rsidRPr="005E2D53">
              <w:rPr>
                <w:rStyle w:val="Hyperlink"/>
                <w:rFonts w:eastAsiaTheme="majorEastAsia"/>
                <w:noProof/>
                <w14:scene3d>
                  <w14:camera w14:prst="orthographicFront"/>
                  <w14:lightRig w14:rig="threePt" w14:dir="t">
                    <w14:rot w14:lat="0" w14:lon="0" w14:rev="0"/>
                  </w14:lightRig>
                </w14:scene3d>
              </w:rPr>
              <w:t>2.4.3</w:t>
            </w:r>
            <w:r w:rsidR="00AD64B3">
              <w:rPr>
                <w:rFonts w:asciiTheme="minorHAnsi" w:eastAsiaTheme="minorEastAsia" w:hAnsiTheme="minorHAnsi" w:cstheme="minorBidi"/>
                <w:b w:val="0"/>
                <w:noProof/>
                <w:sz w:val="22"/>
                <w:szCs w:val="22"/>
                <w:lang w:val="en-US"/>
              </w:rPr>
              <w:tab/>
            </w:r>
            <w:r w:rsidR="00AD64B3" w:rsidRPr="005E2D53">
              <w:rPr>
                <w:rStyle w:val="Hyperlink"/>
                <w:rFonts w:eastAsiaTheme="majorEastAsia"/>
                <w:noProof/>
              </w:rPr>
              <w:t>Cryo-EM data collection</w:t>
            </w:r>
            <w:r w:rsidR="00AD64B3">
              <w:rPr>
                <w:noProof/>
                <w:webHidden/>
              </w:rPr>
              <w:tab/>
            </w:r>
            <w:r w:rsidR="00AD64B3">
              <w:rPr>
                <w:noProof/>
                <w:webHidden/>
              </w:rPr>
              <w:fldChar w:fldCharType="begin"/>
            </w:r>
            <w:r w:rsidR="00AD64B3">
              <w:rPr>
                <w:noProof/>
                <w:webHidden/>
              </w:rPr>
              <w:instrText xml:space="preserve"> PAGEREF _Toc132640001 \h </w:instrText>
            </w:r>
            <w:r w:rsidR="00AD64B3">
              <w:rPr>
                <w:noProof/>
                <w:webHidden/>
              </w:rPr>
            </w:r>
            <w:r w:rsidR="00AD64B3">
              <w:rPr>
                <w:noProof/>
                <w:webHidden/>
              </w:rPr>
              <w:fldChar w:fldCharType="separate"/>
            </w:r>
            <w:r w:rsidR="00ED1816">
              <w:rPr>
                <w:noProof/>
                <w:webHidden/>
              </w:rPr>
              <w:t>20</w:t>
            </w:r>
            <w:r w:rsidR="00AD64B3">
              <w:rPr>
                <w:noProof/>
                <w:webHidden/>
              </w:rPr>
              <w:fldChar w:fldCharType="end"/>
            </w:r>
          </w:hyperlink>
        </w:p>
        <w:p w14:paraId="636C1031" w14:textId="2B012AB1" w:rsidR="00AD64B3" w:rsidRDefault="00705721">
          <w:pPr>
            <w:pStyle w:val="TOC2"/>
            <w:tabs>
              <w:tab w:val="left" w:pos="960"/>
              <w:tab w:val="right" w:leader="dot" w:pos="9016"/>
            </w:tabs>
            <w:rPr>
              <w:rFonts w:asciiTheme="minorHAnsi" w:eastAsiaTheme="minorEastAsia" w:hAnsiTheme="minorHAnsi" w:cstheme="minorBidi"/>
              <w:b w:val="0"/>
              <w:bCs w:val="0"/>
              <w:noProof/>
              <w:sz w:val="22"/>
              <w:lang w:val="en-US"/>
            </w:rPr>
          </w:pPr>
          <w:hyperlink w:anchor="_Toc132640002" w:history="1">
            <w:r w:rsidR="00AD64B3" w:rsidRPr="005E2D53">
              <w:rPr>
                <w:rStyle w:val="Hyperlink"/>
                <w:rFonts w:eastAsiaTheme="majorEastAsia"/>
                <w:noProof/>
              </w:rPr>
              <w:t>2.5</w:t>
            </w:r>
            <w:r w:rsidR="00AD64B3">
              <w:rPr>
                <w:rFonts w:asciiTheme="minorHAnsi" w:eastAsiaTheme="minorEastAsia" w:hAnsiTheme="minorHAnsi" w:cstheme="minorBidi"/>
                <w:b w:val="0"/>
                <w:bCs w:val="0"/>
                <w:noProof/>
                <w:sz w:val="22"/>
                <w:lang w:val="en-US"/>
              </w:rPr>
              <w:tab/>
            </w:r>
            <w:r w:rsidR="00AD64B3" w:rsidRPr="005E2D53">
              <w:rPr>
                <w:rStyle w:val="Hyperlink"/>
                <w:rFonts w:eastAsiaTheme="majorEastAsia"/>
                <w:noProof/>
              </w:rPr>
              <w:t>Image processing: Complex I</w:t>
            </w:r>
            <w:r w:rsidR="00AD64B3">
              <w:rPr>
                <w:noProof/>
                <w:webHidden/>
              </w:rPr>
              <w:tab/>
            </w:r>
            <w:r w:rsidR="00AD64B3">
              <w:rPr>
                <w:noProof/>
                <w:webHidden/>
              </w:rPr>
              <w:fldChar w:fldCharType="begin"/>
            </w:r>
            <w:r w:rsidR="00AD64B3">
              <w:rPr>
                <w:noProof/>
                <w:webHidden/>
              </w:rPr>
              <w:instrText xml:space="preserve"> PAGEREF _Toc132640002 \h </w:instrText>
            </w:r>
            <w:r w:rsidR="00AD64B3">
              <w:rPr>
                <w:noProof/>
                <w:webHidden/>
              </w:rPr>
            </w:r>
            <w:r w:rsidR="00AD64B3">
              <w:rPr>
                <w:noProof/>
                <w:webHidden/>
              </w:rPr>
              <w:fldChar w:fldCharType="separate"/>
            </w:r>
            <w:r w:rsidR="00ED1816">
              <w:rPr>
                <w:noProof/>
                <w:webHidden/>
              </w:rPr>
              <w:t>21</w:t>
            </w:r>
            <w:r w:rsidR="00AD64B3">
              <w:rPr>
                <w:noProof/>
                <w:webHidden/>
              </w:rPr>
              <w:fldChar w:fldCharType="end"/>
            </w:r>
          </w:hyperlink>
        </w:p>
        <w:p w14:paraId="43B616EB" w14:textId="447B288C" w:rsidR="00AD64B3" w:rsidRDefault="00705721">
          <w:pPr>
            <w:pStyle w:val="TOC2"/>
            <w:tabs>
              <w:tab w:val="left" w:pos="960"/>
              <w:tab w:val="right" w:leader="dot" w:pos="9016"/>
            </w:tabs>
            <w:rPr>
              <w:rFonts w:asciiTheme="minorHAnsi" w:eastAsiaTheme="minorEastAsia" w:hAnsiTheme="minorHAnsi" w:cstheme="minorBidi"/>
              <w:b w:val="0"/>
              <w:bCs w:val="0"/>
              <w:noProof/>
              <w:sz w:val="22"/>
              <w:lang w:val="en-US"/>
            </w:rPr>
          </w:pPr>
          <w:hyperlink w:anchor="_Toc132640003" w:history="1">
            <w:r w:rsidR="00AD64B3" w:rsidRPr="005E2D53">
              <w:rPr>
                <w:rStyle w:val="Hyperlink"/>
                <w:rFonts w:eastAsiaTheme="majorEastAsia"/>
                <w:noProof/>
              </w:rPr>
              <w:t>2.6</w:t>
            </w:r>
            <w:r w:rsidR="00AD64B3">
              <w:rPr>
                <w:rFonts w:asciiTheme="minorHAnsi" w:eastAsiaTheme="minorEastAsia" w:hAnsiTheme="minorHAnsi" w:cstheme="minorBidi"/>
                <w:b w:val="0"/>
                <w:bCs w:val="0"/>
                <w:noProof/>
                <w:sz w:val="22"/>
                <w:lang w:val="en-US"/>
              </w:rPr>
              <w:tab/>
            </w:r>
            <w:r w:rsidR="00AD64B3" w:rsidRPr="005E2D53">
              <w:rPr>
                <w:rStyle w:val="Hyperlink"/>
                <w:rFonts w:eastAsiaTheme="majorEastAsia"/>
                <w:noProof/>
              </w:rPr>
              <w:t>Image processing: NDH</w:t>
            </w:r>
            <w:r w:rsidR="00AD64B3">
              <w:rPr>
                <w:noProof/>
                <w:webHidden/>
              </w:rPr>
              <w:tab/>
            </w:r>
            <w:r w:rsidR="00AD64B3">
              <w:rPr>
                <w:noProof/>
                <w:webHidden/>
              </w:rPr>
              <w:fldChar w:fldCharType="begin"/>
            </w:r>
            <w:r w:rsidR="00AD64B3">
              <w:rPr>
                <w:noProof/>
                <w:webHidden/>
              </w:rPr>
              <w:instrText xml:space="preserve"> PAGEREF _Toc132640003 \h </w:instrText>
            </w:r>
            <w:r w:rsidR="00AD64B3">
              <w:rPr>
                <w:noProof/>
                <w:webHidden/>
              </w:rPr>
            </w:r>
            <w:r w:rsidR="00AD64B3">
              <w:rPr>
                <w:noProof/>
                <w:webHidden/>
              </w:rPr>
              <w:fldChar w:fldCharType="separate"/>
            </w:r>
            <w:r w:rsidR="00ED1816">
              <w:rPr>
                <w:noProof/>
                <w:webHidden/>
              </w:rPr>
              <w:t>36</w:t>
            </w:r>
            <w:r w:rsidR="00AD64B3">
              <w:rPr>
                <w:noProof/>
                <w:webHidden/>
              </w:rPr>
              <w:fldChar w:fldCharType="end"/>
            </w:r>
          </w:hyperlink>
        </w:p>
        <w:p w14:paraId="3B9A1D86" w14:textId="03B9E100" w:rsidR="00AD64B3" w:rsidRDefault="00705721">
          <w:pPr>
            <w:pStyle w:val="TOC2"/>
            <w:tabs>
              <w:tab w:val="left" w:pos="960"/>
              <w:tab w:val="right" w:leader="dot" w:pos="9016"/>
            </w:tabs>
            <w:rPr>
              <w:rFonts w:asciiTheme="minorHAnsi" w:eastAsiaTheme="minorEastAsia" w:hAnsiTheme="minorHAnsi" w:cstheme="minorBidi"/>
              <w:b w:val="0"/>
              <w:bCs w:val="0"/>
              <w:noProof/>
              <w:sz w:val="22"/>
              <w:lang w:val="en-US"/>
            </w:rPr>
          </w:pPr>
          <w:hyperlink w:anchor="_Toc132640004" w:history="1">
            <w:r w:rsidR="00AD64B3" w:rsidRPr="005E2D53">
              <w:rPr>
                <w:rStyle w:val="Hyperlink"/>
                <w:rFonts w:eastAsiaTheme="majorEastAsia"/>
                <w:noProof/>
              </w:rPr>
              <w:t>2.7</w:t>
            </w:r>
            <w:r w:rsidR="00AD64B3">
              <w:rPr>
                <w:rFonts w:asciiTheme="minorHAnsi" w:eastAsiaTheme="minorEastAsia" w:hAnsiTheme="minorHAnsi" w:cstheme="minorBidi"/>
                <w:b w:val="0"/>
                <w:bCs w:val="0"/>
                <w:noProof/>
                <w:sz w:val="22"/>
                <w:lang w:val="en-US"/>
              </w:rPr>
              <w:tab/>
            </w:r>
            <w:r w:rsidR="00AD64B3" w:rsidRPr="005E2D53">
              <w:rPr>
                <w:rStyle w:val="Hyperlink"/>
                <w:rFonts w:eastAsiaTheme="majorEastAsia"/>
                <w:noProof/>
              </w:rPr>
              <w:t>Atomic model building and refinement</w:t>
            </w:r>
            <w:r w:rsidR="00AD64B3">
              <w:rPr>
                <w:noProof/>
                <w:webHidden/>
              </w:rPr>
              <w:tab/>
            </w:r>
            <w:r w:rsidR="00AD64B3">
              <w:rPr>
                <w:noProof/>
                <w:webHidden/>
              </w:rPr>
              <w:fldChar w:fldCharType="begin"/>
            </w:r>
            <w:r w:rsidR="00AD64B3">
              <w:rPr>
                <w:noProof/>
                <w:webHidden/>
              </w:rPr>
              <w:instrText xml:space="preserve"> PAGEREF _Toc132640004 \h </w:instrText>
            </w:r>
            <w:r w:rsidR="00AD64B3">
              <w:rPr>
                <w:noProof/>
                <w:webHidden/>
              </w:rPr>
            </w:r>
            <w:r w:rsidR="00AD64B3">
              <w:rPr>
                <w:noProof/>
                <w:webHidden/>
              </w:rPr>
              <w:fldChar w:fldCharType="separate"/>
            </w:r>
            <w:r w:rsidR="00ED1816">
              <w:rPr>
                <w:noProof/>
                <w:webHidden/>
              </w:rPr>
              <w:t>37</w:t>
            </w:r>
            <w:r w:rsidR="00AD64B3">
              <w:rPr>
                <w:noProof/>
                <w:webHidden/>
              </w:rPr>
              <w:fldChar w:fldCharType="end"/>
            </w:r>
          </w:hyperlink>
        </w:p>
        <w:p w14:paraId="226B6397" w14:textId="559F698C" w:rsidR="00AD64B3" w:rsidRDefault="00705721">
          <w:pPr>
            <w:pStyle w:val="TOC3"/>
            <w:tabs>
              <w:tab w:val="left" w:pos="1200"/>
              <w:tab w:val="right" w:leader="dot" w:pos="9016"/>
            </w:tabs>
            <w:rPr>
              <w:rFonts w:asciiTheme="minorHAnsi" w:eastAsiaTheme="minorEastAsia" w:hAnsiTheme="minorHAnsi" w:cstheme="minorBidi"/>
              <w:b w:val="0"/>
              <w:noProof/>
              <w:sz w:val="22"/>
              <w:szCs w:val="22"/>
              <w:lang w:val="en-US"/>
            </w:rPr>
          </w:pPr>
          <w:hyperlink w:anchor="_Toc132640005" w:history="1">
            <w:r w:rsidR="00AD64B3" w:rsidRPr="005E2D53">
              <w:rPr>
                <w:rStyle w:val="Hyperlink"/>
                <w:rFonts w:eastAsiaTheme="majorEastAsia"/>
                <w:noProof/>
                <w14:scene3d>
                  <w14:camera w14:prst="orthographicFront"/>
                  <w14:lightRig w14:rig="threePt" w14:dir="t">
                    <w14:rot w14:lat="0" w14:lon="0" w14:rev="0"/>
                  </w14:lightRig>
                </w14:scene3d>
              </w:rPr>
              <w:t>2.7.1</w:t>
            </w:r>
            <w:r w:rsidR="00AD64B3">
              <w:rPr>
                <w:rFonts w:asciiTheme="minorHAnsi" w:eastAsiaTheme="minorEastAsia" w:hAnsiTheme="minorHAnsi" w:cstheme="minorBidi"/>
                <w:b w:val="0"/>
                <w:noProof/>
                <w:sz w:val="22"/>
                <w:szCs w:val="22"/>
                <w:lang w:val="en-US"/>
              </w:rPr>
              <w:tab/>
            </w:r>
            <w:r w:rsidR="00AD64B3" w:rsidRPr="005E2D53">
              <w:rPr>
                <w:rStyle w:val="Hyperlink"/>
                <w:rFonts w:eastAsiaTheme="majorEastAsia"/>
                <w:noProof/>
              </w:rPr>
              <w:t>Complex I model building</w:t>
            </w:r>
            <w:r w:rsidR="00AD64B3">
              <w:rPr>
                <w:noProof/>
                <w:webHidden/>
              </w:rPr>
              <w:tab/>
            </w:r>
            <w:r w:rsidR="00AD64B3">
              <w:rPr>
                <w:noProof/>
                <w:webHidden/>
              </w:rPr>
              <w:fldChar w:fldCharType="begin"/>
            </w:r>
            <w:r w:rsidR="00AD64B3">
              <w:rPr>
                <w:noProof/>
                <w:webHidden/>
              </w:rPr>
              <w:instrText xml:space="preserve"> PAGEREF _Toc132640005 \h </w:instrText>
            </w:r>
            <w:r w:rsidR="00AD64B3">
              <w:rPr>
                <w:noProof/>
                <w:webHidden/>
              </w:rPr>
            </w:r>
            <w:r w:rsidR="00AD64B3">
              <w:rPr>
                <w:noProof/>
                <w:webHidden/>
              </w:rPr>
              <w:fldChar w:fldCharType="separate"/>
            </w:r>
            <w:r w:rsidR="00ED1816">
              <w:rPr>
                <w:noProof/>
                <w:webHidden/>
              </w:rPr>
              <w:t>37</w:t>
            </w:r>
            <w:r w:rsidR="00AD64B3">
              <w:rPr>
                <w:noProof/>
                <w:webHidden/>
              </w:rPr>
              <w:fldChar w:fldCharType="end"/>
            </w:r>
          </w:hyperlink>
        </w:p>
        <w:p w14:paraId="0CD85D64" w14:textId="3EBD4C82" w:rsidR="00AD64B3" w:rsidRDefault="00705721">
          <w:pPr>
            <w:pStyle w:val="TOC3"/>
            <w:tabs>
              <w:tab w:val="left" w:pos="1200"/>
              <w:tab w:val="right" w:leader="dot" w:pos="9016"/>
            </w:tabs>
            <w:rPr>
              <w:rFonts w:asciiTheme="minorHAnsi" w:eastAsiaTheme="minorEastAsia" w:hAnsiTheme="minorHAnsi" w:cstheme="minorBidi"/>
              <w:b w:val="0"/>
              <w:noProof/>
              <w:sz w:val="22"/>
              <w:szCs w:val="22"/>
              <w:lang w:val="en-US"/>
            </w:rPr>
          </w:pPr>
          <w:hyperlink w:anchor="_Toc132640006" w:history="1">
            <w:r w:rsidR="00AD64B3" w:rsidRPr="005E2D53">
              <w:rPr>
                <w:rStyle w:val="Hyperlink"/>
                <w:rFonts w:eastAsiaTheme="majorEastAsia"/>
                <w:noProof/>
                <w14:scene3d>
                  <w14:camera w14:prst="orthographicFront"/>
                  <w14:lightRig w14:rig="threePt" w14:dir="t">
                    <w14:rot w14:lat="0" w14:lon="0" w14:rev="0"/>
                  </w14:lightRig>
                </w14:scene3d>
              </w:rPr>
              <w:t>2.7.2</w:t>
            </w:r>
            <w:r w:rsidR="00AD64B3">
              <w:rPr>
                <w:rFonts w:asciiTheme="minorHAnsi" w:eastAsiaTheme="minorEastAsia" w:hAnsiTheme="minorHAnsi" w:cstheme="minorBidi"/>
                <w:b w:val="0"/>
                <w:noProof/>
                <w:sz w:val="22"/>
                <w:szCs w:val="22"/>
                <w:lang w:val="en-US"/>
              </w:rPr>
              <w:tab/>
            </w:r>
            <w:r w:rsidR="00AD64B3" w:rsidRPr="005E2D53">
              <w:rPr>
                <w:rStyle w:val="Hyperlink"/>
                <w:rFonts w:eastAsiaTheme="majorEastAsia"/>
                <w:noProof/>
              </w:rPr>
              <w:t>NDH model building</w:t>
            </w:r>
            <w:r w:rsidR="00AD64B3">
              <w:rPr>
                <w:noProof/>
                <w:webHidden/>
              </w:rPr>
              <w:tab/>
            </w:r>
            <w:r w:rsidR="00AD64B3">
              <w:rPr>
                <w:noProof/>
                <w:webHidden/>
              </w:rPr>
              <w:fldChar w:fldCharType="begin"/>
            </w:r>
            <w:r w:rsidR="00AD64B3">
              <w:rPr>
                <w:noProof/>
                <w:webHidden/>
              </w:rPr>
              <w:instrText xml:space="preserve"> PAGEREF _Toc132640006 \h </w:instrText>
            </w:r>
            <w:r w:rsidR="00AD64B3">
              <w:rPr>
                <w:noProof/>
                <w:webHidden/>
              </w:rPr>
            </w:r>
            <w:r w:rsidR="00AD64B3">
              <w:rPr>
                <w:noProof/>
                <w:webHidden/>
              </w:rPr>
              <w:fldChar w:fldCharType="separate"/>
            </w:r>
            <w:r w:rsidR="00ED1816">
              <w:rPr>
                <w:noProof/>
                <w:webHidden/>
              </w:rPr>
              <w:t>38</w:t>
            </w:r>
            <w:r w:rsidR="00AD64B3">
              <w:rPr>
                <w:noProof/>
                <w:webHidden/>
              </w:rPr>
              <w:fldChar w:fldCharType="end"/>
            </w:r>
          </w:hyperlink>
        </w:p>
        <w:p w14:paraId="63838E62" w14:textId="7A56E8C6" w:rsidR="00AD64B3" w:rsidRDefault="00705721">
          <w:pPr>
            <w:pStyle w:val="TOC2"/>
            <w:tabs>
              <w:tab w:val="left" w:pos="960"/>
              <w:tab w:val="right" w:leader="dot" w:pos="9016"/>
            </w:tabs>
            <w:rPr>
              <w:rFonts w:asciiTheme="minorHAnsi" w:eastAsiaTheme="minorEastAsia" w:hAnsiTheme="minorHAnsi" w:cstheme="minorBidi"/>
              <w:b w:val="0"/>
              <w:bCs w:val="0"/>
              <w:noProof/>
              <w:sz w:val="22"/>
              <w:lang w:val="en-US"/>
            </w:rPr>
          </w:pPr>
          <w:hyperlink w:anchor="_Toc132640007" w:history="1">
            <w:r w:rsidR="00AD64B3" w:rsidRPr="005E2D53">
              <w:rPr>
                <w:rStyle w:val="Hyperlink"/>
                <w:rFonts w:eastAsiaTheme="majorEastAsia"/>
                <w:noProof/>
              </w:rPr>
              <w:t>2.8</w:t>
            </w:r>
            <w:r w:rsidR="00AD64B3">
              <w:rPr>
                <w:rFonts w:asciiTheme="minorHAnsi" w:eastAsiaTheme="minorEastAsia" w:hAnsiTheme="minorHAnsi" w:cstheme="minorBidi"/>
                <w:b w:val="0"/>
                <w:bCs w:val="0"/>
                <w:noProof/>
                <w:sz w:val="22"/>
                <w:lang w:val="en-US"/>
              </w:rPr>
              <w:tab/>
            </w:r>
            <w:r w:rsidR="00AD64B3" w:rsidRPr="005E2D53">
              <w:rPr>
                <w:rStyle w:val="Hyperlink"/>
                <w:rFonts w:eastAsiaTheme="majorEastAsia"/>
                <w:noProof/>
              </w:rPr>
              <w:t>Model analysis and figure preparation</w:t>
            </w:r>
            <w:r w:rsidR="00AD64B3">
              <w:rPr>
                <w:noProof/>
                <w:webHidden/>
              </w:rPr>
              <w:tab/>
            </w:r>
            <w:r w:rsidR="00AD64B3">
              <w:rPr>
                <w:noProof/>
                <w:webHidden/>
              </w:rPr>
              <w:fldChar w:fldCharType="begin"/>
            </w:r>
            <w:r w:rsidR="00AD64B3">
              <w:rPr>
                <w:noProof/>
                <w:webHidden/>
              </w:rPr>
              <w:instrText xml:space="preserve"> PAGEREF _Toc132640007 \h </w:instrText>
            </w:r>
            <w:r w:rsidR="00AD64B3">
              <w:rPr>
                <w:noProof/>
                <w:webHidden/>
              </w:rPr>
            </w:r>
            <w:r w:rsidR="00AD64B3">
              <w:rPr>
                <w:noProof/>
                <w:webHidden/>
              </w:rPr>
              <w:fldChar w:fldCharType="separate"/>
            </w:r>
            <w:r w:rsidR="00ED1816">
              <w:rPr>
                <w:noProof/>
                <w:webHidden/>
              </w:rPr>
              <w:t>38</w:t>
            </w:r>
            <w:r w:rsidR="00AD64B3">
              <w:rPr>
                <w:noProof/>
                <w:webHidden/>
              </w:rPr>
              <w:fldChar w:fldCharType="end"/>
            </w:r>
          </w:hyperlink>
        </w:p>
        <w:p w14:paraId="48FA2343" w14:textId="2030FBFF" w:rsidR="00AD64B3" w:rsidRDefault="00705721">
          <w:pPr>
            <w:pStyle w:val="TOC1"/>
            <w:tabs>
              <w:tab w:val="left" w:pos="480"/>
              <w:tab w:val="right" w:leader="dot" w:pos="9016"/>
            </w:tabs>
            <w:rPr>
              <w:rFonts w:asciiTheme="minorHAnsi" w:eastAsiaTheme="minorEastAsia" w:hAnsiTheme="minorHAnsi" w:cstheme="minorBidi"/>
              <w:b w:val="0"/>
              <w:bCs w:val="0"/>
              <w:iCs w:val="0"/>
              <w:noProof/>
              <w:sz w:val="22"/>
              <w:szCs w:val="22"/>
              <w:lang w:val="en-US"/>
            </w:rPr>
          </w:pPr>
          <w:hyperlink w:anchor="_Toc132640008" w:history="1">
            <w:r w:rsidR="00AD64B3" w:rsidRPr="005E2D53">
              <w:rPr>
                <w:rStyle w:val="Hyperlink"/>
                <w:rFonts w:eastAsiaTheme="majorEastAsia"/>
                <w:noProof/>
              </w:rPr>
              <w:t>3</w:t>
            </w:r>
            <w:r w:rsidR="00AD64B3">
              <w:rPr>
                <w:rFonts w:asciiTheme="minorHAnsi" w:eastAsiaTheme="minorEastAsia" w:hAnsiTheme="minorHAnsi" w:cstheme="minorBidi"/>
                <w:b w:val="0"/>
                <w:bCs w:val="0"/>
                <w:iCs w:val="0"/>
                <w:noProof/>
                <w:sz w:val="22"/>
                <w:szCs w:val="22"/>
                <w:lang w:val="en-US"/>
              </w:rPr>
              <w:tab/>
            </w:r>
            <w:r w:rsidR="00AD64B3" w:rsidRPr="005E2D53">
              <w:rPr>
                <w:rStyle w:val="Hyperlink"/>
                <w:rFonts w:eastAsiaTheme="majorEastAsia"/>
                <w:noProof/>
              </w:rPr>
              <w:t>E. coli complex I – structure and mechanism</w:t>
            </w:r>
            <w:r w:rsidR="00AD64B3">
              <w:rPr>
                <w:noProof/>
                <w:webHidden/>
              </w:rPr>
              <w:tab/>
            </w:r>
            <w:r w:rsidR="00AD64B3">
              <w:rPr>
                <w:noProof/>
                <w:webHidden/>
              </w:rPr>
              <w:fldChar w:fldCharType="begin"/>
            </w:r>
            <w:r w:rsidR="00AD64B3">
              <w:rPr>
                <w:noProof/>
                <w:webHidden/>
              </w:rPr>
              <w:instrText xml:space="preserve"> PAGEREF _Toc132640008 \h </w:instrText>
            </w:r>
            <w:r w:rsidR="00AD64B3">
              <w:rPr>
                <w:noProof/>
                <w:webHidden/>
              </w:rPr>
            </w:r>
            <w:r w:rsidR="00AD64B3">
              <w:rPr>
                <w:noProof/>
                <w:webHidden/>
              </w:rPr>
              <w:fldChar w:fldCharType="separate"/>
            </w:r>
            <w:r w:rsidR="00ED1816">
              <w:rPr>
                <w:noProof/>
                <w:webHidden/>
              </w:rPr>
              <w:t>39</w:t>
            </w:r>
            <w:r w:rsidR="00AD64B3">
              <w:rPr>
                <w:noProof/>
                <w:webHidden/>
              </w:rPr>
              <w:fldChar w:fldCharType="end"/>
            </w:r>
          </w:hyperlink>
        </w:p>
        <w:p w14:paraId="3F279D21" w14:textId="40D3B66A" w:rsidR="00AD64B3" w:rsidRDefault="00705721">
          <w:pPr>
            <w:pStyle w:val="TOC2"/>
            <w:tabs>
              <w:tab w:val="left" w:pos="960"/>
              <w:tab w:val="right" w:leader="dot" w:pos="9016"/>
            </w:tabs>
            <w:rPr>
              <w:rFonts w:asciiTheme="minorHAnsi" w:eastAsiaTheme="minorEastAsia" w:hAnsiTheme="minorHAnsi" w:cstheme="minorBidi"/>
              <w:b w:val="0"/>
              <w:bCs w:val="0"/>
              <w:noProof/>
              <w:sz w:val="22"/>
              <w:lang w:val="en-US"/>
            </w:rPr>
          </w:pPr>
          <w:hyperlink w:anchor="_Toc132640009" w:history="1">
            <w:r w:rsidR="00AD64B3" w:rsidRPr="005E2D53">
              <w:rPr>
                <w:rStyle w:val="Hyperlink"/>
                <w:rFonts w:eastAsiaTheme="majorEastAsia"/>
                <w:noProof/>
              </w:rPr>
              <w:t>3.1</w:t>
            </w:r>
            <w:r w:rsidR="00AD64B3">
              <w:rPr>
                <w:rFonts w:asciiTheme="minorHAnsi" w:eastAsiaTheme="minorEastAsia" w:hAnsiTheme="minorHAnsi" w:cstheme="minorBidi"/>
                <w:b w:val="0"/>
                <w:bCs w:val="0"/>
                <w:noProof/>
                <w:sz w:val="22"/>
                <w:lang w:val="en-US"/>
              </w:rPr>
              <w:tab/>
            </w:r>
            <w:r w:rsidR="00AD64B3" w:rsidRPr="005E2D53">
              <w:rPr>
                <w:rStyle w:val="Hyperlink"/>
                <w:rFonts w:eastAsiaTheme="majorEastAsia"/>
                <w:noProof/>
              </w:rPr>
              <w:t>Catalytic activity and sample preparation challenges</w:t>
            </w:r>
            <w:r w:rsidR="00AD64B3">
              <w:rPr>
                <w:noProof/>
                <w:webHidden/>
              </w:rPr>
              <w:tab/>
            </w:r>
            <w:r w:rsidR="00AD64B3">
              <w:rPr>
                <w:noProof/>
                <w:webHidden/>
              </w:rPr>
              <w:fldChar w:fldCharType="begin"/>
            </w:r>
            <w:r w:rsidR="00AD64B3">
              <w:rPr>
                <w:noProof/>
                <w:webHidden/>
              </w:rPr>
              <w:instrText xml:space="preserve"> PAGEREF _Toc132640009 \h </w:instrText>
            </w:r>
            <w:r w:rsidR="00AD64B3">
              <w:rPr>
                <w:noProof/>
                <w:webHidden/>
              </w:rPr>
            </w:r>
            <w:r w:rsidR="00AD64B3">
              <w:rPr>
                <w:noProof/>
                <w:webHidden/>
              </w:rPr>
              <w:fldChar w:fldCharType="separate"/>
            </w:r>
            <w:r w:rsidR="00ED1816">
              <w:rPr>
                <w:noProof/>
                <w:webHidden/>
              </w:rPr>
              <w:t>39</w:t>
            </w:r>
            <w:r w:rsidR="00AD64B3">
              <w:rPr>
                <w:noProof/>
                <w:webHidden/>
              </w:rPr>
              <w:fldChar w:fldCharType="end"/>
            </w:r>
          </w:hyperlink>
        </w:p>
        <w:p w14:paraId="6DC3C205" w14:textId="3438AEF5" w:rsidR="00AD64B3" w:rsidRDefault="00705721">
          <w:pPr>
            <w:pStyle w:val="TOC2"/>
            <w:tabs>
              <w:tab w:val="left" w:pos="960"/>
              <w:tab w:val="right" w:leader="dot" w:pos="9016"/>
            </w:tabs>
            <w:rPr>
              <w:rFonts w:asciiTheme="minorHAnsi" w:eastAsiaTheme="minorEastAsia" w:hAnsiTheme="minorHAnsi" w:cstheme="minorBidi"/>
              <w:b w:val="0"/>
              <w:bCs w:val="0"/>
              <w:noProof/>
              <w:sz w:val="22"/>
              <w:lang w:val="en-US"/>
            </w:rPr>
          </w:pPr>
          <w:hyperlink w:anchor="_Toc132640010" w:history="1">
            <w:r w:rsidR="00AD64B3" w:rsidRPr="005E2D53">
              <w:rPr>
                <w:rStyle w:val="Hyperlink"/>
                <w:rFonts w:eastAsiaTheme="majorEastAsia"/>
                <w:noProof/>
              </w:rPr>
              <w:t>3.2</w:t>
            </w:r>
            <w:r w:rsidR="00AD64B3">
              <w:rPr>
                <w:rFonts w:asciiTheme="minorHAnsi" w:eastAsiaTheme="minorEastAsia" w:hAnsiTheme="minorHAnsi" w:cstheme="minorBidi"/>
                <w:b w:val="0"/>
                <w:bCs w:val="0"/>
                <w:noProof/>
                <w:sz w:val="22"/>
                <w:lang w:val="en-US"/>
              </w:rPr>
              <w:tab/>
            </w:r>
            <w:r w:rsidR="00AD64B3" w:rsidRPr="005E2D53">
              <w:rPr>
                <w:rStyle w:val="Hyperlink"/>
                <w:rFonts w:eastAsiaTheme="majorEastAsia"/>
                <w:noProof/>
              </w:rPr>
              <w:t>Overall structure and specific features of the minimal complex I version</w:t>
            </w:r>
            <w:r w:rsidR="00AD64B3">
              <w:rPr>
                <w:noProof/>
                <w:webHidden/>
              </w:rPr>
              <w:tab/>
            </w:r>
            <w:r w:rsidR="00AD64B3">
              <w:rPr>
                <w:noProof/>
                <w:webHidden/>
              </w:rPr>
              <w:fldChar w:fldCharType="begin"/>
            </w:r>
            <w:r w:rsidR="00AD64B3">
              <w:rPr>
                <w:noProof/>
                <w:webHidden/>
              </w:rPr>
              <w:instrText xml:space="preserve"> PAGEREF _Toc132640010 \h </w:instrText>
            </w:r>
            <w:r w:rsidR="00AD64B3">
              <w:rPr>
                <w:noProof/>
                <w:webHidden/>
              </w:rPr>
            </w:r>
            <w:r w:rsidR="00AD64B3">
              <w:rPr>
                <w:noProof/>
                <w:webHidden/>
              </w:rPr>
              <w:fldChar w:fldCharType="separate"/>
            </w:r>
            <w:r w:rsidR="00ED1816">
              <w:rPr>
                <w:noProof/>
                <w:webHidden/>
              </w:rPr>
              <w:t>40</w:t>
            </w:r>
            <w:r w:rsidR="00AD64B3">
              <w:rPr>
                <w:noProof/>
                <w:webHidden/>
              </w:rPr>
              <w:fldChar w:fldCharType="end"/>
            </w:r>
          </w:hyperlink>
        </w:p>
        <w:p w14:paraId="09F71B27" w14:textId="7F04467D" w:rsidR="00AD64B3" w:rsidRDefault="00705721">
          <w:pPr>
            <w:pStyle w:val="TOC3"/>
            <w:tabs>
              <w:tab w:val="left" w:pos="1200"/>
              <w:tab w:val="right" w:leader="dot" w:pos="9016"/>
            </w:tabs>
            <w:rPr>
              <w:rFonts w:asciiTheme="minorHAnsi" w:eastAsiaTheme="minorEastAsia" w:hAnsiTheme="minorHAnsi" w:cstheme="minorBidi"/>
              <w:b w:val="0"/>
              <w:noProof/>
              <w:sz w:val="22"/>
              <w:szCs w:val="22"/>
              <w:lang w:val="en-US"/>
            </w:rPr>
          </w:pPr>
          <w:hyperlink w:anchor="_Toc132640011" w:history="1">
            <w:r w:rsidR="00AD64B3" w:rsidRPr="005E2D53">
              <w:rPr>
                <w:rStyle w:val="Hyperlink"/>
                <w:rFonts w:eastAsiaTheme="majorEastAsia"/>
                <w:noProof/>
                <w14:scene3d>
                  <w14:camera w14:prst="orthographicFront"/>
                  <w14:lightRig w14:rig="threePt" w14:dir="t">
                    <w14:rot w14:lat="0" w14:lon="0" w14:rev="0"/>
                  </w14:lightRig>
                </w14:scene3d>
              </w:rPr>
              <w:t>3.2.1</w:t>
            </w:r>
            <w:r w:rsidR="00AD64B3">
              <w:rPr>
                <w:rFonts w:asciiTheme="minorHAnsi" w:eastAsiaTheme="minorEastAsia" w:hAnsiTheme="minorHAnsi" w:cstheme="minorBidi"/>
                <w:b w:val="0"/>
                <w:noProof/>
                <w:sz w:val="22"/>
                <w:szCs w:val="22"/>
                <w:lang w:val="en-US"/>
              </w:rPr>
              <w:tab/>
            </w:r>
            <w:r w:rsidR="00AD64B3" w:rsidRPr="005E2D53">
              <w:rPr>
                <w:rStyle w:val="Hyperlink"/>
                <w:rFonts w:eastAsiaTheme="majorEastAsia"/>
                <w:noProof/>
              </w:rPr>
              <w:t>Peripheral arm peculiarities</w:t>
            </w:r>
            <w:r w:rsidR="00AD64B3">
              <w:rPr>
                <w:noProof/>
                <w:webHidden/>
              </w:rPr>
              <w:tab/>
            </w:r>
            <w:r w:rsidR="00AD64B3">
              <w:rPr>
                <w:noProof/>
                <w:webHidden/>
              </w:rPr>
              <w:fldChar w:fldCharType="begin"/>
            </w:r>
            <w:r w:rsidR="00AD64B3">
              <w:rPr>
                <w:noProof/>
                <w:webHidden/>
              </w:rPr>
              <w:instrText xml:space="preserve"> PAGEREF _Toc132640011 \h </w:instrText>
            </w:r>
            <w:r w:rsidR="00AD64B3">
              <w:rPr>
                <w:noProof/>
                <w:webHidden/>
              </w:rPr>
            </w:r>
            <w:r w:rsidR="00AD64B3">
              <w:rPr>
                <w:noProof/>
                <w:webHidden/>
              </w:rPr>
              <w:fldChar w:fldCharType="separate"/>
            </w:r>
            <w:r w:rsidR="00ED1816">
              <w:rPr>
                <w:noProof/>
                <w:webHidden/>
              </w:rPr>
              <w:t>40</w:t>
            </w:r>
            <w:r w:rsidR="00AD64B3">
              <w:rPr>
                <w:noProof/>
                <w:webHidden/>
              </w:rPr>
              <w:fldChar w:fldCharType="end"/>
            </w:r>
          </w:hyperlink>
        </w:p>
        <w:p w14:paraId="67D958D8" w14:textId="44A1DE5F" w:rsidR="00AD64B3" w:rsidRDefault="00705721">
          <w:pPr>
            <w:pStyle w:val="TOC3"/>
            <w:tabs>
              <w:tab w:val="left" w:pos="1200"/>
              <w:tab w:val="right" w:leader="dot" w:pos="9016"/>
            </w:tabs>
            <w:rPr>
              <w:rFonts w:asciiTheme="minorHAnsi" w:eastAsiaTheme="minorEastAsia" w:hAnsiTheme="minorHAnsi" w:cstheme="minorBidi"/>
              <w:b w:val="0"/>
              <w:noProof/>
              <w:sz w:val="22"/>
              <w:szCs w:val="22"/>
              <w:lang w:val="en-US"/>
            </w:rPr>
          </w:pPr>
          <w:hyperlink w:anchor="_Toc132640012" w:history="1">
            <w:r w:rsidR="00AD64B3" w:rsidRPr="005E2D53">
              <w:rPr>
                <w:rStyle w:val="Hyperlink"/>
                <w:rFonts w:eastAsiaTheme="majorEastAsia"/>
                <w:noProof/>
                <w14:scene3d>
                  <w14:camera w14:prst="orthographicFront"/>
                  <w14:lightRig w14:rig="threePt" w14:dir="t">
                    <w14:rot w14:lat="0" w14:lon="0" w14:rev="0"/>
                  </w14:lightRig>
                </w14:scene3d>
              </w:rPr>
              <w:t>3.2.2</w:t>
            </w:r>
            <w:r w:rsidR="00AD64B3">
              <w:rPr>
                <w:rFonts w:asciiTheme="minorHAnsi" w:eastAsiaTheme="minorEastAsia" w:hAnsiTheme="minorHAnsi" w:cstheme="minorBidi"/>
                <w:b w:val="0"/>
                <w:noProof/>
                <w:sz w:val="22"/>
                <w:szCs w:val="22"/>
                <w:lang w:val="en-US"/>
              </w:rPr>
              <w:tab/>
            </w:r>
            <w:r w:rsidR="00AD64B3" w:rsidRPr="005E2D53">
              <w:rPr>
                <w:rStyle w:val="Hyperlink"/>
                <w:rFonts w:eastAsiaTheme="majorEastAsia"/>
                <w:noProof/>
              </w:rPr>
              <w:t>Unusual redox potential of N1a FeS cluster</w:t>
            </w:r>
            <w:r w:rsidR="00AD64B3">
              <w:rPr>
                <w:noProof/>
                <w:webHidden/>
              </w:rPr>
              <w:tab/>
            </w:r>
            <w:r w:rsidR="00AD64B3">
              <w:rPr>
                <w:noProof/>
                <w:webHidden/>
              </w:rPr>
              <w:fldChar w:fldCharType="begin"/>
            </w:r>
            <w:r w:rsidR="00AD64B3">
              <w:rPr>
                <w:noProof/>
                <w:webHidden/>
              </w:rPr>
              <w:instrText xml:space="preserve"> PAGEREF _Toc132640012 \h </w:instrText>
            </w:r>
            <w:r w:rsidR="00AD64B3">
              <w:rPr>
                <w:noProof/>
                <w:webHidden/>
              </w:rPr>
            </w:r>
            <w:r w:rsidR="00AD64B3">
              <w:rPr>
                <w:noProof/>
                <w:webHidden/>
              </w:rPr>
              <w:fldChar w:fldCharType="separate"/>
            </w:r>
            <w:r w:rsidR="00ED1816">
              <w:rPr>
                <w:noProof/>
                <w:webHidden/>
              </w:rPr>
              <w:t>42</w:t>
            </w:r>
            <w:r w:rsidR="00AD64B3">
              <w:rPr>
                <w:noProof/>
                <w:webHidden/>
              </w:rPr>
              <w:fldChar w:fldCharType="end"/>
            </w:r>
          </w:hyperlink>
        </w:p>
        <w:p w14:paraId="183240B8" w14:textId="00942A77" w:rsidR="00AD64B3" w:rsidRDefault="00705721">
          <w:pPr>
            <w:pStyle w:val="TOC2"/>
            <w:tabs>
              <w:tab w:val="left" w:pos="960"/>
              <w:tab w:val="right" w:leader="dot" w:pos="9016"/>
            </w:tabs>
            <w:rPr>
              <w:rFonts w:asciiTheme="minorHAnsi" w:eastAsiaTheme="minorEastAsia" w:hAnsiTheme="minorHAnsi" w:cstheme="minorBidi"/>
              <w:b w:val="0"/>
              <w:bCs w:val="0"/>
              <w:noProof/>
              <w:sz w:val="22"/>
              <w:lang w:val="en-US"/>
            </w:rPr>
          </w:pPr>
          <w:hyperlink w:anchor="_Toc132640013" w:history="1">
            <w:r w:rsidR="00AD64B3" w:rsidRPr="005E2D53">
              <w:rPr>
                <w:rStyle w:val="Hyperlink"/>
                <w:rFonts w:eastAsiaTheme="majorEastAsia"/>
                <w:noProof/>
              </w:rPr>
              <w:t>3.3</w:t>
            </w:r>
            <w:r w:rsidR="00AD64B3">
              <w:rPr>
                <w:rFonts w:asciiTheme="minorHAnsi" w:eastAsiaTheme="minorEastAsia" w:hAnsiTheme="minorHAnsi" w:cstheme="minorBidi"/>
                <w:b w:val="0"/>
                <w:bCs w:val="0"/>
                <w:noProof/>
                <w:sz w:val="22"/>
                <w:lang w:val="en-US"/>
              </w:rPr>
              <w:tab/>
            </w:r>
            <w:r w:rsidR="00AD64B3" w:rsidRPr="005E2D53">
              <w:rPr>
                <w:rStyle w:val="Hyperlink"/>
                <w:rFonts w:eastAsiaTheme="majorEastAsia"/>
                <w:noProof/>
              </w:rPr>
              <w:t>Conformational dynamics of complex I</w:t>
            </w:r>
            <w:r w:rsidR="00AD64B3">
              <w:rPr>
                <w:noProof/>
                <w:webHidden/>
              </w:rPr>
              <w:tab/>
            </w:r>
            <w:r w:rsidR="00AD64B3">
              <w:rPr>
                <w:noProof/>
                <w:webHidden/>
              </w:rPr>
              <w:fldChar w:fldCharType="begin"/>
            </w:r>
            <w:r w:rsidR="00AD64B3">
              <w:rPr>
                <w:noProof/>
                <w:webHidden/>
              </w:rPr>
              <w:instrText xml:space="preserve"> PAGEREF _Toc132640013 \h </w:instrText>
            </w:r>
            <w:r w:rsidR="00AD64B3">
              <w:rPr>
                <w:noProof/>
                <w:webHidden/>
              </w:rPr>
            </w:r>
            <w:r w:rsidR="00AD64B3">
              <w:rPr>
                <w:noProof/>
                <w:webHidden/>
              </w:rPr>
              <w:fldChar w:fldCharType="separate"/>
            </w:r>
            <w:r w:rsidR="00ED1816">
              <w:rPr>
                <w:noProof/>
                <w:webHidden/>
              </w:rPr>
              <w:t>45</w:t>
            </w:r>
            <w:r w:rsidR="00AD64B3">
              <w:rPr>
                <w:noProof/>
                <w:webHidden/>
              </w:rPr>
              <w:fldChar w:fldCharType="end"/>
            </w:r>
          </w:hyperlink>
        </w:p>
        <w:p w14:paraId="5AE99C0C" w14:textId="297BC24D" w:rsidR="00AD64B3" w:rsidRDefault="00705721">
          <w:pPr>
            <w:pStyle w:val="TOC3"/>
            <w:tabs>
              <w:tab w:val="left" w:pos="1200"/>
              <w:tab w:val="right" w:leader="dot" w:pos="9016"/>
            </w:tabs>
            <w:rPr>
              <w:rFonts w:asciiTheme="minorHAnsi" w:eastAsiaTheme="minorEastAsia" w:hAnsiTheme="minorHAnsi" w:cstheme="minorBidi"/>
              <w:b w:val="0"/>
              <w:noProof/>
              <w:sz w:val="22"/>
              <w:szCs w:val="22"/>
              <w:lang w:val="en-US"/>
            </w:rPr>
          </w:pPr>
          <w:hyperlink w:anchor="_Toc132640014" w:history="1">
            <w:r w:rsidR="00AD64B3" w:rsidRPr="005E2D53">
              <w:rPr>
                <w:rStyle w:val="Hyperlink"/>
                <w:rFonts w:eastAsiaTheme="majorEastAsia"/>
                <w:noProof/>
                <w14:scene3d>
                  <w14:camera w14:prst="orthographicFront"/>
                  <w14:lightRig w14:rig="threePt" w14:dir="t">
                    <w14:rot w14:lat="0" w14:lon="0" w14:rev="0"/>
                  </w14:lightRig>
                </w14:scene3d>
              </w:rPr>
              <w:t>3.3.1</w:t>
            </w:r>
            <w:r w:rsidR="00AD64B3">
              <w:rPr>
                <w:rFonts w:asciiTheme="minorHAnsi" w:eastAsiaTheme="minorEastAsia" w:hAnsiTheme="minorHAnsi" w:cstheme="minorBidi"/>
                <w:b w:val="0"/>
                <w:noProof/>
                <w:sz w:val="22"/>
                <w:szCs w:val="22"/>
                <w:lang w:val="en-US"/>
              </w:rPr>
              <w:tab/>
            </w:r>
            <w:r w:rsidR="00AD64B3" w:rsidRPr="005E2D53">
              <w:rPr>
                <w:rStyle w:val="Hyperlink"/>
                <w:rFonts w:eastAsiaTheme="majorEastAsia"/>
                <w:noProof/>
              </w:rPr>
              <w:t xml:space="preserve">Three conformations of the </w:t>
            </w:r>
            <w:r w:rsidR="00AD64B3" w:rsidRPr="005E2D53">
              <w:rPr>
                <w:rStyle w:val="Hyperlink"/>
                <w:rFonts w:eastAsiaTheme="majorEastAsia"/>
                <w:i/>
                <w:noProof/>
              </w:rPr>
              <w:t>E.coli</w:t>
            </w:r>
            <w:r w:rsidR="00AD64B3" w:rsidRPr="005E2D53">
              <w:rPr>
                <w:rStyle w:val="Hyperlink"/>
                <w:rFonts w:eastAsiaTheme="majorEastAsia"/>
                <w:noProof/>
              </w:rPr>
              <w:t xml:space="preserve"> complex I</w:t>
            </w:r>
            <w:r w:rsidR="00AD64B3">
              <w:rPr>
                <w:noProof/>
                <w:webHidden/>
              </w:rPr>
              <w:tab/>
            </w:r>
            <w:r w:rsidR="00AD64B3">
              <w:rPr>
                <w:noProof/>
                <w:webHidden/>
              </w:rPr>
              <w:fldChar w:fldCharType="begin"/>
            </w:r>
            <w:r w:rsidR="00AD64B3">
              <w:rPr>
                <w:noProof/>
                <w:webHidden/>
              </w:rPr>
              <w:instrText xml:space="preserve"> PAGEREF _Toc132640014 \h </w:instrText>
            </w:r>
            <w:r w:rsidR="00AD64B3">
              <w:rPr>
                <w:noProof/>
                <w:webHidden/>
              </w:rPr>
            </w:r>
            <w:r w:rsidR="00AD64B3">
              <w:rPr>
                <w:noProof/>
                <w:webHidden/>
              </w:rPr>
              <w:fldChar w:fldCharType="separate"/>
            </w:r>
            <w:r w:rsidR="00ED1816">
              <w:rPr>
                <w:noProof/>
                <w:webHidden/>
              </w:rPr>
              <w:t>45</w:t>
            </w:r>
            <w:r w:rsidR="00AD64B3">
              <w:rPr>
                <w:noProof/>
                <w:webHidden/>
              </w:rPr>
              <w:fldChar w:fldCharType="end"/>
            </w:r>
          </w:hyperlink>
        </w:p>
        <w:p w14:paraId="4F1463F5" w14:textId="3E0E5E08" w:rsidR="00AD64B3" w:rsidRDefault="00705721">
          <w:pPr>
            <w:pStyle w:val="TOC3"/>
            <w:tabs>
              <w:tab w:val="left" w:pos="1200"/>
              <w:tab w:val="right" w:leader="dot" w:pos="9016"/>
            </w:tabs>
            <w:rPr>
              <w:rFonts w:asciiTheme="minorHAnsi" w:eastAsiaTheme="minorEastAsia" w:hAnsiTheme="minorHAnsi" w:cstheme="minorBidi"/>
              <w:b w:val="0"/>
              <w:noProof/>
              <w:sz w:val="22"/>
              <w:szCs w:val="22"/>
              <w:lang w:val="en-US"/>
            </w:rPr>
          </w:pPr>
          <w:hyperlink w:anchor="_Toc132640015" w:history="1">
            <w:r w:rsidR="00AD64B3" w:rsidRPr="005E2D53">
              <w:rPr>
                <w:rStyle w:val="Hyperlink"/>
                <w:rFonts w:eastAsiaTheme="majorEastAsia"/>
                <w:noProof/>
                <w14:scene3d>
                  <w14:camera w14:prst="orthographicFront"/>
                  <w14:lightRig w14:rig="threePt" w14:dir="t">
                    <w14:rot w14:lat="0" w14:lon="0" w14:rev="0"/>
                  </w14:lightRig>
                </w14:scene3d>
              </w:rPr>
              <w:t>3.3.2</w:t>
            </w:r>
            <w:r w:rsidR="00AD64B3">
              <w:rPr>
                <w:rFonts w:asciiTheme="minorHAnsi" w:eastAsiaTheme="minorEastAsia" w:hAnsiTheme="minorHAnsi" w:cstheme="minorBidi"/>
                <w:b w:val="0"/>
                <w:noProof/>
                <w:sz w:val="22"/>
                <w:szCs w:val="22"/>
                <w:lang w:val="en-US"/>
              </w:rPr>
              <w:tab/>
            </w:r>
            <w:r w:rsidR="00AD64B3" w:rsidRPr="005E2D53">
              <w:rPr>
                <w:rStyle w:val="Hyperlink"/>
                <w:rFonts w:eastAsiaTheme="majorEastAsia"/>
                <w:noProof/>
              </w:rPr>
              <w:t>Quinone binding cavity</w:t>
            </w:r>
            <w:r w:rsidR="00AD64B3">
              <w:rPr>
                <w:noProof/>
                <w:webHidden/>
              </w:rPr>
              <w:tab/>
            </w:r>
            <w:r w:rsidR="00AD64B3">
              <w:rPr>
                <w:noProof/>
                <w:webHidden/>
              </w:rPr>
              <w:fldChar w:fldCharType="begin"/>
            </w:r>
            <w:r w:rsidR="00AD64B3">
              <w:rPr>
                <w:noProof/>
                <w:webHidden/>
              </w:rPr>
              <w:instrText xml:space="preserve"> PAGEREF _Toc132640015 \h </w:instrText>
            </w:r>
            <w:r w:rsidR="00AD64B3">
              <w:rPr>
                <w:noProof/>
                <w:webHidden/>
              </w:rPr>
            </w:r>
            <w:r w:rsidR="00AD64B3">
              <w:rPr>
                <w:noProof/>
                <w:webHidden/>
              </w:rPr>
              <w:fldChar w:fldCharType="separate"/>
            </w:r>
            <w:r w:rsidR="00ED1816">
              <w:rPr>
                <w:noProof/>
                <w:webHidden/>
              </w:rPr>
              <w:t>48</w:t>
            </w:r>
            <w:r w:rsidR="00AD64B3">
              <w:rPr>
                <w:noProof/>
                <w:webHidden/>
              </w:rPr>
              <w:fldChar w:fldCharType="end"/>
            </w:r>
          </w:hyperlink>
        </w:p>
        <w:p w14:paraId="5C4B818C" w14:textId="7A4F6B5A" w:rsidR="00AD64B3" w:rsidRDefault="00705721">
          <w:pPr>
            <w:pStyle w:val="TOC2"/>
            <w:tabs>
              <w:tab w:val="left" w:pos="960"/>
              <w:tab w:val="right" w:leader="dot" w:pos="9016"/>
            </w:tabs>
            <w:rPr>
              <w:rFonts w:asciiTheme="minorHAnsi" w:eastAsiaTheme="minorEastAsia" w:hAnsiTheme="minorHAnsi" w:cstheme="minorBidi"/>
              <w:b w:val="0"/>
              <w:bCs w:val="0"/>
              <w:noProof/>
              <w:sz w:val="22"/>
              <w:lang w:val="en-US"/>
            </w:rPr>
          </w:pPr>
          <w:hyperlink w:anchor="_Toc132640016" w:history="1">
            <w:r w:rsidR="00AD64B3" w:rsidRPr="005E2D53">
              <w:rPr>
                <w:rStyle w:val="Hyperlink"/>
                <w:rFonts w:eastAsiaTheme="majorEastAsia"/>
                <w:noProof/>
              </w:rPr>
              <w:t>3.4</w:t>
            </w:r>
            <w:r w:rsidR="00AD64B3">
              <w:rPr>
                <w:rFonts w:asciiTheme="minorHAnsi" w:eastAsiaTheme="minorEastAsia" w:hAnsiTheme="minorHAnsi" w:cstheme="minorBidi"/>
                <w:b w:val="0"/>
                <w:bCs w:val="0"/>
                <w:noProof/>
                <w:sz w:val="22"/>
                <w:lang w:val="en-US"/>
              </w:rPr>
              <w:tab/>
            </w:r>
            <w:r w:rsidR="00AD64B3" w:rsidRPr="005E2D53">
              <w:rPr>
                <w:rStyle w:val="Hyperlink"/>
                <w:rFonts w:eastAsiaTheme="majorEastAsia"/>
                <w:noProof/>
              </w:rPr>
              <w:t>Proton translocation pathways</w:t>
            </w:r>
            <w:r w:rsidR="00AD64B3">
              <w:rPr>
                <w:noProof/>
                <w:webHidden/>
              </w:rPr>
              <w:tab/>
            </w:r>
            <w:r w:rsidR="00AD64B3">
              <w:rPr>
                <w:noProof/>
                <w:webHidden/>
              </w:rPr>
              <w:fldChar w:fldCharType="begin"/>
            </w:r>
            <w:r w:rsidR="00AD64B3">
              <w:rPr>
                <w:noProof/>
                <w:webHidden/>
              </w:rPr>
              <w:instrText xml:space="preserve"> PAGEREF _Toc132640016 \h </w:instrText>
            </w:r>
            <w:r w:rsidR="00AD64B3">
              <w:rPr>
                <w:noProof/>
                <w:webHidden/>
              </w:rPr>
            </w:r>
            <w:r w:rsidR="00AD64B3">
              <w:rPr>
                <w:noProof/>
                <w:webHidden/>
              </w:rPr>
              <w:fldChar w:fldCharType="separate"/>
            </w:r>
            <w:r w:rsidR="00ED1816">
              <w:rPr>
                <w:noProof/>
                <w:webHidden/>
              </w:rPr>
              <w:t>51</w:t>
            </w:r>
            <w:r w:rsidR="00AD64B3">
              <w:rPr>
                <w:noProof/>
                <w:webHidden/>
              </w:rPr>
              <w:fldChar w:fldCharType="end"/>
            </w:r>
          </w:hyperlink>
        </w:p>
        <w:p w14:paraId="57B5C601" w14:textId="5ED2F7DB" w:rsidR="00AD64B3" w:rsidRDefault="00705721">
          <w:pPr>
            <w:pStyle w:val="TOC2"/>
            <w:tabs>
              <w:tab w:val="left" w:pos="960"/>
              <w:tab w:val="right" w:leader="dot" w:pos="9016"/>
            </w:tabs>
            <w:rPr>
              <w:rFonts w:asciiTheme="minorHAnsi" w:eastAsiaTheme="minorEastAsia" w:hAnsiTheme="minorHAnsi" w:cstheme="minorBidi"/>
              <w:b w:val="0"/>
              <w:bCs w:val="0"/>
              <w:noProof/>
              <w:sz w:val="22"/>
              <w:lang w:val="en-US"/>
            </w:rPr>
          </w:pPr>
          <w:hyperlink w:anchor="_Toc132640017" w:history="1">
            <w:r w:rsidR="00AD64B3" w:rsidRPr="005E2D53">
              <w:rPr>
                <w:rStyle w:val="Hyperlink"/>
                <w:rFonts w:eastAsiaTheme="majorEastAsia"/>
                <w:noProof/>
              </w:rPr>
              <w:t>3.5</w:t>
            </w:r>
            <w:r w:rsidR="00AD64B3">
              <w:rPr>
                <w:rFonts w:asciiTheme="minorHAnsi" w:eastAsiaTheme="minorEastAsia" w:hAnsiTheme="minorHAnsi" w:cstheme="minorBidi"/>
                <w:b w:val="0"/>
                <w:bCs w:val="0"/>
                <w:noProof/>
                <w:sz w:val="22"/>
                <w:lang w:val="en-US"/>
              </w:rPr>
              <w:tab/>
            </w:r>
            <w:r w:rsidR="00AD64B3" w:rsidRPr="005E2D53">
              <w:rPr>
                <w:rStyle w:val="Hyperlink"/>
                <w:rFonts w:eastAsiaTheme="majorEastAsia"/>
                <w:noProof/>
              </w:rPr>
              <w:t>Open-to-closed state transition</w:t>
            </w:r>
            <w:r w:rsidR="00AD64B3">
              <w:rPr>
                <w:noProof/>
                <w:webHidden/>
              </w:rPr>
              <w:tab/>
            </w:r>
            <w:r w:rsidR="00AD64B3">
              <w:rPr>
                <w:noProof/>
                <w:webHidden/>
              </w:rPr>
              <w:fldChar w:fldCharType="begin"/>
            </w:r>
            <w:r w:rsidR="00AD64B3">
              <w:rPr>
                <w:noProof/>
                <w:webHidden/>
              </w:rPr>
              <w:instrText xml:space="preserve"> PAGEREF _Toc132640017 \h </w:instrText>
            </w:r>
            <w:r w:rsidR="00AD64B3">
              <w:rPr>
                <w:noProof/>
                <w:webHidden/>
              </w:rPr>
            </w:r>
            <w:r w:rsidR="00AD64B3">
              <w:rPr>
                <w:noProof/>
                <w:webHidden/>
              </w:rPr>
              <w:fldChar w:fldCharType="separate"/>
            </w:r>
            <w:r w:rsidR="00ED1816">
              <w:rPr>
                <w:noProof/>
                <w:webHidden/>
              </w:rPr>
              <w:t>55</w:t>
            </w:r>
            <w:r w:rsidR="00AD64B3">
              <w:rPr>
                <w:noProof/>
                <w:webHidden/>
              </w:rPr>
              <w:fldChar w:fldCharType="end"/>
            </w:r>
          </w:hyperlink>
        </w:p>
        <w:p w14:paraId="7379EEA6" w14:textId="4144AF82" w:rsidR="00AD64B3" w:rsidRDefault="00705721">
          <w:pPr>
            <w:pStyle w:val="TOC2"/>
            <w:tabs>
              <w:tab w:val="left" w:pos="960"/>
              <w:tab w:val="right" w:leader="dot" w:pos="9016"/>
            </w:tabs>
            <w:rPr>
              <w:rFonts w:asciiTheme="minorHAnsi" w:eastAsiaTheme="minorEastAsia" w:hAnsiTheme="minorHAnsi" w:cstheme="minorBidi"/>
              <w:b w:val="0"/>
              <w:bCs w:val="0"/>
              <w:noProof/>
              <w:sz w:val="22"/>
              <w:lang w:val="en-US"/>
            </w:rPr>
          </w:pPr>
          <w:hyperlink w:anchor="_Toc132640018" w:history="1">
            <w:r w:rsidR="00AD64B3" w:rsidRPr="005E2D53">
              <w:rPr>
                <w:rStyle w:val="Hyperlink"/>
                <w:rFonts w:eastAsiaTheme="majorEastAsia"/>
                <w:noProof/>
              </w:rPr>
              <w:t>3.6</w:t>
            </w:r>
            <w:r w:rsidR="00AD64B3">
              <w:rPr>
                <w:rFonts w:asciiTheme="minorHAnsi" w:eastAsiaTheme="minorEastAsia" w:hAnsiTheme="minorHAnsi" w:cstheme="minorBidi"/>
                <w:b w:val="0"/>
                <w:bCs w:val="0"/>
                <w:noProof/>
                <w:sz w:val="22"/>
                <w:lang w:val="en-US"/>
              </w:rPr>
              <w:tab/>
            </w:r>
            <w:r w:rsidR="00AD64B3" w:rsidRPr="005E2D53">
              <w:rPr>
                <w:rStyle w:val="Hyperlink"/>
                <w:rFonts w:eastAsiaTheme="majorEastAsia"/>
                <w:noProof/>
              </w:rPr>
              <w:t>A universal coupling mechanism</w:t>
            </w:r>
            <w:r w:rsidR="00AD64B3">
              <w:rPr>
                <w:noProof/>
                <w:webHidden/>
              </w:rPr>
              <w:tab/>
            </w:r>
            <w:r w:rsidR="00AD64B3">
              <w:rPr>
                <w:noProof/>
                <w:webHidden/>
              </w:rPr>
              <w:fldChar w:fldCharType="begin"/>
            </w:r>
            <w:r w:rsidR="00AD64B3">
              <w:rPr>
                <w:noProof/>
                <w:webHidden/>
              </w:rPr>
              <w:instrText xml:space="preserve"> PAGEREF _Toc132640018 \h </w:instrText>
            </w:r>
            <w:r w:rsidR="00AD64B3">
              <w:rPr>
                <w:noProof/>
                <w:webHidden/>
              </w:rPr>
            </w:r>
            <w:r w:rsidR="00AD64B3">
              <w:rPr>
                <w:noProof/>
                <w:webHidden/>
              </w:rPr>
              <w:fldChar w:fldCharType="separate"/>
            </w:r>
            <w:r w:rsidR="00ED1816">
              <w:rPr>
                <w:noProof/>
                <w:webHidden/>
              </w:rPr>
              <w:t>56</w:t>
            </w:r>
            <w:r w:rsidR="00AD64B3">
              <w:rPr>
                <w:noProof/>
                <w:webHidden/>
              </w:rPr>
              <w:fldChar w:fldCharType="end"/>
            </w:r>
          </w:hyperlink>
        </w:p>
        <w:p w14:paraId="27C551CA" w14:textId="47C90322" w:rsidR="00AD64B3" w:rsidRDefault="00705721">
          <w:pPr>
            <w:pStyle w:val="TOC3"/>
            <w:tabs>
              <w:tab w:val="left" w:pos="1200"/>
              <w:tab w:val="right" w:leader="dot" w:pos="9016"/>
            </w:tabs>
            <w:rPr>
              <w:rFonts w:asciiTheme="minorHAnsi" w:eastAsiaTheme="minorEastAsia" w:hAnsiTheme="minorHAnsi" w:cstheme="minorBidi"/>
              <w:b w:val="0"/>
              <w:noProof/>
              <w:sz w:val="22"/>
              <w:szCs w:val="22"/>
              <w:lang w:val="en-US"/>
            </w:rPr>
          </w:pPr>
          <w:hyperlink w:anchor="_Toc132640019" w:history="1">
            <w:r w:rsidR="00AD64B3" w:rsidRPr="005E2D53">
              <w:rPr>
                <w:rStyle w:val="Hyperlink"/>
                <w:rFonts w:eastAsiaTheme="majorEastAsia"/>
                <w:noProof/>
                <w14:scene3d>
                  <w14:camera w14:prst="orthographicFront"/>
                  <w14:lightRig w14:rig="threePt" w14:dir="t">
                    <w14:rot w14:lat="0" w14:lon="0" w14:rev="0"/>
                  </w14:lightRig>
                </w14:scene3d>
              </w:rPr>
              <w:t>3.6.1</w:t>
            </w:r>
            <w:r w:rsidR="00AD64B3">
              <w:rPr>
                <w:rFonts w:asciiTheme="minorHAnsi" w:eastAsiaTheme="minorEastAsia" w:hAnsiTheme="minorHAnsi" w:cstheme="minorBidi"/>
                <w:b w:val="0"/>
                <w:noProof/>
                <w:sz w:val="22"/>
                <w:szCs w:val="22"/>
                <w:lang w:val="en-US"/>
              </w:rPr>
              <w:tab/>
            </w:r>
            <w:r w:rsidR="00AD64B3" w:rsidRPr="005E2D53">
              <w:rPr>
                <w:rStyle w:val="Hyperlink"/>
                <w:rFonts w:eastAsiaTheme="majorEastAsia"/>
                <w:noProof/>
              </w:rPr>
              <w:t>Discussion of the mechanism and alternative proposals</w:t>
            </w:r>
            <w:r w:rsidR="00AD64B3">
              <w:rPr>
                <w:noProof/>
                <w:webHidden/>
              </w:rPr>
              <w:tab/>
            </w:r>
            <w:r w:rsidR="00AD64B3">
              <w:rPr>
                <w:noProof/>
                <w:webHidden/>
              </w:rPr>
              <w:fldChar w:fldCharType="begin"/>
            </w:r>
            <w:r w:rsidR="00AD64B3">
              <w:rPr>
                <w:noProof/>
                <w:webHidden/>
              </w:rPr>
              <w:instrText xml:space="preserve"> PAGEREF _Toc132640019 \h </w:instrText>
            </w:r>
            <w:r w:rsidR="00AD64B3">
              <w:rPr>
                <w:noProof/>
                <w:webHidden/>
              </w:rPr>
            </w:r>
            <w:r w:rsidR="00AD64B3">
              <w:rPr>
                <w:noProof/>
                <w:webHidden/>
              </w:rPr>
              <w:fldChar w:fldCharType="separate"/>
            </w:r>
            <w:r w:rsidR="00ED1816">
              <w:rPr>
                <w:noProof/>
                <w:webHidden/>
              </w:rPr>
              <w:t>61</w:t>
            </w:r>
            <w:r w:rsidR="00AD64B3">
              <w:rPr>
                <w:noProof/>
                <w:webHidden/>
              </w:rPr>
              <w:fldChar w:fldCharType="end"/>
            </w:r>
          </w:hyperlink>
        </w:p>
        <w:p w14:paraId="57DF730B" w14:textId="1A05B732" w:rsidR="00AD64B3" w:rsidRDefault="00705721">
          <w:pPr>
            <w:pStyle w:val="TOC2"/>
            <w:tabs>
              <w:tab w:val="left" w:pos="960"/>
              <w:tab w:val="right" w:leader="dot" w:pos="9016"/>
            </w:tabs>
            <w:rPr>
              <w:rFonts w:asciiTheme="minorHAnsi" w:eastAsiaTheme="minorEastAsia" w:hAnsiTheme="minorHAnsi" w:cstheme="minorBidi"/>
              <w:b w:val="0"/>
              <w:bCs w:val="0"/>
              <w:noProof/>
              <w:sz w:val="22"/>
              <w:lang w:val="en-US"/>
            </w:rPr>
          </w:pPr>
          <w:hyperlink w:anchor="_Toc132640020" w:history="1">
            <w:r w:rsidR="00AD64B3" w:rsidRPr="005E2D53">
              <w:rPr>
                <w:rStyle w:val="Hyperlink"/>
                <w:rFonts w:eastAsiaTheme="majorEastAsia"/>
                <w:noProof/>
              </w:rPr>
              <w:t>3.7</w:t>
            </w:r>
            <w:r w:rsidR="00AD64B3">
              <w:rPr>
                <w:rFonts w:asciiTheme="minorHAnsi" w:eastAsiaTheme="minorEastAsia" w:hAnsiTheme="minorHAnsi" w:cstheme="minorBidi"/>
                <w:b w:val="0"/>
                <w:bCs w:val="0"/>
                <w:noProof/>
                <w:sz w:val="22"/>
                <w:lang w:val="en-US"/>
              </w:rPr>
              <w:tab/>
            </w:r>
            <w:r w:rsidR="00AD64B3" w:rsidRPr="005E2D53">
              <w:rPr>
                <w:rStyle w:val="Hyperlink"/>
                <w:rFonts w:eastAsiaTheme="majorEastAsia"/>
                <w:noProof/>
              </w:rPr>
              <w:t>Conclusions</w:t>
            </w:r>
            <w:r w:rsidR="00AD64B3">
              <w:rPr>
                <w:noProof/>
                <w:webHidden/>
              </w:rPr>
              <w:tab/>
            </w:r>
            <w:r w:rsidR="00AD64B3">
              <w:rPr>
                <w:noProof/>
                <w:webHidden/>
              </w:rPr>
              <w:fldChar w:fldCharType="begin"/>
            </w:r>
            <w:r w:rsidR="00AD64B3">
              <w:rPr>
                <w:noProof/>
                <w:webHidden/>
              </w:rPr>
              <w:instrText xml:space="preserve"> PAGEREF _Toc132640020 \h </w:instrText>
            </w:r>
            <w:r w:rsidR="00AD64B3">
              <w:rPr>
                <w:noProof/>
                <w:webHidden/>
              </w:rPr>
            </w:r>
            <w:r w:rsidR="00AD64B3">
              <w:rPr>
                <w:noProof/>
                <w:webHidden/>
              </w:rPr>
              <w:fldChar w:fldCharType="separate"/>
            </w:r>
            <w:r w:rsidR="00ED1816">
              <w:rPr>
                <w:noProof/>
                <w:webHidden/>
              </w:rPr>
              <w:t>63</w:t>
            </w:r>
            <w:r w:rsidR="00AD64B3">
              <w:rPr>
                <w:noProof/>
                <w:webHidden/>
              </w:rPr>
              <w:fldChar w:fldCharType="end"/>
            </w:r>
          </w:hyperlink>
        </w:p>
        <w:p w14:paraId="324D63D5" w14:textId="230AC237" w:rsidR="00AD64B3" w:rsidRDefault="00705721">
          <w:pPr>
            <w:pStyle w:val="TOC1"/>
            <w:tabs>
              <w:tab w:val="left" w:pos="480"/>
              <w:tab w:val="right" w:leader="dot" w:pos="9016"/>
            </w:tabs>
            <w:rPr>
              <w:rFonts w:asciiTheme="minorHAnsi" w:eastAsiaTheme="minorEastAsia" w:hAnsiTheme="minorHAnsi" w:cstheme="minorBidi"/>
              <w:b w:val="0"/>
              <w:bCs w:val="0"/>
              <w:iCs w:val="0"/>
              <w:noProof/>
              <w:sz w:val="22"/>
              <w:szCs w:val="22"/>
              <w:lang w:val="en-US"/>
            </w:rPr>
          </w:pPr>
          <w:hyperlink w:anchor="_Toc132640021" w:history="1">
            <w:r w:rsidR="00AD64B3" w:rsidRPr="005E2D53">
              <w:rPr>
                <w:rStyle w:val="Hyperlink"/>
                <w:rFonts w:eastAsiaTheme="majorEastAsia"/>
                <w:noProof/>
              </w:rPr>
              <w:t>4</w:t>
            </w:r>
            <w:r w:rsidR="00AD64B3">
              <w:rPr>
                <w:rFonts w:asciiTheme="minorHAnsi" w:eastAsiaTheme="minorEastAsia" w:hAnsiTheme="minorHAnsi" w:cstheme="minorBidi"/>
                <w:b w:val="0"/>
                <w:bCs w:val="0"/>
                <w:iCs w:val="0"/>
                <w:noProof/>
                <w:sz w:val="22"/>
                <w:szCs w:val="22"/>
                <w:lang w:val="en-US"/>
              </w:rPr>
              <w:tab/>
            </w:r>
            <w:r w:rsidR="00AD64B3" w:rsidRPr="005E2D53">
              <w:rPr>
                <w:rStyle w:val="Hyperlink"/>
                <w:rFonts w:eastAsiaTheme="majorEastAsia"/>
                <w:noProof/>
              </w:rPr>
              <w:t>NDH – structure and conformational dynamics</w:t>
            </w:r>
            <w:r w:rsidR="00AD64B3">
              <w:rPr>
                <w:noProof/>
                <w:webHidden/>
              </w:rPr>
              <w:tab/>
            </w:r>
            <w:r w:rsidR="00AD64B3">
              <w:rPr>
                <w:noProof/>
                <w:webHidden/>
              </w:rPr>
              <w:fldChar w:fldCharType="begin"/>
            </w:r>
            <w:r w:rsidR="00AD64B3">
              <w:rPr>
                <w:noProof/>
                <w:webHidden/>
              </w:rPr>
              <w:instrText xml:space="preserve"> PAGEREF _Toc132640021 \h </w:instrText>
            </w:r>
            <w:r w:rsidR="00AD64B3">
              <w:rPr>
                <w:noProof/>
                <w:webHidden/>
              </w:rPr>
            </w:r>
            <w:r w:rsidR="00AD64B3">
              <w:rPr>
                <w:noProof/>
                <w:webHidden/>
              </w:rPr>
              <w:fldChar w:fldCharType="separate"/>
            </w:r>
            <w:r w:rsidR="00ED1816">
              <w:rPr>
                <w:noProof/>
                <w:webHidden/>
              </w:rPr>
              <w:t>64</w:t>
            </w:r>
            <w:r w:rsidR="00AD64B3">
              <w:rPr>
                <w:noProof/>
                <w:webHidden/>
              </w:rPr>
              <w:fldChar w:fldCharType="end"/>
            </w:r>
          </w:hyperlink>
        </w:p>
        <w:p w14:paraId="5DFBBF5D" w14:textId="415CEB78" w:rsidR="00AD64B3" w:rsidRDefault="00705721">
          <w:pPr>
            <w:pStyle w:val="TOC2"/>
            <w:tabs>
              <w:tab w:val="left" w:pos="960"/>
              <w:tab w:val="right" w:leader="dot" w:pos="9016"/>
            </w:tabs>
            <w:rPr>
              <w:rFonts w:asciiTheme="minorHAnsi" w:eastAsiaTheme="minorEastAsia" w:hAnsiTheme="minorHAnsi" w:cstheme="minorBidi"/>
              <w:b w:val="0"/>
              <w:bCs w:val="0"/>
              <w:noProof/>
              <w:sz w:val="22"/>
              <w:lang w:val="en-US"/>
            </w:rPr>
          </w:pPr>
          <w:hyperlink w:anchor="_Toc132640022" w:history="1">
            <w:r w:rsidR="00AD64B3" w:rsidRPr="005E2D53">
              <w:rPr>
                <w:rStyle w:val="Hyperlink"/>
                <w:rFonts w:eastAsiaTheme="majorEastAsia"/>
                <w:noProof/>
              </w:rPr>
              <w:t>4.1</w:t>
            </w:r>
            <w:r w:rsidR="00AD64B3">
              <w:rPr>
                <w:rFonts w:asciiTheme="minorHAnsi" w:eastAsiaTheme="minorEastAsia" w:hAnsiTheme="minorHAnsi" w:cstheme="minorBidi"/>
                <w:b w:val="0"/>
                <w:bCs w:val="0"/>
                <w:noProof/>
                <w:sz w:val="22"/>
                <w:lang w:val="en-US"/>
              </w:rPr>
              <w:tab/>
            </w:r>
            <w:r w:rsidR="00AD64B3" w:rsidRPr="005E2D53">
              <w:rPr>
                <w:rStyle w:val="Hyperlink"/>
                <w:rFonts w:eastAsiaTheme="majorEastAsia"/>
                <w:noProof/>
              </w:rPr>
              <w:t>Structural states and conformational dynamics of NDH</w:t>
            </w:r>
            <w:r w:rsidR="00AD64B3">
              <w:rPr>
                <w:noProof/>
                <w:webHidden/>
              </w:rPr>
              <w:tab/>
            </w:r>
            <w:r w:rsidR="00AD64B3">
              <w:rPr>
                <w:noProof/>
                <w:webHidden/>
              </w:rPr>
              <w:fldChar w:fldCharType="begin"/>
            </w:r>
            <w:r w:rsidR="00AD64B3">
              <w:rPr>
                <w:noProof/>
                <w:webHidden/>
              </w:rPr>
              <w:instrText xml:space="preserve"> PAGEREF _Toc132640022 \h </w:instrText>
            </w:r>
            <w:r w:rsidR="00AD64B3">
              <w:rPr>
                <w:noProof/>
                <w:webHidden/>
              </w:rPr>
            </w:r>
            <w:r w:rsidR="00AD64B3">
              <w:rPr>
                <w:noProof/>
                <w:webHidden/>
              </w:rPr>
              <w:fldChar w:fldCharType="separate"/>
            </w:r>
            <w:r w:rsidR="00ED1816">
              <w:rPr>
                <w:noProof/>
                <w:webHidden/>
              </w:rPr>
              <w:t>64</w:t>
            </w:r>
            <w:r w:rsidR="00AD64B3">
              <w:rPr>
                <w:noProof/>
                <w:webHidden/>
              </w:rPr>
              <w:fldChar w:fldCharType="end"/>
            </w:r>
          </w:hyperlink>
        </w:p>
        <w:p w14:paraId="1DE93C96" w14:textId="4717F261" w:rsidR="00AD64B3" w:rsidRDefault="00705721">
          <w:pPr>
            <w:pStyle w:val="TOC2"/>
            <w:tabs>
              <w:tab w:val="left" w:pos="960"/>
              <w:tab w:val="right" w:leader="dot" w:pos="9016"/>
            </w:tabs>
            <w:rPr>
              <w:rFonts w:asciiTheme="minorHAnsi" w:eastAsiaTheme="minorEastAsia" w:hAnsiTheme="minorHAnsi" w:cstheme="minorBidi"/>
              <w:b w:val="0"/>
              <w:bCs w:val="0"/>
              <w:noProof/>
              <w:sz w:val="22"/>
              <w:lang w:val="en-US"/>
            </w:rPr>
          </w:pPr>
          <w:hyperlink w:anchor="_Toc132640023" w:history="1">
            <w:r w:rsidR="00AD64B3" w:rsidRPr="005E2D53">
              <w:rPr>
                <w:rStyle w:val="Hyperlink"/>
                <w:rFonts w:eastAsiaTheme="majorEastAsia"/>
                <w:noProof/>
              </w:rPr>
              <w:t>4.2</w:t>
            </w:r>
            <w:r w:rsidR="00AD64B3">
              <w:rPr>
                <w:rFonts w:asciiTheme="minorHAnsi" w:eastAsiaTheme="minorEastAsia" w:hAnsiTheme="minorHAnsi" w:cstheme="minorBidi"/>
                <w:b w:val="0"/>
                <w:bCs w:val="0"/>
                <w:noProof/>
                <w:sz w:val="22"/>
                <w:lang w:val="en-US"/>
              </w:rPr>
              <w:tab/>
            </w:r>
            <w:r w:rsidR="00AD64B3" w:rsidRPr="005E2D53">
              <w:rPr>
                <w:rStyle w:val="Hyperlink"/>
                <w:rFonts w:eastAsiaTheme="majorEastAsia"/>
                <w:noProof/>
              </w:rPr>
              <w:t>Analysis of ndhL subunit</w:t>
            </w:r>
            <w:r w:rsidR="00AD64B3">
              <w:rPr>
                <w:noProof/>
                <w:webHidden/>
              </w:rPr>
              <w:tab/>
            </w:r>
            <w:r w:rsidR="00AD64B3">
              <w:rPr>
                <w:noProof/>
                <w:webHidden/>
              </w:rPr>
              <w:fldChar w:fldCharType="begin"/>
            </w:r>
            <w:r w:rsidR="00AD64B3">
              <w:rPr>
                <w:noProof/>
                <w:webHidden/>
              </w:rPr>
              <w:instrText xml:space="preserve"> PAGEREF _Toc132640023 \h </w:instrText>
            </w:r>
            <w:r w:rsidR="00AD64B3">
              <w:rPr>
                <w:noProof/>
                <w:webHidden/>
              </w:rPr>
            </w:r>
            <w:r w:rsidR="00AD64B3">
              <w:rPr>
                <w:noProof/>
                <w:webHidden/>
              </w:rPr>
              <w:fldChar w:fldCharType="separate"/>
            </w:r>
            <w:r w:rsidR="00ED1816">
              <w:rPr>
                <w:noProof/>
                <w:webHidden/>
              </w:rPr>
              <w:t>66</w:t>
            </w:r>
            <w:r w:rsidR="00AD64B3">
              <w:rPr>
                <w:noProof/>
                <w:webHidden/>
              </w:rPr>
              <w:fldChar w:fldCharType="end"/>
            </w:r>
          </w:hyperlink>
        </w:p>
        <w:p w14:paraId="17C60C41" w14:textId="119C1068" w:rsidR="00AD64B3" w:rsidRDefault="00705721">
          <w:pPr>
            <w:pStyle w:val="TOC2"/>
            <w:tabs>
              <w:tab w:val="left" w:pos="960"/>
              <w:tab w:val="right" w:leader="dot" w:pos="9016"/>
            </w:tabs>
            <w:rPr>
              <w:rFonts w:asciiTheme="minorHAnsi" w:eastAsiaTheme="minorEastAsia" w:hAnsiTheme="minorHAnsi" w:cstheme="minorBidi"/>
              <w:b w:val="0"/>
              <w:bCs w:val="0"/>
              <w:noProof/>
              <w:sz w:val="22"/>
              <w:lang w:val="en-US"/>
            </w:rPr>
          </w:pPr>
          <w:hyperlink w:anchor="_Toc132640024" w:history="1">
            <w:r w:rsidR="00AD64B3" w:rsidRPr="005E2D53">
              <w:rPr>
                <w:rStyle w:val="Hyperlink"/>
                <w:rFonts w:eastAsiaTheme="majorEastAsia"/>
                <w:noProof/>
              </w:rPr>
              <w:t>4.3</w:t>
            </w:r>
            <w:r w:rsidR="00AD64B3">
              <w:rPr>
                <w:rFonts w:asciiTheme="minorHAnsi" w:eastAsiaTheme="minorEastAsia" w:hAnsiTheme="minorHAnsi" w:cstheme="minorBidi"/>
                <w:b w:val="0"/>
                <w:bCs w:val="0"/>
                <w:noProof/>
                <w:sz w:val="22"/>
                <w:lang w:val="en-US"/>
              </w:rPr>
              <w:tab/>
            </w:r>
            <w:r w:rsidR="00AD64B3" w:rsidRPr="005E2D53">
              <w:rPr>
                <w:rStyle w:val="Hyperlink"/>
                <w:rFonts w:eastAsiaTheme="majorEastAsia"/>
                <w:noProof/>
              </w:rPr>
              <w:t>Conclusion</w:t>
            </w:r>
            <w:r w:rsidR="00AD64B3">
              <w:rPr>
                <w:noProof/>
                <w:webHidden/>
              </w:rPr>
              <w:tab/>
            </w:r>
            <w:r w:rsidR="00AD64B3">
              <w:rPr>
                <w:noProof/>
                <w:webHidden/>
              </w:rPr>
              <w:fldChar w:fldCharType="begin"/>
            </w:r>
            <w:r w:rsidR="00AD64B3">
              <w:rPr>
                <w:noProof/>
                <w:webHidden/>
              </w:rPr>
              <w:instrText xml:space="preserve"> PAGEREF _Toc132640024 \h </w:instrText>
            </w:r>
            <w:r w:rsidR="00AD64B3">
              <w:rPr>
                <w:noProof/>
                <w:webHidden/>
              </w:rPr>
            </w:r>
            <w:r w:rsidR="00AD64B3">
              <w:rPr>
                <w:noProof/>
                <w:webHidden/>
              </w:rPr>
              <w:fldChar w:fldCharType="separate"/>
            </w:r>
            <w:r w:rsidR="00ED1816">
              <w:rPr>
                <w:noProof/>
                <w:webHidden/>
              </w:rPr>
              <w:t>70</w:t>
            </w:r>
            <w:r w:rsidR="00AD64B3">
              <w:rPr>
                <w:noProof/>
                <w:webHidden/>
              </w:rPr>
              <w:fldChar w:fldCharType="end"/>
            </w:r>
          </w:hyperlink>
        </w:p>
        <w:p w14:paraId="23D0D136" w14:textId="249CB2DB" w:rsidR="00AD64B3" w:rsidRDefault="00705721">
          <w:pPr>
            <w:pStyle w:val="TOC1"/>
            <w:tabs>
              <w:tab w:val="right" w:leader="dot" w:pos="9016"/>
            </w:tabs>
            <w:rPr>
              <w:rFonts w:asciiTheme="minorHAnsi" w:eastAsiaTheme="minorEastAsia" w:hAnsiTheme="minorHAnsi" w:cstheme="minorBidi"/>
              <w:b w:val="0"/>
              <w:bCs w:val="0"/>
              <w:iCs w:val="0"/>
              <w:noProof/>
              <w:sz w:val="22"/>
              <w:szCs w:val="22"/>
              <w:lang w:val="en-US"/>
            </w:rPr>
          </w:pPr>
          <w:hyperlink w:anchor="_Toc132640025" w:history="1">
            <w:r w:rsidR="00AD64B3" w:rsidRPr="005E2D53">
              <w:rPr>
                <w:rStyle w:val="Hyperlink"/>
                <w:rFonts w:eastAsiaTheme="majorEastAsia"/>
                <w:noProof/>
              </w:rPr>
              <w:t>References</w:t>
            </w:r>
            <w:r w:rsidR="00AD64B3">
              <w:rPr>
                <w:noProof/>
                <w:webHidden/>
              </w:rPr>
              <w:tab/>
            </w:r>
            <w:r w:rsidR="00AD64B3">
              <w:rPr>
                <w:noProof/>
                <w:webHidden/>
              </w:rPr>
              <w:fldChar w:fldCharType="begin"/>
            </w:r>
            <w:r w:rsidR="00AD64B3">
              <w:rPr>
                <w:noProof/>
                <w:webHidden/>
              </w:rPr>
              <w:instrText xml:space="preserve"> PAGEREF _Toc132640025 \h </w:instrText>
            </w:r>
            <w:r w:rsidR="00AD64B3">
              <w:rPr>
                <w:noProof/>
                <w:webHidden/>
              </w:rPr>
            </w:r>
            <w:r w:rsidR="00AD64B3">
              <w:rPr>
                <w:noProof/>
                <w:webHidden/>
              </w:rPr>
              <w:fldChar w:fldCharType="separate"/>
            </w:r>
            <w:r w:rsidR="00ED1816">
              <w:rPr>
                <w:noProof/>
                <w:webHidden/>
              </w:rPr>
              <w:t>71</w:t>
            </w:r>
            <w:r w:rsidR="00AD64B3">
              <w:rPr>
                <w:noProof/>
                <w:webHidden/>
              </w:rPr>
              <w:fldChar w:fldCharType="end"/>
            </w:r>
          </w:hyperlink>
        </w:p>
        <w:p w14:paraId="1CF6D5EB" w14:textId="7A0EEF32" w:rsidR="00AD64B3" w:rsidRDefault="00705721">
          <w:pPr>
            <w:pStyle w:val="TOC1"/>
            <w:tabs>
              <w:tab w:val="left" w:pos="480"/>
              <w:tab w:val="right" w:leader="dot" w:pos="9016"/>
            </w:tabs>
            <w:rPr>
              <w:rFonts w:asciiTheme="minorHAnsi" w:eastAsiaTheme="minorEastAsia" w:hAnsiTheme="minorHAnsi" w:cstheme="minorBidi"/>
              <w:b w:val="0"/>
              <w:bCs w:val="0"/>
              <w:iCs w:val="0"/>
              <w:noProof/>
              <w:sz w:val="22"/>
              <w:szCs w:val="22"/>
              <w:lang w:val="en-US"/>
            </w:rPr>
          </w:pPr>
          <w:hyperlink w:anchor="_Toc132640026" w:history="1">
            <w:r w:rsidR="00AD64B3" w:rsidRPr="005E2D53">
              <w:rPr>
                <w:rStyle w:val="Hyperlink"/>
                <w:rFonts w:eastAsiaTheme="majorEastAsia"/>
                <w:noProof/>
              </w:rPr>
              <w:t>A.</w:t>
            </w:r>
            <w:r w:rsidR="00AD64B3">
              <w:rPr>
                <w:rFonts w:asciiTheme="minorHAnsi" w:eastAsiaTheme="minorEastAsia" w:hAnsiTheme="minorHAnsi" w:cstheme="minorBidi"/>
                <w:b w:val="0"/>
                <w:bCs w:val="0"/>
                <w:iCs w:val="0"/>
                <w:noProof/>
                <w:sz w:val="22"/>
                <w:szCs w:val="22"/>
                <w:lang w:val="en-US"/>
              </w:rPr>
              <w:tab/>
            </w:r>
            <w:r w:rsidR="00AD64B3" w:rsidRPr="005E2D53">
              <w:rPr>
                <w:rStyle w:val="Hyperlink"/>
                <w:rFonts w:eastAsiaTheme="majorEastAsia"/>
                <w:noProof/>
              </w:rPr>
              <w:t>Appendix 1. Model and data collection statistics for DDM datasets</w:t>
            </w:r>
            <w:r w:rsidR="00AD64B3">
              <w:rPr>
                <w:noProof/>
                <w:webHidden/>
              </w:rPr>
              <w:tab/>
            </w:r>
            <w:r w:rsidR="00AD64B3">
              <w:rPr>
                <w:noProof/>
                <w:webHidden/>
              </w:rPr>
              <w:fldChar w:fldCharType="begin"/>
            </w:r>
            <w:r w:rsidR="00AD64B3">
              <w:rPr>
                <w:noProof/>
                <w:webHidden/>
              </w:rPr>
              <w:instrText xml:space="preserve"> PAGEREF _Toc132640026 \h </w:instrText>
            </w:r>
            <w:r w:rsidR="00AD64B3">
              <w:rPr>
                <w:noProof/>
                <w:webHidden/>
              </w:rPr>
            </w:r>
            <w:r w:rsidR="00AD64B3">
              <w:rPr>
                <w:noProof/>
                <w:webHidden/>
              </w:rPr>
              <w:fldChar w:fldCharType="separate"/>
            </w:r>
            <w:r w:rsidR="00ED1816">
              <w:rPr>
                <w:noProof/>
                <w:webHidden/>
              </w:rPr>
              <w:t>82</w:t>
            </w:r>
            <w:r w:rsidR="00AD64B3">
              <w:rPr>
                <w:noProof/>
                <w:webHidden/>
              </w:rPr>
              <w:fldChar w:fldCharType="end"/>
            </w:r>
          </w:hyperlink>
        </w:p>
        <w:p w14:paraId="44794EEB" w14:textId="27F1E5F8" w:rsidR="00AD64B3" w:rsidRDefault="00705721">
          <w:pPr>
            <w:pStyle w:val="TOC1"/>
            <w:tabs>
              <w:tab w:val="left" w:pos="480"/>
              <w:tab w:val="right" w:leader="dot" w:pos="9016"/>
            </w:tabs>
            <w:rPr>
              <w:rFonts w:asciiTheme="minorHAnsi" w:eastAsiaTheme="minorEastAsia" w:hAnsiTheme="minorHAnsi" w:cstheme="minorBidi"/>
              <w:b w:val="0"/>
              <w:bCs w:val="0"/>
              <w:iCs w:val="0"/>
              <w:noProof/>
              <w:sz w:val="22"/>
              <w:szCs w:val="22"/>
              <w:lang w:val="en-US"/>
            </w:rPr>
          </w:pPr>
          <w:hyperlink w:anchor="_Toc132640027" w:history="1">
            <w:r w:rsidR="00AD64B3" w:rsidRPr="005E2D53">
              <w:rPr>
                <w:rStyle w:val="Hyperlink"/>
                <w:rFonts w:eastAsiaTheme="majorEastAsia"/>
                <w:noProof/>
              </w:rPr>
              <w:t>B.</w:t>
            </w:r>
            <w:r w:rsidR="00AD64B3">
              <w:rPr>
                <w:rFonts w:asciiTheme="minorHAnsi" w:eastAsiaTheme="minorEastAsia" w:hAnsiTheme="minorHAnsi" w:cstheme="minorBidi"/>
                <w:b w:val="0"/>
                <w:bCs w:val="0"/>
                <w:iCs w:val="0"/>
                <w:noProof/>
                <w:sz w:val="22"/>
                <w:szCs w:val="22"/>
                <w:lang w:val="en-US"/>
              </w:rPr>
              <w:tab/>
            </w:r>
            <w:r w:rsidR="00AD64B3" w:rsidRPr="005E2D53">
              <w:rPr>
                <w:rStyle w:val="Hyperlink"/>
                <w:rFonts w:eastAsiaTheme="majorEastAsia"/>
                <w:noProof/>
              </w:rPr>
              <w:t>Appendix 2. Model and data collection statistics for DDM/LMNG datasets</w:t>
            </w:r>
            <w:r w:rsidR="00AD64B3">
              <w:rPr>
                <w:noProof/>
                <w:webHidden/>
              </w:rPr>
              <w:tab/>
            </w:r>
            <w:r w:rsidR="00AD64B3">
              <w:rPr>
                <w:noProof/>
                <w:webHidden/>
              </w:rPr>
              <w:fldChar w:fldCharType="begin"/>
            </w:r>
            <w:r w:rsidR="00AD64B3">
              <w:rPr>
                <w:noProof/>
                <w:webHidden/>
              </w:rPr>
              <w:instrText xml:space="preserve"> PAGEREF _Toc132640027 \h </w:instrText>
            </w:r>
            <w:r w:rsidR="00AD64B3">
              <w:rPr>
                <w:noProof/>
                <w:webHidden/>
              </w:rPr>
            </w:r>
            <w:r w:rsidR="00AD64B3">
              <w:rPr>
                <w:noProof/>
                <w:webHidden/>
              </w:rPr>
              <w:fldChar w:fldCharType="separate"/>
            </w:r>
            <w:r w:rsidR="00ED1816">
              <w:rPr>
                <w:noProof/>
                <w:webHidden/>
              </w:rPr>
              <w:t>83</w:t>
            </w:r>
            <w:r w:rsidR="00AD64B3">
              <w:rPr>
                <w:noProof/>
                <w:webHidden/>
              </w:rPr>
              <w:fldChar w:fldCharType="end"/>
            </w:r>
          </w:hyperlink>
        </w:p>
        <w:p w14:paraId="7CD57033" w14:textId="330E5190" w:rsidR="00AD64B3" w:rsidRDefault="00705721">
          <w:pPr>
            <w:pStyle w:val="TOC1"/>
            <w:tabs>
              <w:tab w:val="left" w:pos="480"/>
              <w:tab w:val="right" w:leader="dot" w:pos="9016"/>
            </w:tabs>
            <w:rPr>
              <w:rFonts w:asciiTheme="minorHAnsi" w:eastAsiaTheme="minorEastAsia" w:hAnsiTheme="minorHAnsi" w:cstheme="minorBidi"/>
              <w:b w:val="0"/>
              <w:bCs w:val="0"/>
              <w:iCs w:val="0"/>
              <w:noProof/>
              <w:sz w:val="22"/>
              <w:szCs w:val="22"/>
              <w:lang w:val="en-US"/>
            </w:rPr>
          </w:pPr>
          <w:hyperlink w:anchor="_Toc132640028" w:history="1">
            <w:r w:rsidR="00AD64B3" w:rsidRPr="005E2D53">
              <w:rPr>
                <w:rStyle w:val="Hyperlink"/>
                <w:rFonts w:eastAsiaTheme="majorEastAsia"/>
                <w:noProof/>
              </w:rPr>
              <w:t>C.</w:t>
            </w:r>
            <w:r w:rsidR="00AD64B3">
              <w:rPr>
                <w:rFonts w:asciiTheme="minorHAnsi" w:eastAsiaTheme="minorEastAsia" w:hAnsiTheme="minorHAnsi" w:cstheme="minorBidi"/>
                <w:b w:val="0"/>
                <w:bCs w:val="0"/>
                <w:iCs w:val="0"/>
                <w:noProof/>
                <w:sz w:val="22"/>
                <w:szCs w:val="22"/>
                <w:lang w:val="en-US"/>
              </w:rPr>
              <w:tab/>
            </w:r>
            <w:r w:rsidR="00AD64B3" w:rsidRPr="005E2D53">
              <w:rPr>
                <w:rStyle w:val="Hyperlink"/>
                <w:rFonts w:eastAsiaTheme="majorEastAsia"/>
                <w:noProof/>
              </w:rPr>
              <w:t>Appendix 3. Model and data collection statistics for LMNG datasets</w:t>
            </w:r>
            <w:r w:rsidR="00AD64B3">
              <w:rPr>
                <w:noProof/>
                <w:webHidden/>
              </w:rPr>
              <w:tab/>
            </w:r>
            <w:r w:rsidR="00AD64B3">
              <w:rPr>
                <w:noProof/>
                <w:webHidden/>
              </w:rPr>
              <w:fldChar w:fldCharType="begin"/>
            </w:r>
            <w:r w:rsidR="00AD64B3">
              <w:rPr>
                <w:noProof/>
                <w:webHidden/>
              </w:rPr>
              <w:instrText xml:space="preserve"> PAGEREF _Toc132640028 \h </w:instrText>
            </w:r>
            <w:r w:rsidR="00AD64B3">
              <w:rPr>
                <w:noProof/>
                <w:webHidden/>
              </w:rPr>
            </w:r>
            <w:r w:rsidR="00AD64B3">
              <w:rPr>
                <w:noProof/>
                <w:webHidden/>
              </w:rPr>
              <w:fldChar w:fldCharType="separate"/>
            </w:r>
            <w:r w:rsidR="00ED1816">
              <w:rPr>
                <w:noProof/>
                <w:webHidden/>
              </w:rPr>
              <w:t>86</w:t>
            </w:r>
            <w:r w:rsidR="00AD64B3">
              <w:rPr>
                <w:noProof/>
                <w:webHidden/>
              </w:rPr>
              <w:fldChar w:fldCharType="end"/>
            </w:r>
          </w:hyperlink>
        </w:p>
        <w:p w14:paraId="233E44C6" w14:textId="2891A8C0" w:rsidR="00AD64B3" w:rsidRDefault="00705721">
          <w:pPr>
            <w:pStyle w:val="TOC1"/>
            <w:tabs>
              <w:tab w:val="left" w:pos="480"/>
              <w:tab w:val="right" w:leader="dot" w:pos="9016"/>
            </w:tabs>
            <w:rPr>
              <w:rFonts w:asciiTheme="minorHAnsi" w:eastAsiaTheme="minorEastAsia" w:hAnsiTheme="minorHAnsi" w:cstheme="minorBidi"/>
              <w:b w:val="0"/>
              <w:bCs w:val="0"/>
              <w:iCs w:val="0"/>
              <w:noProof/>
              <w:sz w:val="22"/>
              <w:szCs w:val="22"/>
              <w:lang w:val="en-US"/>
            </w:rPr>
          </w:pPr>
          <w:hyperlink w:anchor="_Toc132640029" w:history="1">
            <w:r w:rsidR="00AD64B3" w:rsidRPr="005E2D53">
              <w:rPr>
                <w:rStyle w:val="Hyperlink"/>
                <w:rFonts w:eastAsiaTheme="majorEastAsia"/>
                <w:noProof/>
              </w:rPr>
              <w:t>D.</w:t>
            </w:r>
            <w:r w:rsidR="00AD64B3">
              <w:rPr>
                <w:rFonts w:asciiTheme="minorHAnsi" w:eastAsiaTheme="minorEastAsia" w:hAnsiTheme="minorHAnsi" w:cstheme="minorBidi"/>
                <w:b w:val="0"/>
                <w:bCs w:val="0"/>
                <w:iCs w:val="0"/>
                <w:noProof/>
                <w:sz w:val="22"/>
                <w:szCs w:val="22"/>
                <w:lang w:val="en-US"/>
              </w:rPr>
              <w:tab/>
            </w:r>
            <w:r w:rsidR="00AD64B3" w:rsidRPr="005E2D53">
              <w:rPr>
                <w:rStyle w:val="Hyperlink"/>
                <w:rFonts w:eastAsiaTheme="majorEastAsia"/>
                <w:noProof/>
              </w:rPr>
              <w:t>Appendix 4. Model and data collection statistics for NDH dataset</w:t>
            </w:r>
            <w:r w:rsidR="00AD64B3">
              <w:rPr>
                <w:noProof/>
                <w:webHidden/>
              </w:rPr>
              <w:tab/>
            </w:r>
            <w:r w:rsidR="00AD64B3">
              <w:rPr>
                <w:noProof/>
                <w:webHidden/>
              </w:rPr>
              <w:fldChar w:fldCharType="begin"/>
            </w:r>
            <w:r w:rsidR="00AD64B3">
              <w:rPr>
                <w:noProof/>
                <w:webHidden/>
              </w:rPr>
              <w:instrText xml:space="preserve"> PAGEREF _Toc132640029 \h </w:instrText>
            </w:r>
            <w:r w:rsidR="00AD64B3">
              <w:rPr>
                <w:noProof/>
                <w:webHidden/>
              </w:rPr>
            </w:r>
            <w:r w:rsidR="00AD64B3">
              <w:rPr>
                <w:noProof/>
                <w:webHidden/>
              </w:rPr>
              <w:fldChar w:fldCharType="separate"/>
            </w:r>
            <w:r w:rsidR="00ED1816">
              <w:rPr>
                <w:noProof/>
                <w:webHidden/>
              </w:rPr>
              <w:t>87</w:t>
            </w:r>
            <w:r w:rsidR="00AD64B3">
              <w:rPr>
                <w:noProof/>
                <w:webHidden/>
              </w:rPr>
              <w:fldChar w:fldCharType="end"/>
            </w:r>
          </w:hyperlink>
        </w:p>
        <w:p w14:paraId="26E1174E" w14:textId="5DA9726C" w:rsidR="00AD64B3" w:rsidRDefault="00705721">
          <w:pPr>
            <w:pStyle w:val="TOC1"/>
            <w:tabs>
              <w:tab w:val="left" w:pos="480"/>
              <w:tab w:val="right" w:leader="dot" w:pos="9016"/>
            </w:tabs>
            <w:rPr>
              <w:rFonts w:asciiTheme="minorHAnsi" w:eastAsiaTheme="minorEastAsia" w:hAnsiTheme="minorHAnsi" w:cstheme="minorBidi"/>
              <w:b w:val="0"/>
              <w:bCs w:val="0"/>
              <w:iCs w:val="0"/>
              <w:noProof/>
              <w:sz w:val="22"/>
              <w:szCs w:val="22"/>
              <w:lang w:val="en-US"/>
            </w:rPr>
          </w:pPr>
          <w:hyperlink w:anchor="_Toc132640030" w:history="1">
            <w:r w:rsidR="00AD64B3" w:rsidRPr="005E2D53">
              <w:rPr>
                <w:rStyle w:val="Hyperlink"/>
                <w:rFonts w:eastAsiaTheme="majorEastAsia"/>
                <w:noProof/>
              </w:rPr>
              <w:t>E.</w:t>
            </w:r>
            <w:r w:rsidR="00AD64B3">
              <w:rPr>
                <w:rFonts w:asciiTheme="minorHAnsi" w:eastAsiaTheme="minorEastAsia" w:hAnsiTheme="minorHAnsi" w:cstheme="minorBidi"/>
                <w:b w:val="0"/>
                <w:bCs w:val="0"/>
                <w:iCs w:val="0"/>
                <w:noProof/>
                <w:sz w:val="22"/>
                <w:szCs w:val="22"/>
                <w:lang w:val="en-US"/>
              </w:rPr>
              <w:tab/>
            </w:r>
            <w:r w:rsidR="00AD64B3" w:rsidRPr="005E2D53">
              <w:rPr>
                <w:rStyle w:val="Hyperlink"/>
                <w:rFonts w:eastAsiaTheme="majorEastAsia"/>
                <w:noProof/>
              </w:rPr>
              <w:t xml:space="preserve">Appendix 5. </w:t>
            </w:r>
            <w:r w:rsidR="00AD64B3" w:rsidRPr="005E2D53">
              <w:rPr>
                <w:rStyle w:val="Hyperlink"/>
                <w:rFonts w:eastAsiaTheme="majorEastAsia"/>
                <w:i/>
                <w:noProof/>
              </w:rPr>
              <w:t>E. coli</w:t>
            </w:r>
            <w:r w:rsidR="00AD64B3" w:rsidRPr="005E2D53">
              <w:rPr>
                <w:rStyle w:val="Hyperlink"/>
                <w:rFonts w:eastAsiaTheme="majorEastAsia"/>
                <w:noProof/>
              </w:rPr>
              <w:t xml:space="preserve"> complex I mutation data</w:t>
            </w:r>
            <w:r w:rsidR="00AD64B3">
              <w:rPr>
                <w:noProof/>
                <w:webHidden/>
              </w:rPr>
              <w:tab/>
            </w:r>
            <w:r w:rsidR="00AD64B3">
              <w:rPr>
                <w:noProof/>
                <w:webHidden/>
              </w:rPr>
              <w:fldChar w:fldCharType="begin"/>
            </w:r>
            <w:r w:rsidR="00AD64B3">
              <w:rPr>
                <w:noProof/>
                <w:webHidden/>
              </w:rPr>
              <w:instrText xml:space="preserve"> PAGEREF _Toc132640030 \h </w:instrText>
            </w:r>
            <w:r w:rsidR="00AD64B3">
              <w:rPr>
                <w:noProof/>
                <w:webHidden/>
              </w:rPr>
            </w:r>
            <w:r w:rsidR="00AD64B3">
              <w:rPr>
                <w:noProof/>
                <w:webHidden/>
              </w:rPr>
              <w:fldChar w:fldCharType="separate"/>
            </w:r>
            <w:r w:rsidR="00ED1816">
              <w:rPr>
                <w:noProof/>
                <w:webHidden/>
              </w:rPr>
              <w:t>88</w:t>
            </w:r>
            <w:r w:rsidR="00AD64B3">
              <w:rPr>
                <w:noProof/>
                <w:webHidden/>
              </w:rPr>
              <w:fldChar w:fldCharType="end"/>
            </w:r>
          </w:hyperlink>
        </w:p>
        <w:p w14:paraId="681F2014" w14:textId="4E9B2EC6" w:rsidR="00642151" w:rsidRDefault="00642151">
          <w:r>
            <w:rPr>
              <w:b/>
              <w:bCs/>
              <w:noProof/>
            </w:rPr>
            <w:fldChar w:fldCharType="end"/>
          </w:r>
        </w:p>
      </w:sdtContent>
    </w:sdt>
    <w:p w14:paraId="45DEC2F7" w14:textId="77777777" w:rsidR="002D6482" w:rsidRPr="00E97FC1" w:rsidRDefault="002D6482">
      <w:pPr>
        <w:rPr>
          <w:rFonts w:eastAsia="Times New Roman" w:cs="Times New Roman"/>
          <w:noProof/>
          <w:szCs w:val="24"/>
          <w:lang w:val="en-GB"/>
        </w:rPr>
      </w:pPr>
      <w:r w:rsidRPr="00E97FC1">
        <w:rPr>
          <w:rFonts w:eastAsia="Times New Roman" w:cs="Times New Roman"/>
          <w:noProof/>
          <w:szCs w:val="24"/>
          <w:lang w:val="en-GB"/>
        </w:rPr>
        <w:br w:type="page"/>
      </w:r>
    </w:p>
    <w:p w14:paraId="0DEA5660" w14:textId="23BA9DD9" w:rsidR="005D3050" w:rsidRPr="003870A7" w:rsidRDefault="003870A7" w:rsidP="003870A7">
      <w:pPr>
        <w:spacing w:before="100" w:beforeAutospacing="1" w:after="100" w:afterAutospacing="1"/>
        <w:ind w:left="360" w:hanging="360"/>
        <w:outlineLvl w:val="0"/>
        <w:rPr>
          <w:rFonts w:eastAsia="Times New Roman" w:cs="Times New Roman"/>
          <w:b/>
          <w:bCs/>
          <w:kern w:val="36"/>
          <w:sz w:val="30"/>
          <w:szCs w:val="30"/>
          <w:shd w:val="clear" w:color="auto" w:fill="FFFFFF"/>
          <w:lang w:val="en-GB"/>
        </w:rPr>
      </w:pPr>
      <w:bookmarkStart w:id="8" w:name="_Toc132639975"/>
      <w:r>
        <w:rPr>
          <w:rFonts w:eastAsia="Times New Roman" w:cs="Times New Roman"/>
          <w:b/>
          <w:bCs/>
          <w:kern w:val="36"/>
          <w:sz w:val="30"/>
          <w:szCs w:val="30"/>
          <w:shd w:val="clear" w:color="auto" w:fill="FFFFFF"/>
          <w:lang w:val="en-GB"/>
        </w:rPr>
        <w:lastRenderedPageBreak/>
        <w:t>List of figures</w:t>
      </w:r>
      <w:bookmarkEnd w:id="8"/>
    </w:p>
    <w:p w14:paraId="31A515A8" w14:textId="0315F882" w:rsidR="00CC7652" w:rsidRDefault="001D765C">
      <w:pPr>
        <w:pStyle w:val="TableofFigures"/>
        <w:tabs>
          <w:tab w:val="right" w:leader="dot" w:pos="9016"/>
        </w:tabs>
        <w:rPr>
          <w:rFonts w:asciiTheme="minorHAnsi" w:eastAsiaTheme="minorEastAsia" w:hAnsiTheme="minorHAnsi" w:cstheme="minorBidi"/>
          <w:noProof/>
          <w:sz w:val="22"/>
          <w:szCs w:val="22"/>
          <w:lang w:val="en-US"/>
        </w:rPr>
      </w:pPr>
      <w:r w:rsidRPr="00E97FC1">
        <w:rPr>
          <w:noProof/>
        </w:rPr>
        <w:fldChar w:fldCharType="begin"/>
      </w:r>
      <w:r w:rsidRPr="00E97FC1">
        <w:rPr>
          <w:noProof/>
        </w:rPr>
        <w:instrText xml:space="preserve"> TOC \h \z \c "Figure" </w:instrText>
      </w:r>
      <w:r w:rsidRPr="00E97FC1">
        <w:rPr>
          <w:noProof/>
        </w:rPr>
        <w:fldChar w:fldCharType="separate"/>
      </w:r>
      <w:hyperlink w:anchor="_Toc128136607" w:history="1">
        <w:r w:rsidR="00CC7652" w:rsidRPr="006240E6">
          <w:rPr>
            <w:rStyle w:val="Hyperlink"/>
            <w:noProof/>
          </w:rPr>
          <w:t>Figure 1.1 The mammalian mitochondrial electron transport chain.</w:t>
        </w:r>
        <w:r w:rsidR="00CC7652">
          <w:rPr>
            <w:noProof/>
            <w:webHidden/>
          </w:rPr>
          <w:tab/>
        </w:r>
        <w:r w:rsidR="00CC7652">
          <w:rPr>
            <w:noProof/>
            <w:webHidden/>
          </w:rPr>
          <w:fldChar w:fldCharType="begin"/>
        </w:r>
        <w:r w:rsidR="00CC7652">
          <w:rPr>
            <w:noProof/>
            <w:webHidden/>
          </w:rPr>
          <w:instrText xml:space="preserve"> PAGEREF _Toc128136607 \h </w:instrText>
        </w:r>
        <w:r w:rsidR="00CC7652">
          <w:rPr>
            <w:noProof/>
            <w:webHidden/>
          </w:rPr>
        </w:r>
        <w:r w:rsidR="00CC7652">
          <w:rPr>
            <w:noProof/>
            <w:webHidden/>
          </w:rPr>
          <w:fldChar w:fldCharType="separate"/>
        </w:r>
        <w:r w:rsidR="00ED1816">
          <w:rPr>
            <w:noProof/>
            <w:webHidden/>
          </w:rPr>
          <w:t>1</w:t>
        </w:r>
        <w:r w:rsidR="00CC7652">
          <w:rPr>
            <w:noProof/>
            <w:webHidden/>
          </w:rPr>
          <w:fldChar w:fldCharType="end"/>
        </w:r>
      </w:hyperlink>
    </w:p>
    <w:p w14:paraId="253CA2A1" w14:textId="69C1F087" w:rsidR="00CC7652" w:rsidRDefault="00705721">
      <w:pPr>
        <w:pStyle w:val="TableofFigures"/>
        <w:tabs>
          <w:tab w:val="right" w:leader="dot" w:pos="9016"/>
        </w:tabs>
        <w:rPr>
          <w:rFonts w:asciiTheme="minorHAnsi" w:eastAsiaTheme="minorEastAsia" w:hAnsiTheme="minorHAnsi" w:cstheme="minorBidi"/>
          <w:noProof/>
          <w:sz w:val="22"/>
          <w:szCs w:val="22"/>
          <w:lang w:val="en-US"/>
        </w:rPr>
      </w:pPr>
      <w:hyperlink w:anchor="_Toc128136608" w:history="1">
        <w:r w:rsidR="00CC7652" w:rsidRPr="006240E6">
          <w:rPr>
            <w:rStyle w:val="Hyperlink"/>
            <w:noProof/>
          </w:rPr>
          <w:t>Figure 1.2 Schematic representations of the ETC in different organisms.</w:t>
        </w:r>
        <w:r w:rsidR="00CC7652">
          <w:rPr>
            <w:noProof/>
            <w:webHidden/>
          </w:rPr>
          <w:tab/>
        </w:r>
        <w:r w:rsidR="00CC7652">
          <w:rPr>
            <w:noProof/>
            <w:webHidden/>
          </w:rPr>
          <w:fldChar w:fldCharType="begin"/>
        </w:r>
        <w:r w:rsidR="00CC7652">
          <w:rPr>
            <w:noProof/>
            <w:webHidden/>
          </w:rPr>
          <w:instrText xml:space="preserve"> PAGEREF _Toc128136608 \h </w:instrText>
        </w:r>
        <w:r w:rsidR="00CC7652">
          <w:rPr>
            <w:noProof/>
            <w:webHidden/>
          </w:rPr>
        </w:r>
        <w:r w:rsidR="00CC7652">
          <w:rPr>
            <w:noProof/>
            <w:webHidden/>
          </w:rPr>
          <w:fldChar w:fldCharType="separate"/>
        </w:r>
        <w:r w:rsidR="00ED1816">
          <w:rPr>
            <w:noProof/>
            <w:webHidden/>
          </w:rPr>
          <w:t>3</w:t>
        </w:r>
        <w:r w:rsidR="00CC7652">
          <w:rPr>
            <w:noProof/>
            <w:webHidden/>
          </w:rPr>
          <w:fldChar w:fldCharType="end"/>
        </w:r>
      </w:hyperlink>
    </w:p>
    <w:p w14:paraId="2237B0BD" w14:textId="298042AB" w:rsidR="00CC7652" w:rsidRDefault="00705721">
      <w:pPr>
        <w:pStyle w:val="TableofFigures"/>
        <w:tabs>
          <w:tab w:val="right" w:leader="dot" w:pos="9016"/>
        </w:tabs>
        <w:rPr>
          <w:rFonts w:asciiTheme="minorHAnsi" w:eastAsiaTheme="minorEastAsia" w:hAnsiTheme="minorHAnsi" w:cstheme="minorBidi"/>
          <w:noProof/>
          <w:sz w:val="22"/>
          <w:szCs w:val="22"/>
          <w:lang w:val="en-US"/>
        </w:rPr>
      </w:pPr>
      <w:hyperlink w:anchor="_Toc128136609" w:history="1">
        <w:r w:rsidR="00CC7652" w:rsidRPr="006240E6">
          <w:rPr>
            <w:rStyle w:val="Hyperlink"/>
            <w:noProof/>
          </w:rPr>
          <w:t>Figure 1.3 E.coli electron transport chain</w:t>
        </w:r>
        <w:r w:rsidR="00CC7652">
          <w:rPr>
            <w:noProof/>
            <w:webHidden/>
          </w:rPr>
          <w:tab/>
        </w:r>
        <w:r w:rsidR="00CC7652">
          <w:rPr>
            <w:noProof/>
            <w:webHidden/>
          </w:rPr>
          <w:fldChar w:fldCharType="begin"/>
        </w:r>
        <w:r w:rsidR="00CC7652">
          <w:rPr>
            <w:noProof/>
            <w:webHidden/>
          </w:rPr>
          <w:instrText xml:space="preserve"> PAGEREF _Toc128136609 \h </w:instrText>
        </w:r>
        <w:r w:rsidR="00CC7652">
          <w:rPr>
            <w:noProof/>
            <w:webHidden/>
          </w:rPr>
        </w:r>
        <w:r w:rsidR="00CC7652">
          <w:rPr>
            <w:noProof/>
            <w:webHidden/>
          </w:rPr>
          <w:fldChar w:fldCharType="separate"/>
        </w:r>
        <w:r w:rsidR="00ED1816">
          <w:rPr>
            <w:noProof/>
            <w:webHidden/>
          </w:rPr>
          <w:t>3</w:t>
        </w:r>
        <w:r w:rsidR="00CC7652">
          <w:rPr>
            <w:noProof/>
            <w:webHidden/>
          </w:rPr>
          <w:fldChar w:fldCharType="end"/>
        </w:r>
      </w:hyperlink>
    </w:p>
    <w:p w14:paraId="4D84099E" w14:textId="2F9E57EC" w:rsidR="00CC7652" w:rsidRDefault="00705721">
      <w:pPr>
        <w:pStyle w:val="TableofFigures"/>
        <w:tabs>
          <w:tab w:val="right" w:leader="dot" w:pos="9016"/>
        </w:tabs>
        <w:rPr>
          <w:rFonts w:asciiTheme="minorHAnsi" w:eastAsiaTheme="minorEastAsia" w:hAnsiTheme="minorHAnsi" w:cstheme="minorBidi"/>
          <w:noProof/>
          <w:sz w:val="22"/>
          <w:szCs w:val="22"/>
          <w:lang w:val="en-US"/>
        </w:rPr>
      </w:pPr>
      <w:hyperlink w:anchor="_Toc128136610" w:history="1">
        <w:r w:rsidR="00CC7652" w:rsidRPr="006240E6">
          <w:rPr>
            <w:rStyle w:val="Hyperlink"/>
            <w:noProof/>
          </w:rPr>
          <w:t>Figure 1.4 Overall structure and reaction centres of E.coli complex I.</w:t>
        </w:r>
        <w:r w:rsidR="00CC7652">
          <w:rPr>
            <w:noProof/>
            <w:webHidden/>
          </w:rPr>
          <w:tab/>
        </w:r>
        <w:r w:rsidR="00CC7652">
          <w:rPr>
            <w:noProof/>
            <w:webHidden/>
          </w:rPr>
          <w:fldChar w:fldCharType="begin"/>
        </w:r>
        <w:r w:rsidR="00CC7652">
          <w:rPr>
            <w:noProof/>
            <w:webHidden/>
          </w:rPr>
          <w:instrText xml:space="preserve"> PAGEREF _Toc128136610 \h </w:instrText>
        </w:r>
        <w:r w:rsidR="00CC7652">
          <w:rPr>
            <w:noProof/>
            <w:webHidden/>
          </w:rPr>
        </w:r>
        <w:r w:rsidR="00CC7652">
          <w:rPr>
            <w:noProof/>
            <w:webHidden/>
          </w:rPr>
          <w:fldChar w:fldCharType="separate"/>
        </w:r>
        <w:r w:rsidR="00ED1816">
          <w:rPr>
            <w:noProof/>
            <w:webHidden/>
          </w:rPr>
          <w:t>4</w:t>
        </w:r>
        <w:r w:rsidR="00CC7652">
          <w:rPr>
            <w:noProof/>
            <w:webHidden/>
          </w:rPr>
          <w:fldChar w:fldCharType="end"/>
        </w:r>
      </w:hyperlink>
    </w:p>
    <w:p w14:paraId="5D71CCC3" w14:textId="57219A47" w:rsidR="00CC7652" w:rsidRDefault="00705721">
      <w:pPr>
        <w:pStyle w:val="TableofFigures"/>
        <w:tabs>
          <w:tab w:val="right" w:leader="dot" w:pos="9016"/>
        </w:tabs>
        <w:rPr>
          <w:rFonts w:asciiTheme="minorHAnsi" w:eastAsiaTheme="minorEastAsia" w:hAnsiTheme="minorHAnsi" w:cstheme="minorBidi"/>
          <w:noProof/>
          <w:sz w:val="22"/>
          <w:szCs w:val="22"/>
          <w:lang w:val="en-US"/>
        </w:rPr>
      </w:pPr>
      <w:hyperlink w:anchor="_Toc128136611" w:history="1">
        <w:r w:rsidR="00CC7652" w:rsidRPr="006240E6">
          <w:rPr>
            <w:rStyle w:val="Hyperlink"/>
            <w:noProof/>
          </w:rPr>
          <w:t>Figure 1.5 Evolution of complex I.</w:t>
        </w:r>
        <w:r w:rsidR="00CC7652">
          <w:rPr>
            <w:noProof/>
            <w:webHidden/>
          </w:rPr>
          <w:tab/>
        </w:r>
        <w:r w:rsidR="00CC7652">
          <w:rPr>
            <w:noProof/>
            <w:webHidden/>
          </w:rPr>
          <w:fldChar w:fldCharType="begin"/>
        </w:r>
        <w:r w:rsidR="00CC7652">
          <w:rPr>
            <w:noProof/>
            <w:webHidden/>
          </w:rPr>
          <w:instrText xml:space="preserve"> PAGEREF _Toc128136611 \h </w:instrText>
        </w:r>
        <w:r w:rsidR="00CC7652">
          <w:rPr>
            <w:noProof/>
            <w:webHidden/>
          </w:rPr>
        </w:r>
        <w:r w:rsidR="00CC7652">
          <w:rPr>
            <w:noProof/>
            <w:webHidden/>
          </w:rPr>
          <w:fldChar w:fldCharType="separate"/>
        </w:r>
        <w:r w:rsidR="00ED1816">
          <w:rPr>
            <w:noProof/>
            <w:webHidden/>
          </w:rPr>
          <w:t>6</w:t>
        </w:r>
        <w:r w:rsidR="00CC7652">
          <w:rPr>
            <w:noProof/>
            <w:webHidden/>
          </w:rPr>
          <w:fldChar w:fldCharType="end"/>
        </w:r>
      </w:hyperlink>
    </w:p>
    <w:p w14:paraId="71C930ED" w14:textId="113D7E43" w:rsidR="00CC7652" w:rsidRDefault="00705721">
      <w:pPr>
        <w:pStyle w:val="TableofFigures"/>
        <w:tabs>
          <w:tab w:val="right" w:leader="dot" w:pos="9016"/>
        </w:tabs>
        <w:rPr>
          <w:rFonts w:asciiTheme="minorHAnsi" w:eastAsiaTheme="minorEastAsia" w:hAnsiTheme="minorHAnsi" w:cstheme="minorBidi"/>
          <w:noProof/>
          <w:sz w:val="22"/>
          <w:szCs w:val="22"/>
          <w:lang w:val="en-US"/>
        </w:rPr>
      </w:pPr>
      <w:hyperlink w:anchor="_Toc128136612" w:history="1">
        <w:r w:rsidR="00CC7652" w:rsidRPr="006240E6">
          <w:rPr>
            <w:rStyle w:val="Hyperlink"/>
            <w:noProof/>
          </w:rPr>
          <w:t>Figure 1.6 Scheme of assembly pathway of bacterial complex I</w:t>
        </w:r>
        <w:r w:rsidR="00CC7652">
          <w:rPr>
            <w:noProof/>
            <w:webHidden/>
          </w:rPr>
          <w:tab/>
        </w:r>
        <w:r w:rsidR="00CC7652">
          <w:rPr>
            <w:noProof/>
            <w:webHidden/>
          </w:rPr>
          <w:fldChar w:fldCharType="begin"/>
        </w:r>
        <w:r w:rsidR="00CC7652">
          <w:rPr>
            <w:noProof/>
            <w:webHidden/>
          </w:rPr>
          <w:instrText xml:space="preserve"> PAGEREF _Toc128136612 \h </w:instrText>
        </w:r>
        <w:r w:rsidR="00CC7652">
          <w:rPr>
            <w:noProof/>
            <w:webHidden/>
          </w:rPr>
        </w:r>
        <w:r w:rsidR="00CC7652">
          <w:rPr>
            <w:noProof/>
            <w:webHidden/>
          </w:rPr>
          <w:fldChar w:fldCharType="separate"/>
        </w:r>
        <w:r w:rsidR="00ED1816">
          <w:rPr>
            <w:noProof/>
            <w:webHidden/>
          </w:rPr>
          <w:t>7</w:t>
        </w:r>
        <w:r w:rsidR="00CC7652">
          <w:rPr>
            <w:noProof/>
            <w:webHidden/>
          </w:rPr>
          <w:fldChar w:fldCharType="end"/>
        </w:r>
      </w:hyperlink>
    </w:p>
    <w:p w14:paraId="4E66D701" w14:textId="4609A0BB" w:rsidR="00CC7652" w:rsidRDefault="00705721">
      <w:pPr>
        <w:pStyle w:val="TableofFigures"/>
        <w:tabs>
          <w:tab w:val="right" w:leader="dot" w:pos="9016"/>
        </w:tabs>
        <w:rPr>
          <w:rFonts w:asciiTheme="minorHAnsi" w:eastAsiaTheme="minorEastAsia" w:hAnsiTheme="minorHAnsi" w:cstheme="minorBidi"/>
          <w:noProof/>
          <w:sz w:val="22"/>
          <w:szCs w:val="22"/>
          <w:lang w:val="en-US"/>
        </w:rPr>
      </w:pPr>
      <w:hyperlink w:anchor="_Toc128136613" w:history="1">
        <w:r w:rsidR="00CC7652" w:rsidRPr="006240E6">
          <w:rPr>
            <w:rStyle w:val="Hyperlink"/>
            <w:noProof/>
          </w:rPr>
          <w:t>Figure 1.7 Complex I subunits nomenclature in different organisms</w:t>
        </w:r>
        <w:r w:rsidR="00CC7652">
          <w:rPr>
            <w:noProof/>
            <w:webHidden/>
          </w:rPr>
          <w:tab/>
        </w:r>
        <w:r w:rsidR="00CC7652">
          <w:rPr>
            <w:noProof/>
            <w:webHidden/>
          </w:rPr>
          <w:fldChar w:fldCharType="begin"/>
        </w:r>
        <w:r w:rsidR="00CC7652">
          <w:rPr>
            <w:noProof/>
            <w:webHidden/>
          </w:rPr>
          <w:instrText xml:space="preserve"> PAGEREF _Toc128136613 \h </w:instrText>
        </w:r>
        <w:r w:rsidR="00CC7652">
          <w:rPr>
            <w:noProof/>
            <w:webHidden/>
          </w:rPr>
        </w:r>
        <w:r w:rsidR="00CC7652">
          <w:rPr>
            <w:noProof/>
            <w:webHidden/>
          </w:rPr>
          <w:fldChar w:fldCharType="separate"/>
        </w:r>
        <w:r w:rsidR="00ED1816">
          <w:rPr>
            <w:noProof/>
            <w:webHidden/>
          </w:rPr>
          <w:t>8</w:t>
        </w:r>
        <w:r w:rsidR="00CC7652">
          <w:rPr>
            <w:noProof/>
            <w:webHidden/>
          </w:rPr>
          <w:fldChar w:fldCharType="end"/>
        </w:r>
      </w:hyperlink>
    </w:p>
    <w:p w14:paraId="5A531236" w14:textId="05B77EFB" w:rsidR="00CC7652" w:rsidRDefault="00705721">
      <w:pPr>
        <w:pStyle w:val="TableofFigures"/>
        <w:tabs>
          <w:tab w:val="right" w:leader="dot" w:pos="9016"/>
        </w:tabs>
        <w:rPr>
          <w:rFonts w:asciiTheme="minorHAnsi" w:eastAsiaTheme="minorEastAsia" w:hAnsiTheme="minorHAnsi" w:cstheme="minorBidi"/>
          <w:noProof/>
          <w:sz w:val="22"/>
          <w:szCs w:val="22"/>
          <w:lang w:val="en-US"/>
        </w:rPr>
      </w:pPr>
      <w:hyperlink w:anchor="_Toc128136614" w:history="1">
        <w:r w:rsidR="00CC7652" w:rsidRPr="006240E6">
          <w:rPr>
            <w:rStyle w:val="Hyperlink"/>
            <w:noProof/>
          </w:rPr>
          <w:t>Figure 1.8 Conserved structural elements in complex I family proteins</w:t>
        </w:r>
        <w:r w:rsidR="00CC7652">
          <w:rPr>
            <w:noProof/>
            <w:webHidden/>
          </w:rPr>
          <w:tab/>
        </w:r>
        <w:r w:rsidR="00CC7652">
          <w:rPr>
            <w:noProof/>
            <w:webHidden/>
          </w:rPr>
          <w:fldChar w:fldCharType="begin"/>
        </w:r>
        <w:r w:rsidR="00CC7652">
          <w:rPr>
            <w:noProof/>
            <w:webHidden/>
          </w:rPr>
          <w:instrText xml:space="preserve"> PAGEREF _Toc128136614 \h </w:instrText>
        </w:r>
        <w:r w:rsidR="00CC7652">
          <w:rPr>
            <w:noProof/>
            <w:webHidden/>
          </w:rPr>
        </w:r>
        <w:r w:rsidR="00CC7652">
          <w:rPr>
            <w:noProof/>
            <w:webHidden/>
          </w:rPr>
          <w:fldChar w:fldCharType="separate"/>
        </w:r>
        <w:r w:rsidR="00ED1816">
          <w:rPr>
            <w:noProof/>
            <w:webHidden/>
          </w:rPr>
          <w:t>9</w:t>
        </w:r>
        <w:r w:rsidR="00CC7652">
          <w:rPr>
            <w:noProof/>
            <w:webHidden/>
          </w:rPr>
          <w:fldChar w:fldCharType="end"/>
        </w:r>
      </w:hyperlink>
    </w:p>
    <w:p w14:paraId="3FEE7B15" w14:textId="6BC11EED" w:rsidR="00CC7652" w:rsidRDefault="00705721">
      <w:pPr>
        <w:pStyle w:val="TableofFigures"/>
        <w:tabs>
          <w:tab w:val="right" w:leader="dot" w:pos="9016"/>
        </w:tabs>
        <w:rPr>
          <w:rFonts w:asciiTheme="minorHAnsi" w:eastAsiaTheme="minorEastAsia" w:hAnsiTheme="minorHAnsi" w:cstheme="minorBidi"/>
          <w:noProof/>
          <w:sz w:val="22"/>
          <w:szCs w:val="22"/>
          <w:lang w:val="en-US"/>
        </w:rPr>
      </w:pPr>
      <w:hyperlink w:anchor="_Toc128136615" w:history="1">
        <w:r w:rsidR="00CC7652" w:rsidRPr="006240E6">
          <w:rPr>
            <w:rStyle w:val="Hyperlink"/>
            <w:noProof/>
          </w:rPr>
          <w:t>Figure 1.9 Structure of cyanobacterial NDH with bound Fd.</w:t>
        </w:r>
        <w:r w:rsidR="00CC7652">
          <w:rPr>
            <w:noProof/>
            <w:webHidden/>
          </w:rPr>
          <w:tab/>
        </w:r>
        <w:r w:rsidR="00CC7652">
          <w:rPr>
            <w:noProof/>
            <w:webHidden/>
          </w:rPr>
          <w:fldChar w:fldCharType="begin"/>
        </w:r>
        <w:r w:rsidR="00CC7652">
          <w:rPr>
            <w:noProof/>
            <w:webHidden/>
          </w:rPr>
          <w:instrText xml:space="preserve"> PAGEREF _Toc128136615 \h </w:instrText>
        </w:r>
        <w:r w:rsidR="00CC7652">
          <w:rPr>
            <w:noProof/>
            <w:webHidden/>
          </w:rPr>
        </w:r>
        <w:r w:rsidR="00CC7652">
          <w:rPr>
            <w:noProof/>
            <w:webHidden/>
          </w:rPr>
          <w:fldChar w:fldCharType="separate"/>
        </w:r>
        <w:r w:rsidR="00ED1816">
          <w:rPr>
            <w:noProof/>
            <w:webHidden/>
          </w:rPr>
          <w:t>10</w:t>
        </w:r>
        <w:r w:rsidR="00CC7652">
          <w:rPr>
            <w:noProof/>
            <w:webHidden/>
          </w:rPr>
          <w:fldChar w:fldCharType="end"/>
        </w:r>
      </w:hyperlink>
    </w:p>
    <w:p w14:paraId="3AF4A9D3" w14:textId="3C877B35" w:rsidR="00CC7652" w:rsidRDefault="00705721">
      <w:pPr>
        <w:pStyle w:val="TableofFigures"/>
        <w:tabs>
          <w:tab w:val="right" w:leader="dot" w:pos="9016"/>
        </w:tabs>
        <w:rPr>
          <w:rFonts w:asciiTheme="minorHAnsi" w:eastAsiaTheme="minorEastAsia" w:hAnsiTheme="minorHAnsi" w:cstheme="minorBidi"/>
          <w:noProof/>
          <w:sz w:val="22"/>
          <w:szCs w:val="22"/>
          <w:lang w:val="en-US"/>
        </w:rPr>
      </w:pPr>
      <w:hyperlink w:anchor="_Toc128136616" w:history="1">
        <w:r w:rsidR="00CC7652" w:rsidRPr="006240E6">
          <w:rPr>
            <w:rStyle w:val="Hyperlink"/>
            <w:noProof/>
          </w:rPr>
          <w:t>Figure 1.10 Conformational dynamics of open-to-closed transitions in mammalian complex I</w:t>
        </w:r>
        <w:r w:rsidR="00CC7652">
          <w:rPr>
            <w:noProof/>
            <w:webHidden/>
          </w:rPr>
          <w:tab/>
        </w:r>
        <w:r w:rsidR="00CC7652">
          <w:rPr>
            <w:noProof/>
            <w:webHidden/>
          </w:rPr>
          <w:fldChar w:fldCharType="begin"/>
        </w:r>
        <w:r w:rsidR="00CC7652">
          <w:rPr>
            <w:noProof/>
            <w:webHidden/>
          </w:rPr>
          <w:instrText xml:space="preserve"> PAGEREF _Toc128136616 \h </w:instrText>
        </w:r>
        <w:r w:rsidR="00CC7652">
          <w:rPr>
            <w:noProof/>
            <w:webHidden/>
          </w:rPr>
        </w:r>
        <w:r w:rsidR="00CC7652">
          <w:rPr>
            <w:noProof/>
            <w:webHidden/>
          </w:rPr>
          <w:fldChar w:fldCharType="separate"/>
        </w:r>
        <w:r w:rsidR="00ED1816">
          <w:rPr>
            <w:noProof/>
            <w:webHidden/>
          </w:rPr>
          <w:t>12</w:t>
        </w:r>
        <w:r w:rsidR="00CC7652">
          <w:rPr>
            <w:noProof/>
            <w:webHidden/>
          </w:rPr>
          <w:fldChar w:fldCharType="end"/>
        </w:r>
      </w:hyperlink>
    </w:p>
    <w:p w14:paraId="5723CB48" w14:textId="570052A2" w:rsidR="00CC7652" w:rsidRDefault="00705721">
      <w:pPr>
        <w:pStyle w:val="TableofFigures"/>
        <w:tabs>
          <w:tab w:val="right" w:leader="dot" w:pos="9016"/>
        </w:tabs>
        <w:rPr>
          <w:rFonts w:asciiTheme="minorHAnsi" w:eastAsiaTheme="minorEastAsia" w:hAnsiTheme="minorHAnsi" w:cstheme="minorBidi"/>
          <w:noProof/>
          <w:sz w:val="22"/>
          <w:szCs w:val="22"/>
          <w:lang w:val="en-US"/>
        </w:rPr>
      </w:pPr>
      <w:hyperlink w:anchor="_Toc128136617" w:history="1">
        <w:r w:rsidR="00CC7652" w:rsidRPr="006240E6">
          <w:rPr>
            <w:rStyle w:val="Hyperlink"/>
            <w:noProof/>
          </w:rPr>
          <w:t>Figure 1.11 Schematic representation of the coupling mechanism proposed by (Kampjut &amp; Sazanov, 2020)</w:t>
        </w:r>
        <w:r w:rsidR="00CC7652">
          <w:rPr>
            <w:noProof/>
            <w:webHidden/>
          </w:rPr>
          <w:tab/>
        </w:r>
        <w:r w:rsidR="00CC7652">
          <w:rPr>
            <w:noProof/>
            <w:webHidden/>
          </w:rPr>
          <w:fldChar w:fldCharType="begin"/>
        </w:r>
        <w:r w:rsidR="00CC7652">
          <w:rPr>
            <w:noProof/>
            <w:webHidden/>
          </w:rPr>
          <w:instrText xml:space="preserve"> PAGEREF _Toc128136617 \h </w:instrText>
        </w:r>
        <w:r w:rsidR="00CC7652">
          <w:rPr>
            <w:noProof/>
            <w:webHidden/>
          </w:rPr>
        </w:r>
        <w:r w:rsidR="00CC7652">
          <w:rPr>
            <w:noProof/>
            <w:webHidden/>
          </w:rPr>
          <w:fldChar w:fldCharType="separate"/>
        </w:r>
        <w:r w:rsidR="00ED1816">
          <w:rPr>
            <w:noProof/>
            <w:webHidden/>
          </w:rPr>
          <w:t>14</w:t>
        </w:r>
        <w:r w:rsidR="00CC7652">
          <w:rPr>
            <w:noProof/>
            <w:webHidden/>
          </w:rPr>
          <w:fldChar w:fldCharType="end"/>
        </w:r>
      </w:hyperlink>
    </w:p>
    <w:p w14:paraId="133A7BE0" w14:textId="36DA7B32" w:rsidR="00CC7652" w:rsidRDefault="00705721">
      <w:pPr>
        <w:pStyle w:val="TableofFigures"/>
        <w:tabs>
          <w:tab w:val="right" w:leader="dot" w:pos="9016"/>
        </w:tabs>
        <w:rPr>
          <w:rFonts w:asciiTheme="minorHAnsi" w:eastAsiaTheme="minorEastAsia" w:hAnsiTheme="minorHAnsi" w:cstheme="minorBidi"/>
          <w:noProof/>
          <w:sz w:val="22"/>
          <w:szCs w:val="22"/>
          <w:lang w:val="en-US"/>
        </w:rPr>
      </w:pPr>
      <w:hyperlink w:anchor="_Toc128136618" w:history="1">
        <w:r w:rsidR="00CC7652" w:rsidRPr="006240E6">
          <w:rPr>
            <w:rStyle w:val="Hyperlink"/>
            <w:noProof/>
          </w:rPr>
          <w:t>Figure 2.1 Processing scheme of DDM_APO dataset</w:t>
        </w:r>
        <w:r w:rsidR="00CC7652">
          <w:rPr>
            <w:noProof/>
            <w:webHidden/>
          </w:rPr>
          <w:tab/>
        </w:r>
        <w:r w:rsidR="00CC7652">
          <w:rPr>
            <w:noProof/>
            <w:webHidden/>
          </w:rPr>
          <w:fldChar w:fldCharType="begin"/>
        </w:r>
        <w:r w:rsidR="00CC7652">
          <w:rPr>
            <w:noProof/>
            <w:webHidden/>
          </w:rPr>
          <w:instrText xml:space="preserve"> PAGEREF _Toc128136618 \h </w:instrText>
        </w:r>
        <w:r w:rsidR="00CC7652">
          <w:rPr>
            <w:noProof/>
            <w:webHidden/>
          </w:rPr>
        </w:r>
        <w:r w:rsidR="00CC7652">
          <w:rPr>
            <w:noProof/>
            <w:webHidden/>
          </w:rPr>
          <w:fldChar w:fldCharType="separate"/>
        </w:r>
        <w:r w:rsidR="00ED1816">
          <w:rPr>
            <w:noProof/>
            <w:webHidden/>
          </w:rPr>
          <w:t>21</w:t>
        </w:r>
        <w:r w:rsidR="00CC7652">
          <w:rPr>
            <w:noProof/>
            <w:webHidden/>
          </w:rPr>
          <w:fldChar w:fldCharType="end"/>
        </w:r>
      </w:hyperlink>
    </w:p>
    <w:p w14:paraId="45AEF75F" w14:textId="1687A952" w:rsidR="00CC7652" w:rsidRDefault="00705721">
      <w:pPr>
        <w:pStyle w:val="TableofFigures"/>
        <w:tabs>
          <w:tab w:val="right" w:leader="dot" w:pos="9016"/>
        </w:tabs>
        <w:rPr>
          <w:rFonts w:asciiTheme="minorHAnsi" w:eastAsiaTheme="minorEastAsia" w:hAnsiTheme="minorHAnsi" w:cstheme="minorBidi"/>
          <w:noProof/>
          <w:sz w:val="22"/>
          <w:szCs w:val="22"/>
          <w:lang w:val="en-US"/>
        </w:rPr>
      </w:pPr>
      <w:hyperlink w:anchor="_Toc128136619" w:history="1">
        <w:r w:rsidR="00CC7652" w:rsidRPr="006240E6">
          <w:rPr>
            <w:rStyle w:val="Hyperlink"/>
            <w:noProof/>
          </w:rPr>
          <w:t>Figure 2.2 Processing scheme of DDM_NADH dataset</w:t>
        </w:r>
        <w:r w:rsidR="00CC7652">
          <w:rPr>
            <w:noProof/>
            <w:webHidden/>
          </w:rPr>
          <w:tab/>
        </w:r>
        <w:r w:rsidR="00CC7652">
          <w:rPr>
            <w:noProof/>
            <w:webHidden/>
          </w:rPr>
          <w:fldChar w:fldCharType="begin"/>
        </w:r>
        <w:r w:rsidR="00CC7652">
          <w:rPr>
            <w:noProof/>
            <w:webHidden/>
          </w:rPr>
          <w:instrText xml:space="preserve"> PAGEREF _Toc128136619 \h </w:instrText>
        </w:r>
        <w:r w:rsidR="00CC7652">
          <w:rPr>
            <w:noProof/>
            <w:webHidden/>
          </w:rPr>
        </w:r>
        <w:r w:rsidR="00CC7652">
          <w:rPr>
            <w:noProof/>
            <w:webHidden/>
          </w:rPr>
          <w:fldChar w:fldCharType="separate"/>
        </w:r>
        <w:r w:rsidR="00ED1816">
          <w:rPr>
            <w:noProof/>
            <w:webHidden/>
          </w:rPr>
          <w:t>23</w:t>
        </w:r>
        <w:r w:rsidR="00CC7652">
          <w:rPr>
            <w:noProof/>
            <w:webHidden/>
          </w:rPr>
          <w:fldChar w:fldCharType="end"/>
        </w:r>
      </w:hyperlink>
    </w:p>
    <w:p w14:paraId="6454DDC9" w14:textId="16CB2A58" w:rsidR="00CC7652" w:rsidRDefault="00705721">
      <w:pPr>
        <w:pStyle w:val="TableofFigures"/>
        <w:tabs>
          <w:tab w:val="right" w:leader="dot" w:pos="9016"/>
        </w:tabs>
        <w:rPr>
          <w:rFonts w:asciiTheme="minorHAnsi" w:eastAsiaTheme="minorEastAsia" w:hAnsiTheme="minorHAnsi" w:cstheme="minorBidi"/>
          <w:noProof/>
          <w:sz w:val="22"/>
          <w:szCs w:val="22"/>
          <w:lang w:val="en-US"/>
        </w:rPr>
      </w:pPr>
      <w:hyperlink w:anchor="_Toc128136620" w:history="1">
        <w:r w:rsidR="00CC7652" w:rsidRPr="006240E6">
          <w:rPr>
            <w:rStyle w:val="Hyperlink"/>
            <w:noProof/>
          </w:rPr>
          <w:t>Figure 2.3 Processing scheme of DDM/LMNG_Turnover_pH6 dataset</w:t>
        </w:r>
        <w:r w:rsidR="00CC7652">
          <w:rPr>
            <w:noProof/>
            <w:webHidden/>
          </w:rPr>
          <w:tab/>
        </w:r>
        <w:r w:rsidR="00CC7652">
          <w:rPr>
            <w:noProof/>
            <w:webHidden/>
          </w:rPr>
          <w:fldChar w:fldCharType="begin"/>
        </w:r>
        <w:r w:rsidR="00CC7652">
          <w:rPr>
            <w:noProof/>
            <w:webHidden/>
          </w:rPr>
          <w:instrText xml:space="preserve"> PAGEREF _Toc128136620 \h </w:instrText>
        </w:r>
        <w:r w:rsidR="00CC7652">
          <w:rPr>
            <w:noProof/>
            <w:webHidden/>
          </w:rPr>
        </w:r>
        <w:r w:rsidR="00CC7652">
          <w:rPr>
            <w:noProof/>
            <w:webHidden/>
          </w:rPr>
          <w:fldChar w:fldCharType="separate"/>
        </w:r>
        <w:r w:rsidR="00ED1816">
          <w:rPr>
            <w:noProof/>
            <w:webHidden/>
          </w:rPr>
          <w:t>25</w:t>
        </w:r>
        <w:r w:rsidR="00CC7652">
          <w:rPr>
            <w:noProof/>
            <w:webHidden/>
          </w:rPr>
          <w:fldChar w:fldCharType="end"/>
        </w:r>
      </w:hyperlink>
    </w:p>
    <w:p w14:paraId="26CD65E7" w14:textId="082730C6" w:rsidR="00CC7652" w:rsidRDefault="00705721">
      <w:pPr>
        <w:pStyle w:val="TableofFigures"/>
        <w:tabs>
          <w:tab w:val="right" w:leader="dot" w:pos="9016"/>
        </w:tabs>
        <w:rPr>
          <w:rFonts w:asciiTheme="minorHAnsi" w:eastAsiaTheme="minorEastAsia" w:hAnsiTheme="minorHAnsi" w:cstheme="minorBidi"/>
          <w:noProof/>
          <w:sz w:val="22"/>
          <w:szCs w:val="22"/>
          <w:lang w:val="en-US"/>
        </w:rPr>
      </w:pPr>
      <w:hyperlink w:anchor="_Toc128136621" w:history="1">
        <w:r w:rsidR="00CC7652" w:rsidRPr="006240E6">
          <w:rPr>
            <w:rStyle w:val="Hyperlink"/>
            <w:noProof/>
          </w:rPr>
          <w:t>Figure 2.4 Processing scheme of DDM/LMNG_APO dataset</w:t>
        </w:r>
        <w:r w:rsidR="00CC7652">
          <w:rPr>
            <w:noProof/>
            <w:webHidden/>
          </w:rPr>
          <w:tab/>
        </w:r>
        <w:r w:rsidR="00CC7652">
          <w:rPr>
            <w:noProof/>
            <w:webHidden/>
          </w:rPr>
          <w:fldChar w:fldCharType="begin"/>
        </w:r>
        <w:r w:rsidR="00CC7652">
          <w:rPr>
            <w:noProof/>
            <w:webHidden/>
          </w:rPr>
          <w:instrText xml:space="preserve"> PAGEREF _Toc128136621 \h </w:instrText>
        </w:r>
        <w:r w:rsidR="00CC7652">
          <w:rPr>
            <w:noProof/>
            <w:webHidden/>
          </w:rPr>
        </w:r>
        <w:r w:rsidR="00CC7652">
          <w:rPr>
            <w:noProof/>
            <w:webHidden/>
          </w:rPr>
          <w:fldChar w:fldCharType="separate"/>
        </w:r>
        <w:r w:rsidR="00ED1816">
          <w:rPr>
            <w:noProof/>
            <w:webHidden/>
          </w:rPr>
          <w:t>27</w:t>
        </w:r>
        <w:r w:rsidR="00CC7652">
          <w:rPr>
            <w:noProof/>
            <w:webHidden/>
          </w:rPr>
          <w:fldChar w:fldCharType="end"/>
        </w:r>
      </w:hyperlink>
    </w:p>
    <w:p w14:paraId="30CB0864" w14:textId="6AB84477" w:rsidR="00CC7652" w:rsidRDefault="00705721">
      <w:pPr>
        <w:pStyle w:val="TableofFigures"/>
        <w:tabs>
          <w:tab w:val="right" w:leader="dot" w:pos="9016"/>
        </w:tabs>
        <w:rPr>
          <w:rFonts w:asciiTheme="minorHAnsi" w:eastAsiaTheme="minorEastAsia" w:hAnsiTheme="minorHAnsi" w:cstheme="minorBidi"/>
          <w:noProof/>
          <w:sz w:val="22"/>
          <w:szCs w:val="22"/>
          <w:lang w:val="en-US"/>
        </w:rPr>
      </w:pPr>
      <w:hyperlink w:anchor="_Toc128136622" w:history="1">
        <w:r w:rsidR="00CC7652" w:rsidRPr="006240E6">
          <w:rPr>
            <w:rStyle w:val="Hyperlink"/>
            <w:noProof/>
          </w:rPr>
          <w:t>Figure 2.5 Processing scheme of DDM/LMNG_PieA dataset</w:t>
        </w:r>
        <w:r w:rsidR="00CC7652">
          <w:rPr>
            <w:noProof/>
            <w:webHidden/>
          </w:rPr>
          <w:tab/>
        </w:r>
        <w:r w:rsidR="00CC7652">
          <w:rPr>
            <w:noProof/>
            <w:webHidden/>
          </w:rPr>
          <w:fldChar w:fldCharType="begin"/>
        </w:r>
        <w:r w:rsidR="00CC7652">
          <w:rPr>
            <w:noProof/>
            <w:webHidden/>
          </w:rPr>
          <w:instrText xml:space="preserve"> PAGEREF _Toc128136622 \h </w:instrText>
        </w:r>
        <w:r w:rsidR="00CC7652">
          <w:rPr>
            <w:noProof/>
            <w:webHidden/>
          </w:rPr>
        </w:r>
        <w:r w:rsidR="00CC7652">
          <w:rPr>
            <w:noProof/>
            <w:webHidden/>
          </w:rPr>
          <w:fldChar w:fldCharType="separate"/>
        </w:r>
        <w:r w:rsidR="00ED1816">
          <w:rPr>
            <w:noProof/>
            <w:webHidden/>
          </w:rPr>
          <w:t>28</w:t>
        </w:r>
        <w:r w:rsidR="00CC7652">
          <w:rPr>
            <w:noProof/>
            <w:webHidden/>
          </w:rPr>
          <w:fldChar w:fldCharType="end"/>
        </w:r>
      </w:hyperlink>
    </w:p>
    <w:p w14:paraId="780DA404" w14:textId="183DCB1B" w:rsidR="00CC7652" w:rsidRDefault="00705721">
      <w:pPr>
        <w:pStyle w:val="TableofFigures"/>
        <w:tabs>
          <w:tab w:val="right" w:leader="dot" w:pos="9016"/>
        </w:tabs>
        <w:rPr>
          <w:rFonts w:asciiTheme="minorHAnsi" w:eastAsiaTheme="minorEastAsia" w:hAnsiTheme="minorHAnsi" w:cstheme="minorBidi"/>
          <w:noProof/>
          <w:sz w:val="22"/>
          <w:szCs w:val="22"/>
          <w:lang w:val="en-US"/>
        </w:rPr>
      </w:pPr>
      <w:hyperlink w:anchor="_Toc128136623" w:history="1">
        <w:r w:rsidR="00CC7652" w:rsidRPr="006240E6">
          <w:rPr>
            <w:rStyle w:val="Hyperlink"/>
            <w:noProof/>
          </w:rPr>
          <w:t>Figure 2.6 Processing scheme of DDM/LMNG_NADH+FMN dataset</w:t>
        </w:r>
        <w:r w:rsidR="00CC7652">
          <w:rPr>
            <w:noProof/>
            <w:webHidden/>
          </w:rPr>
          <w:tab/>
        </w:r>
        <w:r w:rsidR="00CC7652">
          <w:rPr>
            <w:noProof/>
            <w:webHidden/>
          </w:rPr>
          <w:fldChar w:fldCharType="begin"/>
        </w:r>
        <w:r w:rsidR="00CC7652">
          <w:rPr>
            <w:noProof/>
            <w:webHidden/>
          </w:rPr>
          <w:instrText xml:space="preserve"> PAGEREF _Toc128136623 \h </w:instrText>
        </w:r>
        <w:r w:rsidR="00CC7652">
          <w:rPr>
            <w:noProof/>
            <w:webHidden/>
          </w:rPr>
        </w:r>
        <w:r w:rsidR="00CC7652">
          <w:rPr>
            <w:noProof/>
            <w:webHidden/>
          </w:rPr>
          <w:fldChar w:fldCharType="separate"/>
        </w:r>
        <w:r w:rsidR="00ED1816">
          <w:rPr>
            <w:noProof/>
            <w:webHidden/>
          </w:rPr>
          <w:t>29</w:t>
        </w:r>
        <w:r w:rsidR="00CC7652">
          <w:rPr>
            <w:noProof/>
            <w:webHidden/>
          </w:rPr>
          <w:fldChar w:fldCharType="end"/>
        </w:r>
      </w:hyperlink>
    </w:p>
    <w:p w14:paraId="3E5A166E" w14:textId="0912C662" w:rsidR="00CC7652" w:rsidRDefault="00705721">
      <w:pPr>
        <w:pStyle w:val="TableofFigures"/>
        <w:tabs>
          <w:tab w:val="right" w:leader="dot" w:pos="9016"/>
        </w:tabs>
        <w:rPr>
          <w:rFonts w:asciiTheme="minorHAnsi" w:eastAsiaTheme="minorEastAsia" w:hAnsiTheme="minorHAnsi" w:cstheme="minorBidi"/>
          <w:noProof/>
          <w:sz w:val="22"/>
          <w:szCs w:val="22"/>
          <w:lang w:val="en-US"/>
        </w:rPr>
      </w:pPr>
      <w:hyperlink w:anchor="_Toc128136624" w:history="1">
        <w:r w:rsidR="00CC7652" w:rsidRPr="006240E6">
          <w:rPr>
            <w:rStyle w:val="Hyperlink"/>
            <w:noProof/>
          </w:rPr>
          <w:t>Figure 2.7 Processing scheme of DDM/LMNG_DQ dataset</w:t>
        </w:r>
        <w:r w:rsidR="00CC7652">
          <w:rPr>
            <w:noProof/>
            <w:webHidden/>
          </w:rPr>
          <w:tab/>
        </w:r>
        <w:r w:rsidR="00CC7652">
          <w:rPr>
            <w:noProof/>
            <w:webHidden/>
          </w:rPr>
          <w:fldChar w:fldCharType="begin"/>
        </w:r>
        <w:r w:rsidR="00CC7652">
          <w:rPr>
            <w:noProof/>
            <w:webHidden/>
          </w:rPr>
          <w:instrText xml:space="preserve"> PAGEREF _Toc128136624 \h </w:instrText>
        </w:r>
        <w:r w:rsidR="00CC7652">
          <w:rPr>
            <w:noProof/>
            <w:webHidden/>
          </w:rPr>
        </w:r>
        <w:r w:rsidR="00CC7652">
          <w:rPr>
            <w:noProof/>
            <w:webHidden/>
          </w:rPr>
          <w:fldChar w:fldCharType="separate"/>
        </w:r>
        <w:r w:rsidR="00ED1816">
          <w:rPr>
            <w:noProof/>
            <w:webHidden/>
          </w:rPr>
          <w:t>31</w:t>
        </w:r>
        <w:r w:rsidR="00CC7652">
          <w:rPr>
            <w:noProof/>
            <w:webHidden/>
          </w:rPr>
          <w:fldChar w:fldCharType="end"/>
        </w:r>
      </w:hyperlink>
    </w:p>
    <w:p w14:paraId="211B3FDF" w14:textId="3D691DDD" w:rsidR="00CC7652" w:rsidRDefault="00705721">
      <w:pPr>
        <w:pStyle w:val="TableofFigures"/>
        <w:tabs>
          <w:tab w:val="right" w:leader="dot" w:pos="9016"/>
        </w:tabs>
        <w:rPr>
          <w:rFonts w:asciiTheme="minorHAnsi" w:eastAsiaTheme="minorEastAsia" w:hAnsiTheme="minorHAnsi" w:cstheme="minorBidi"/>
          <w:noProof/>
          <w:sz w:val="22"/>
          <w:szCs w:val="22"/>
          <w:lang w:val="en-US"/>
        </w:rPr>
      </w:pPr>
      <w:hyperlink w:anchor="_Toc128136625" w:history="1">
        <w:r w:rsidR="00CC7652" w:rsidRPr="006240E6">
          <w:rPr>
            <w:rStyle w:val="Hyperlink"/>
            <w:noProof/>
          </w:rPr>
          <w:t>Figure 2.8 Processing scheme of DDM/LMNG_Turnover_pH8 dataset</w:t>
        </w:r>
        <w:r w:rsidR="00CC7652">
          <w:rPr>
            <w:noProof/>
            <w:webHidden/>
          </w:rPr>
          <w:tab/>
        </w:r>
        <w:r w:rsidR="00CC7652">
          <w:rPr>
            <w:noProof/>
            <w:webHidden/>
          </w:rPr>
          <w:fldChar w:fldCharType="begin"/>
        </w:r>
        <w:r w:rsidR="00CC7652">
          <w:rPr>
            <w:noProof/>
            <w:webHidden/>
          </w:rPr>
          <w:instrText xml:space="preserve"> PAGEREF _Toc128136625 \h </w:instrText>
        </w:r>
        <w:r w:rsidR="00CC7652">
          <w:rPr>
            <w:noProof/>
            <w:webHidden/>
          </w:rPr>
        </w:r>
        <w:r w:rsidR="00CC7652">
          <w:rPr>
            <w:noProof/>
            <w:webHidden/>
          </w:rPr>
          <w:fldChar w:fldCharType="separate"/>
        </w:r>
        <w:r w:rsidR="00ED1816">
          <w:rPr>
            <w:noProof/>
            <w:webHidden/>
          </w:rPr>
          <w:t>32</w:t>
        </w:r>
        <w:r w:rsidR="00CC7652">
          <w:rPr>
            <w:noProof/>
            <w:webHidden/>
          </w:rPr>
          <w:fldChar w:fldCharType="end"/>
        </w:r>
      </w:hyperlink>
    </w:p>
    <w:p w14:paraId="2D6E138C" w14:textId="44852347" w:rsidR="00CC7652" w:rsidRDefault="00705721">
      <w:pPr>
        <w:pStyle w:val="TableofFigures"/>
        <w:tabs>
          <w:tab w:val="right" w:leader="dot" w:pos="9016"/>
        </w:tabs>
        <w:rPr>
          <w:rFonts w:asciiTheme="minorHAnsi" w:eastAsiaTheme="minorEastAsia" w:hAnsiTheme="minorHAnsi" w:cstheme="minorBidi"/>
          <w:noProof/>
          <w:sz w:val="22"/>
          <w:szCs w:val="22"/>
          <w:lang w:val="en-US"/>
        </w:rPr>
      </w:pPr>
      <w:hyperlink w:anchor="_Toc128136626" w:history="1">
        <w:r w:rsidR="00CC7652" w:rsidRPr="006240E6">
          <w:rPr>
            <w:rStyle w:val="Hyperlink"/>
            <w:noProof/>
          </w:rPr>
          <w:t>Figure 2.9 Processing scheme of LMNG_APO dataset</w:t>
        </w:r>
        <w:r w:rsidR="00CC7652">
          <w:rPr>
            <w:noProof/>
            <w:webHidden/>
          </w:rPr>
          <w:tab/>
        </w:r>
        <w:r w:rsidR="00CC7652">
          <w:rPr>
            <w:noProof/>
            <w:webHidden/>
          </w:rPr>
          <w:fldChar w:fldCharType="begin"/>
        </w:r>
        <w:r w:rsidR="00CC7652">
          <w:rPr>
            <w:noProof/>
            <w:webHidden/>
          </w:rPr>
          <w:instrText xml:space="preserve"> PAGEREF _Toc128136626 \h </w:instrText>
        </w:r>
        <w:r w:rsidR="00CC7652">
          <w:rPr>
            <w:noProof/>
            <w:webHidden/>
          </w:rPr>
        </w:r>
        <w:r w:rsidR="00CC7652">
          <w:rPr>
            <w:noProof/>
            <w:webHidden/>
          </w:rPr>
          <w:fldChar w:fldCharType="separate"/>
        </w:r>
        <w:r w:rsidR="00ED1816">
          <w:rPr>
            <w:noProof/>
            <w:webHidden/>
          </w:rPr>
          <w:t>33</w:t>
        </w:r>
        <w:r w:rsidR="00CC7652">
          <w:rPr>
            <w:noProof/>
            <w:webHidden/>
          </w:rPr>
          <w:fldChar w:fldCharType="end"/>
        </w:r>
      </w:hyperlink>
    </w:p>
    <w:p w14:paraId="72F0AAE9" w14:textId="22D78552" w:rsidR="00CC7652" w:rsidRDefault="00705721">
      <w:pPr>
        <w:pStyle w:val="TableofFigures"/>
        <w:tabs>
          <w:tab w:val="right" w:leader="dot" w:pos="9016"/>
        </w:tabs>
        <w:rPr>
          <w:rFonts w:asciiTheme="minorHAnsi" w:eastAsiaTheme="minorEastAsia" w:hAnsiTheme="minorHAnsi" w:cstheme="minorBidi"/>
          <w:noProof/>
          <w:sz w:val="22"/>
          <w:szCs w:val="22"/>
          <w:lang w:val="en-US"/>
        </w:rPr>
      </w:pPr>
      <w:hyperlink w:anchor="_Toc128136627" w:history="1">
        <w:r w:rsidR="00CC7652" w:rsidRPr="006240E6">
          <w:rPr>
            <w:rStyle w:val="Hyperlink"/>
            <w:noProof/>
          </w:rPr>
          <w:t>Figure 2.10 Processing scheme of LMNG_Turnover dataset</w:t>
        </w:r>
        <w:r w:rsidR="00CC7652">
          <w:rPr>
            <w:noProof/>
            <w:webHidden/>
          </w:rPr>
          <w:tab/>
        </w:r>
        <w:r w:rsidR="00CC7652">
          <w:rPr>
            <w:noProof/>
            <w:webHidden/>
          </w:rPr>
          <w:fldChar w:fldCharType="begin"/>
        </w:r>
        <w:r w:rsidR="00CC7652">
          <w:rPr>
            <w:noProof/>
            <w:webHidden/>
          </w:rPr>
          <w:instrText xml:space="preserve"> PAGEREF _Toc128136627 \h </w:instrText>
        </w:r>
        <w:r w:rsidR="00CC7652">
          <w:rPr>
            <w:noProof/>
            <w:webHidden/>
          </w:rPr>
        </w:r>
        <w:r w:rsidR="00CC7652">
          <w:rPr>
            <w:noProof/>
            <w:webHidden/>
          </w:rPr>
          <w:fldChar w:fldCharType="separate"/>
        </w:r>
        <w:r w:rsidR="00ED1816">
          <w:rPr>
            <w:noProof/>
            <w:webHidden/>
          </w:rPr>
          <w:t>35</w:t>
        </w:r>
        <w:r w:rsidR="00CC7652">
          <w:rPr>
            <w:noProof/>
            <w:webHidden/>
          </w:rPr>
          <w:fldChar w:fldCharType="end"/>
        </w:r>
      </w:hyperlink>
    </w:p>
    <w:p w14:paraId="15D9B0AC" w14:textId="5DD084F9" w:rsidR="00CC7652" w:rsidRDefault="00705721">
      <w:pPr>
        <w:pStyle w:val="TableofFigures"/>
        <w:tabs>
          <w:tab w:val="right" w:leader="dot" w:pos="9016"/>
        </w:tabs>
        <w:rPr>
          <w:rFonts w:asciiTheme="minorHAnsi" w:eastAsiaTheme="minorEastAsia" w:hAnsiTheme="minorHAnsi" w:cstheme="minorBidi"/>
          <w:noProof/>
          <w:sz w:val="22"/>
          <w:szCs w:val="22"/>
          <w:lang w:val="en-US"/>
        </w:rPr>
      </w:pPr>
      <w:hyperlink w:anchor="_Toc128136628" w:history="1">
        <w:r w:rsidR="00CC7652" w:rsidRPr="006240E6">
          <w:rPr>
            <w:rStyle w:val="Hyperlink"/>
            <w:noProof/>
          </w:rPr>
          <w:t>Figure 2.11 NDH Processing</w:t>
        </w:r>
        <w:r w:rsidR="00CC7652">
          <w:rPr>
            <w:noProof/>
            <w:webHidden/>
          </w:rPr>
          <w:tab/>
        </w:r>
        <w:r w:rsidR="00CC7652">
          <w:rPr>
            <w:noProof/>
            <w:webHidden/>
          </w:rPr>
          <w:fldChar w:fldCharType="begin"/>
        </w:r>
        <w:r w:rsidR="00CC7652">
          <w:rPr>
            <w:noProof/>
            <w:webHidden/>
          </w:rPr>
          <w:instrText xml:space="preserve"> PAGEREF _Toc128136628 \h </w:instrText>
        </w:r>
        <w:r w:rsidR="00CC7652">
          <w:rPr>
            <w:noProof/>
            <w:webHidden/>
          </w:rPr>
        </w:r>
        <w:r w:rsidR="00CC7652">
          <w:rPr>
            <w:noProof/>
            <w:webHidden/>
          </w:rPr>
          <w:fldChar w:fldCharType="separate"/>
        </w:r>
        <w:r w:rsidR="00ED1816">
          <w:rPr>
            <w:noProof/>
            <w:webHidden/>
          </w:rPr>
          <w:t>36</w:t>
        </w:r>
        <w:r w:rsidR="00CC7652">
          <w:rPr>
            <w:noProof/>
            <w:webHidden/>
          </w:rPr>
          <w:fldChar w:fldCharType="end"/>
        </w:r>
      </w:hyperlink>
    </w:p>
    <w:p w14:paraId="5B5B6C0F" w14:textId="09C0E159" w:rsidR="00CC7652" w:rsidRDefault="00705721">
      <w:pPr>
        <w:pStyle w:val="TableofFigures"/>
        <w:tabs>
          <w:tab w:val="right" w:leader="dot" w:pos="9016"/>
        </w:tabs>
        <w:rPr>
          <w:rFonts w:asciiTheme="minorHAnsi" w:eastAsiaTheme="minorEastAsia" w:hAnsiTheme="minorHAnsi" w:cstheme="minorBidi"/>
          <w:noProof/>
          <w:sz w:val="22"/>
          <w:szCs w:val="22"/>
          <w:lang w:val="en-US"/>
        </w:rPr>
      </w:pPr>
      <w:hyperlink w:anchor="_Toc128136629" w:history="1">
        <w:r w:rsidR="00CC7652" w:rsidRPr="006240E6">
          <w:rPr>
            <w:rStyle w:val="Hyperlink"/>
            <w:noProof/>
          </w:rPr>
          <w:t>Figure 3.1 The overall structure of the E. coli complex I in different states</w:t>
        </w:r>
        <w:r w:rsidR="00CC7652">
          <w:rPr>
            <w:noProof/>
            <w:webHidden/>
          </w:rPr>
          <w:tab/>
        </w:r>
        <w:r w:rsidR="00CC7652">
          <w:rPr>
            <w:noProof/>
            <w:webHidden/>
          </w:rPr>
          <w:fldChar w:fldCharType="begin"/>
        </w:r>
        <w:r w:rsidR="00CC7652">
          <w:rPr>
            <w:noProof/>
            <w:webHidden/>
          </w:rPr>
          <w:instrText xml:space="preserve"> PAGEREF _Toc128136629 \h </w:instrText>
        </w:r>
        <w:r w:rsidR="00CC7652">
          <w:rPr>
            <w:noProof/>
            <w:webHidden/>
          </w:rPr>
        </w:r>
        <w:r w:rsidR="00CC7652">
          <w:rPr>
            <w:noProof/>
            <w:webHidden/>
          </w:rPr>
          <w:fldChar w:fldCharType="separate"/>
        </w:r>
        <w:r w:rsidR="00ED1816">
          <w:rPr>
            <w:noProof/>
            <w:webHidden/>
          </w:rPr>
          <w:t>39</w:t>
        </w:r>
        <w:r w:rsidR="00CC7652">
          <w:rPr>
            <w:noProof/>
            <w:webHidden/>
          </w:rPr>
          <w:fldChar w:fldCharType="end"/>
        </w:r>
      </w:hyperlink>
    </w:p>
    <w:p w14:paraId="5D4D506B" w14:textId="3DBB8DED" w:rsidR="00CC7652" w:rsidRDefault="00705721">
      <w:pPr>
        <w:pStyle w:val="TableofFigures"/>
        <w:tabs>
          <w:tab w:val="right" w:leader="dot" w:pos="9016"/>
        </w:tabs>
        <w:rPr>
          <w:rFonts w:asciiTheme="minorHAnsi" w:eastAsiaTheme="minorEastAsia" w:hAnsiTheme="minorHAnsi" w:cstheme="minorBidi"/>
          <w:noProof/>
          <w:sz w:val="22"/>
          <w:szCs w:val="22"/>
          <w:lang w:val="en-US"/>
        </w:rPr>
      </w:pPr>
      <w:hyperlink w:anchor="_Toc128136630" w:history="1">
        <w:r w:rsidR="00CC7652" w:rsidRPr="006240E6">
          <w:rPr>
            <w:rStyle w:val="Hyperlink"/>
            <w:noProof/>
          </w:rPr>
          <w:t>Figure 3.2 Features of the Peripheral Arm structure</w:t>
        </w:r>
        <w:r w:rsidR="00CC7652">
          <w:rPr>
            <w:noProof/>
            <w:webHidden/>
          </w:rPr>
          <w:tab/>
        </w:r>
        <w:r w:rsidR="00CC7652">
          <w:rPr>
            <w:noProof/>
            <w:webHidden/>
          </w:rPr>
          <w:fldChar w:fldCharType="begin"/>
        </w:r>
        <w:r w:rsidR="00CC7652">
          <w:rPr>
            <w:noProof/>
            <w:webHidden/>
          </w:rPr>
          <w:instrText xml:space="preserve"> PAGEREF _Toc128136630 \h </w:instrText>
        </w:r>
        <w:r w:rsidR="00CC7652">
          <w:rPr>
            <w:noProof/>
            <w:webHidden/>
          </w:rPr>
        </w:r>
        <w:r w:rsidR="00CC7652">
          <w:rPr>
            <w:noProof/>
            <w:webHidden/>
          </w:rPr>
          <w:fldChar w:fldCharType="separate"/>
        </w:r>
        <w:r w:rsidR="00ED1816">
          <w:rPr>
            <w:noProof/>
            <w:webHidden/>
          </w:rPr>
          <w:t>41</w:t>
        </w:r>
        <w:r w:rsidR="00CC7652">
          <w:rPr>
            <w:noProof/>
            <w:webHidden/>
          </w:rPr>
          <w:fldChar w:fldCharType="end"/>
        </w:r>
      </w:hyperlink>
    </w:p>
    <w:p w14:paraId="7A12F1F5" w14:textId="4916E773" w:rsidR="00CC7652" w:rsidRDefault="00705721">
      <w:pPr>
        <w:pStyle w:val="TableofFigures"/>
        <w:tabs>
          <w:tab w:val="right" w:leader="dot" w:pos="9016"/>
        </w:tabs>
        <w:rPr>
          <w:rFonts w:asciiTheme="minorHAnsi" w:eastAsiaTheme="minorEastAsia" w:hAnsiTheme="minorHAnsi" w:cstheme="minorBidi"/>
          <w:noProof/>
          <w:sz w:val="22"/>
          <w:szCs w:val="22"/>
          <w:lang w:val="en-US"/>
        </w:rPr>
      </w:pPr>
      <w:hyperlink w:anchor="_Toc128136631" w:history="1">
        <w:r w:rsidR="00CC7652" w:rsidRPr="006240E6">
          <w:rPr>
            <w:rStyle w:val="Hyperlink"/>
            <w:noProof/>
          </w:rPr>
          <w:t>Figure 3.3 Environment of N1a cluster</w:t>
        </w:r>
        <w:r w:rsidR="00CC7652">
          <w:rPr>
            <w:noProof/>
            <w:webHidden/>
          </w:rPr>
          <w:tab/>
        </w:r>
        <w:r w:rsidR="00CC7652">
          <w:rPr>
            <w:noProof/>
            <w:webHidden/>
          </w:rPr>
          <w:fldChar w:fldCharType="begin"/>
        </w:r>
        <w:r w:rsidR="00CC7652">
          <w:rPr>
            <w:noProof/>
            <w:webHidden/>
          </w:rPr>
          <w:instrText xml:space="preserve"> PAGEREF _Toc128136631 \h </w:instrText>
        </w:r>
        <w:r w:rsidR="00CC7652">
          <w:rPr>
            <w:noProof/>
            <w:webHidden/>
          </w:rPr>
        </w:r>
        <w:r w:rsidR="00CC7652">
          <w:rPr>
            <w:noProof/>
            <w:webHidden/>
          </w:rPr>
          <w:fldChar w:fldCharType="separate"/>
        </w:r>
        <w:r w:rsidR="00ED1816">
          <w:rPr>
            <w:noProof/>
            <w:webHidden/>
          </w:rPr>
          <w:t>43</w:t>
        </w:r>
        <w:r w:rsidR="00CC7652">
          <w:rPr>
            <w:noProof/>
            <w:webHidden/>
          </w:rPr>
          <w:fldChar w:fldCharType="end"/>
        </w:r>
      </w:hyperlink>
    </w:p>
    <w:p w14:paraId="43D94315" w14:textId="110CBB32" w:rsidR="00CC7652" w:rsidRDefault="00705721">
      <w:pPr>
        <w:pStyle w:val="TableofFigures"/>
        <w:tabs>
          <w:tab w:val="right" w:leader="dot" w:pos="9016"/>
        </w:tabs>
        <w:rPr>
          <w:rFonts w:asciiTheme="minorHAnsi" w:eastAsiaTheme="minorEastAsia" w:hAnsiTheme="minorHAnsi" w:cstheme="minorBidi"/>
          <w:noProof/>
          <w:sz w:val="22"/>
          <w:szCs w:val="22"/>
          <w:lang w:val="en-US"/>
        </w:rPr>
      </w:pPr>
      <w:hyperlink w:anchor="_Toc128136632" w:history="1">
        <w:r w:rsidR="00CC7652" w:rsidRPr="006240E6">
          <w:rPr>
            <w:rStyle w:val="Hyperlink"/>
            <w:noProof/>
          </w:rPr>
          <w:t>Figure 3.4 Cryo-EM density of the FMN binding site at different conditions in the presence of NADH</w:t>
        </w:r>
        <w:r w:rsidR="00CC7652">
          <w:rPr>
            <w:noProof/>
            <w:webHidden/>
          </w:rPr>
          <w:tab/>
        </w:r>
        <w:r w:rsidR="00CC7652">
          <w:rPr>
            <w:noProof/>
            <w:webHidden/>
          </w:rPr>
          <w:fldChar w:fldCharType="begin"/>
        </w:r>
        <w:r w:rsidR="00CC7652">
          <w:rPr>
            <w:noProof/>
            <w:webHidden/>
          </w:rPr>
          <w:instrText xml:space="preserve"> PAGEREF _Toc128136632 \h </w:instrText>
        </w:r>
        <w:r w:rsidR="00CC7652">
          <w:rPr>
            <w:noProof/>
            <w:webHidden/>
          </w:rPr>
        </w:r>
        <w:r w:rsidR="00CC7652">
          <w:rPr>
            <w:noProof/>
            <w:webHidden/>
          </w:rPr>
          <w:fldChar w:fldCharType="separate"/>
        </w:r>
        <w:r w:rsidR="00ED1816">
          <w:rPr>
            <w:noProof/>
            <w:webHidden/>
          </w:rPr>
          <w:t>44</w:t>
        </w:r>
        <w:r w:rsidR="00CC7652">
          <w:rPr>
            <w:noProof/>
            <w:webHidden/>
          </w:rPr>
          <w:fldChar w:fldCharType="end"/>
        </w:r>
      </w:hyperlink>
    </w:p>
    <w:p w14:paraId="00EF58DF" w14:textId="3D7614C5" w:rsidR="00CC7652" w:rsidRDefault="00705721">
      <w:pPr>
        <w:pStyle w:val="TableofFigures"/>
        <w:tabs>
          <w:tab w:val="right" w:leader="dot" w:pos="9016"/>
        </w:tabs>
        <w:rPr>
          <w:rFonts w:asciiTheme="minorHAnsi" w:eastAsiaTheme="minorEastAsia" w:hAnsiTheme="minorHAnsi" w:cstheme="minorBidi"/>
          <w:noProof/>
          <w:sz w:val="22"/>
          <w:szCs w:val="22"/>
          <w:lang w:val="en-US"/>
        </w:rPr>
      </w:pPr>
      <w:hyperlink w:anchor="_Toc128136633" w:history="1">
        <w:r w:rsidR="00CC7652" w:rsidRPr="006240E6">
          <w:rPr>
            <w:rStyle w:val="Hyperlink"/>
            <w:noProof/>
          </w:rPr>
          <w:t>Figure 3.5 Conformational changes induced upon EcCI closing.</w:t>
        </w:r>
        <w:r w:rsidR="00CC7652">
          <w:rPr>
            <w:noProof/>
            <w:webHidden/>
          </w:rPr>
          <w:tab/>
        </w:r>
        <w:r w:rsidR="00CC7652">
          <w:rPr>
            <w:noProof/>
            <w:webHidden/>
          </w:rPr>
          <w:fldChar w:fldCharType="begin"/>
        </w:r>
        <w:r w:rsidR="00CC7652">
          <w:rPr>
            <w:noProof/>
            <w:webHidden/>
          </w:rPr>
          <w:instrText xml:space="preserve"> PAGEREF _Toc128136633 \h </w:instrText>
        </w:r>
        <w:r w:rsidR="00CC7652">
          <w:rPr>
            <w:noProof/>
            <w:webHidden/>
          </w:rPr>
        </w:r>
        <w:r w:rsidR="00CC7652">
          <w:rPr>
            <w:noProof/>
            <w:webHidden/>
          </w:rPr>
          <w:fldChar w:fldCharType="separate"/>
        </w:r>
        <w:r w:rsidR="00ED1816">
          <w:rPr>
            <w:noProof/>
            <w:webHidden/>
          </w:rPr>
          <w:t>45</w:t>
        </w:r>
        <w:r w:rsidR="00CC7652">
          <w:rPr>
            <w:noProof/>
            <w:webHidden/>
          </w:rPr>
          <w:fldChar w:fldCharType="end"/>
        </w:r>
      </w:hyperlink>
    </w:p>
    <w:p w14:paraId="79310720" w14:textId="1D626679" w:rsidR="00CC7652" w:rsidRDefault="00705721">
      <w:pPr>
        <w:pStyle w:val="TableofFigures"/>
        <w:tabs>
          <w:tab w:val="right" w:leader="dot" w:pos="9016"/>
        </w:tabs>
        <w:rPr>
          <w:rFonts w:asciiTheme="minorHAnsi" w:eastAsiaTheme="minorEastAsia" w:hAnsiTheme="minorHAnsi" w:cstheme="minorBidi"/>
          <w:noProof/>
          <w:sz w:val="22"/>
          <w:szCs w:val="22"/>
          <w:lang w:val="en-US"/>
        </w:rPr>
      </w:pPr>
      <w:hyperlink w:anchor="_Toc128136634" w:history="1">
        <w:r w:rsidR="00CC7652" w:rsidRPr="006240E6">
          <w:rPr>
            <w:rStyle w:val="Hyperlink"/>
            <w:noProof/>
          </w:rPr>
          <w:t>Figure 3.6 NADH:DQ oxidoreduction activity assays.</w:t>
        </w:r>
        <w:r w:rsidR="00CC7652">
          <w:rPr>
            <w:noProof/>
            <w:webHidden/>
          </w:rPr>
          <w:tab/>
        </w:r>
        <w:r w:rsidR="00CC7652">
          <w:rPr>
            <w:noProof/>
            <w:webHidden/>
          </w:rPr>
          <w:fldChar w:fldCharType="begin"/>
        </w:r>
        <w:r w:rsidR="00CC7652">
          <w:rPr>
            <w:noProof/>
            <w:webHidden/>
          </w:rPr>
          <w:instrText xml:space="preserve"> PAGEREF _Toc128136634 \h </w:instrText>
        </w:r>
        <w:r w:rsidR="00CC7652">
          <w:rPr>
            <w:noProof/>
            <w:webHidden/>
          </w:rPr>
        </w:r>
        <w:r w:rsidR="00CC7652">
          <w:rPr>
            <w:noProof/>
            <w:webHidden/>
          </w:rPr>
          <w:fldChar w:fldCharType="separate"/>
        </w:r>
        <w:r w:rsidR="00ED1816">
          <w:rPr>
            <w:noProof/>
            <w:webHidden/>
          </w:rPr>
          <w:t>46</w:t>
        </w:r>
        <w:r w:rsidR="00CC7652">
          <w:rPr>
            <w:noProof/>
            <w:webHidden/>
          </w:rPr>
          <w:fldChar w:fldCharType="end"/>
        </w:r>
      </w:hyperlink>
    </w:p>
    <w:p w14:paraId="68EB4598" w14:textId="5E39400F" w:rsidR="00CC7652" w:rsidRDefault="00705721">
      <w:pPr>
        <w:pStyle w:val="TableofFigures"/>
        <w:tabs>
          <w:tab w:val="right" w:leader="dot" w:pos="9016"/>
        </w:tabs>
        <w:rPr>
          <w:rFonts w:asciiTheme="minorHAnsi" w:eastAsiaTheme="minorEastAsia" w:hAnsiTheme="minorHAnsi" w:cstheme="minorBidi"/>
          <w:noProof/>
          <w:sz w:val="22"/>
          <w:szCs w:val="22"/>
          <w:lang w:val="en-US"/>
        </w:rPr>
      </w:pPr>
      <w:hyperlink w:anchor="_Toc128136635" w:history="1">
        <w:r w:rsidR="00CC7652" w:rsidRPr="006240E6">
          <w:rPr>
            <w:rStyle w:val="Hyperlink"/>
            <w:noProof/>
          </w:rPr>
          <w:t>Figure 3.7  Quinone-binding site comparisons</w:t>
        </w:r>
        <w:r w:rsidR="00CC7652">
          <w:rPr>
            <w:noProof/>
            <w:webHidden/>
          </w:rPr>
          <w:tab/>
        </w:r>
        <w:r w:rsidR="00CC7652">
          <w:rPr>
            <w:noProof/>
            <w:webHidden/>
          </w:rPr>
          <w:fldChar w:fldCharType="begin"/>
        </w:r>
        <w:r w:rsidR="00CC7652">
          <w:rPr>
            <w:noProof/>
            <w:webHidden/>
          </w:rPr>
          <w:instrText xml:space="preserve"> PAGEREF _Toc128136635 \h </w:instrText>
        </w:r>
        <w:r w:rsidR="00CC7652">
          <w:rPr>
            <w:noProof/>
            <w:webHidden/>
          </w:rPr>
        </w:r>
        <w:r w:rsidR="00CC7652">
          <w:rPr>
            <w:noProof/>
            <w:webHidden/>
          </w:rPr>
          <w:fldChar w:fldCharType="separate"/>
        </w:r>
        <w:r w:rsidR="00ED1816">
          <w:rPr>
            <w:noProof/>
            <w:webHidden/>
          </w:rPr>
          <w:t>49</w:t>
        </w:r>
        <w:r w:rsidR="00CC7652">
          <w:rPr>
            <w:noProof/>
            <w:webHidden/>
          </w:rPr>
          <w:fldChar w:fldCharType="end"/>
        </w:r>
      </w:hyperlink>
    </w:p>
    <w:p w14:paraId="24D9BE0C" w14:textId="2E5A6817" w:rsidR="00CC7652" w:rsidRDefault="00705721">
      <w:pPr>
        <w:pStyle w:val="TableofFigures"/>
        <w:tabs>
          <w:tab w:val="right" w:leader="dot" w:pos="9016"/>
        </w:tabs>
        <w:rPr>
          <w:rFonts w:asciiTheme="minorHAnsi" w:eastAsiaTheme="minorEastAsia" w:hAnsiTheme="minorHAnsi" w:cstheme="minorBidi"/>
          <w:noProof/>
          <w:sz w:val="22"/>
          <w:szCs w:val="22"/>
          <w:lang w:val="en-US"/>
        </w:rPr>
      </w:pPr>
      <w:hyperlink w:anchor="_Toc128136636" w:history="1">
        <w:r w:rsidR="00CC7652" w:rsidRPr="006240E6">
          <w:rPr>
            <w:rStyle w:val="Hyperlink"/>
            <w:noProof/>
          </w:rPr>
          <w:t>Figure 3.8 Waters and proton translocation pathways</w:t>
        </w:r>
        <w:r w:rsidR="00CC7652">
          <w:rPr>
            <w:noProof/>
            <w:webHidden/>
          </w:rPr>
          <w:tab/>
        </w:r>
        <w:r w:rsidR="00CC7652">
          <w:rPr>
            <w:noProof/>
            <w:webHidden/>
          </w:rPr>
          <w:fldChar w:fldCharType="begin"/>
        </w:r>
        <w:r w:rsidR="00CC7652">
          <w:rPr>
            <w:noProof/>
            <w:webHidden/>
          </w:rPr>
          <w:instrText xml:space="preserve"> PAGEREF _Toc128136636 \h </w:instrText>
        </w:r>
        <w:r w:rsidR="00CC7652">
          <w:rPr>
            <w:noProof/>
            <w:webHidden/>
          </w:rPr>
        </w:r>
        <w:r w:rsidR="00CC7652">
          <w:rPr>
            <w:noProof/>
            <w:webHidden/>
          </w:rPr>
          <w:fldChar w:fldCharType="separate"/>
        </w:r>
        <w:r w:rsidR="00ED1816">
          <w:rPr>
            <w:noProof/>
            <w:webHidden/>
          </w:rPr>
          <w:t>52</w:t>
        </w:r>
        <w:r w:rsidR="00CC7652">
          <w:rPr>
            <w:noProof/>
            <w:webHidden/>
          </w:rPr>
          <w:fldChar w:fldCharType="end"/>
        </w:r>
      </w:hyperlink>
    </w:p>
    <w:p w14:paraId="505CA66E" w14:textId="1231CBB5" w:rsidR="00CC7652" w:rsidRDefault="00705721">
      <w:pPr>
        <w:pStyle w:val="TableofFigures"/>
        <w:tabs>
          <w:tab w:val="right" w:leader="dot" w:pos="9016"/>
        </w:tabs>
        <w:rPr>
          <w:rFonts w:asciiTheme="minorHAnsi" w:eastAsiaTheme="minorEastAsia" w:hAnsiTheme="minorHAnsi" w:cstheme="minorBidi"/>
          <w:noProof/>
          <w:sz w:val="22"/>
          <w:szCs w:val="22"/>
          <w:lang w:val="en-US"/>
        </w:rPr>
      </w:pPr>
      <w:hyperlink w:anchor="_Toc128136637" w:history="1">
        <w:r w:rsidR="00CC7652" w:rsidRPr="006240E6">
          <w:rPr>
            <w:rStyle w:val="Hyperlink"/>
            <w:noProof/>
          </w:rPr>
          <w:t>Figure 3.9 Proton translocation pathways.</w:t>
        </w:r>
        <w:r w:rsidR="00CC7652">
          <w:rPr>
            <w:noProof/>
            <w:webHidden/>
          </w:rPr>
          <w:tab/>
        </w:r>
        <w:r w:rsidR="00CC7652">
          <w:rPr>
            <w:noProof/>
            <w:webHidden/>
          </w:rPr>
          <w:fldChar w:fldCharType="begin"/>
        </w:r>
        <w:r w:rsidR="00CC7652">
          <w:rPr>
            <w:noProof/>
            <w:webHidden/>
          </w:rPr>
          <w:instrText xml:space="preserve"> PAGEREF _Toc128136637 \h </w:instrText>
        </w:r>
        <w:r w:rsidR="00CC7652">
          <w:rPr>
            <w:noProof/>
            <w:webHidden/>
          </w:rPr>
        </w:r>
        <w:r w:rsidR="00CC7652">
          <w:rPr>
            <w:noProof/>
            <w:webHidden/>
          </w:rPr>
          <w:fldChar w:fldCharType="separate"/>
        </w:r>
        <w:r w:rsidR="00ED1816">
          <w:rPr>
            <w:noProof/>
            <w:webHidden/>
          </w:rPr>
          <w:t>54</w:t>
        </w:r>
        <w:r w:rsidR="00CC7652">
          <w:rPr>
            <w:noProof/>
            <w:webHidden/>
          </w:rPr>
          <w:fldChar w:fldCharType="end"/>
        </w:r>
      </w:hyperlink>
    </w:p>
    <w:p w14:paraId="0D699C29" w14:textId="651B58FB" w:rsidR="00CC7652" w:rsidRDefault="00705721">
      <w:pPr>
        <w:pStyle w:val="TableofFigures"/>
        <w:tabs>
          <w:tab w:val="right" w:leader="dot" w:pos="9016"/>
        </w:tabs>
        <w:rPr>
          <w:rFonts w:asciiTheme="minorHAnsi" w:eastAsiaTheme="minorEastAsia" w:hAnsiTheme="minorHAnsi" w:cstheme="minorBidi"/>
          <w:noProof/>
          <w:sz w:val="22"/>
          <w:szCs w:val="22"/>
          <w:lang w:val="en-US"/>
        </w:rPr>
      </w:pPr>
      <w:hyperlink w:anchor="_Toc128136638" w:history="1">
        <w:r w:rsidR="00CC7652" w:rsidRPr="006240E6">
          <w:rPr>
            <w:rStyle w:val="Hyperlink"/>
            <w:noProof/>
          </w:rPr>
          <w:t>Figure 3.10 A “domino effect” coupling mechanism of complex I.</w:t>
        </w:r>
        <w:r w:rsidR="00CC7652">
          <w:rPr>
            <w:noProof/>
            <w:webHidden/>
          </w:rPr>
          <w:tab/>
        </w:r>
        <w:r w:rsidR="00CC7652">
          <w:rPr>
            <w:noProof/>
            <w:webHidden/>
          </w:rPr>
          <w:fldChar w:fldCharType="begin"/>
        </w:r>
        <w:r w:rsidR="00CC7652">
          <w:rPr>
            <w:noProof/>
            <w:webHidden/>
          </w:rPr>
          <w:instrText xml:space="preserve"> PAGEREF _Toc128136638 \h </w:instrText>
        </w:r>
        <w:r w:rsidR="00CC7652">
          <w:rPr>
            <w:noProof/>
            <w:webHidden/>
          </w:rPr>
        </w:r>
        <w:r w:rsidR="00CC7652">
          <w:rPr>
            <w:noProof/>
            <w:webHidden/>
          </w:rPr>
          <w:fldChar w:fldCharType="separate"/>
        </w:r>
        <w:r w:rsidR="00ED1816">
          <w:rPr>
            <w:noProof/>
            <w:webHidden/>
          </w:rPr>
          <w:t>57</w:t>
        </w:r>
        <w:r w:rsidR="00CC7652">
          <w:rPr>
            <w:noProof/>
            <w:webHidden/>
          </w:rPr>
          <w:fldChar w:fldCharType="end"/>
        </w:r>
      </w:hyperlink>
    </w:p>
    <w:p w14:paraId="27988E56" w14:textId="362677B6" w:rsidR="00CC7652" w:rsidRDefault="00705721">
      <w:pPr>
        <w:pStyle w:val="TableofFigures"/>
        <w:tabs>
          <w:tab w:val="right" w:leader="dot" w:pos="9016"/>
        </w:tabs>
        <w:rPr>
          <w:rFonts w:asciiTheme="minorHAnsi" w:eastAsiaTheme="minorEastAsia" w:hAnsiTheme="minorHAnsi" w:cstheme="minorBidi"/>
          <w:noProof/>
          <w:sz w:val="22"/>
          <w:szCs w:val="22"/>
          <w:lang w:val="en-US"/>
        </w:rPr>
      </w:pPr>
      <w:hyperlink w:anchor="_Toc128136639" w:history="1">
        <w:r w:rsidR="00CC7652" w:rsidRPr="006240E6">
          <w:rPr>
            <w:rStyle w:val="Hyperlink"/>
            <w:noProof/>
          </w:rPr>
          <w:t>Figure 4.1 Different conformational states of NDH</w:t>
        </w:r>
        <w:r w:rsidR="00CC7652">
          <w:rPr>
            <w:noProof/>
            <w:webHidden/>
          </w:rPr>
          <w:tab/>
        </w:r>
        <w:r w:rsidR="00CC7652">
          <w:rPr>
            <w:noProof/>
            <w:webHidden/>
          </w:rPr>
          <w:fldChar w:fldCharType="begin"/>
        </w:r>
        <w:r w:rsidR="00CC7652">
          <w:rPr>
            <w:noProof/>
            <w:webHidden/>
          </w:rPr>
          <w:instrText xml:space="preserve"> PAGEREF _Toc128136639 \h </w:instrText>
        </w:r>
        <w:r w:rsidR="00CC7652">
          <w:rPr>
            <w:noProof/>
            <w:webHidden/>
          </w:rPr>
        </w:r>
        <w:r w:rsidR="00CC7652">
          <w:rPr>
            <w:noProof/>
            <w:webHidden/>
          </w:rPr>
          <w:fldChar w:fldCharType="separate"/>
        </w:r>
        <w:r w:rsidR="00ED1816">
          <w:rPr>
            <w:noProof/>
            <w:webHidden/>
          </w:rPr>
          <w:t>65</w:t>
        </w:r>
        <w:r w:rsidR="00CC7652">
          <w:rPr>
            <w:noProof/>
            <w:webHidden/>
          </w:rPr>
          <w:fldChar w:fldCharType="end"/>
        </w:r>
      </w:hyperlink>
    </w:p>
    <w:p w14:paraId="229950FC" w14:textId="20F174BB" w:rsidR="00CC7652" w:rsidRDefault="00705721">
      <w:pPr>
        <w:pStyle w:val="TableofFigures"/>
        <w:tabs>
          <w:tab w:val="right" w:leader="dot" w:pos="9016"/>
        </w:tabs>
        <w:rPr>
          <w:rFonts w:asciiTheme="minorHAnsi" w:eastAsiaTheme="minorEastAsia" w:hAnsiTheme="minorHAnsi" w:cstheme="minorBidi"/>
          <w:noProof/>
          <w:sz w:val="22"/>
          <w:szCs w:val="22"/>
          <w:lang w:val="en-US"/>
        </w:rPr>
      </w:pPr>
      <w:hyperlink w:anchor="_Toc128136640" w:history="1">
        <w:r w:rsidR="00CC7652" w:rsidRPr="006240E6">
          <w:rPr>
            <w:rStyle w:val="Hyperlink"/>
            <w:noProof/>
          </w:rPr>
          <w:t>Figure 4.2 Q cavity of the open state NDH</w:t>
        </w:r>
        <w:r w:rsidR="00CC7652">
          <w:rPr>
            <w:noProof/>
            <w:webHidden/>
          </w:rPr>
          <w:tab/>
        </w:r>
        <w:r w:rsidR="00CC7652">
          <w:rPr>
            <w:noProof/>
            <w:webHidden/>
          </w:rPr>
          <w:fldChar w:fldCharType="begin"/>
        </w:r>
        <w:r w:rsidR="00CC7652">
          <w:rPr>
            <w:noProof/>
            <w:webHidden/>
          </w:rPr>
          <w:instrText xml:space="preserve"> PAGEREF _Toc128136640 \h </w:instrText>
        </w:r>
        <w:r w:rsidR="00CC7652">
          <w:rPr>
            <w:noProof/>
            <w:webHidden/>
          </w:rPr>
        </w:r>
        <w:r w:rsidR="00CC7652">
          <w:rPr>
            <w:noProof/>
            <w:webHidden/>
          </w:rPr>
          <w:fldChar w:fldCharType="separate"/>
        </w:r>
        <w:r w:rsidR="00ED1816">
          <w:rPr>
            <w:noProof/>
            <w:webHidden/>
          </w:rPr>
          <w:t>66</w:t>
        </w:r>
        <w:r w:rsidR="00CC7652">
          <w:rPr>
            <w:noProof/>
            <w:webHidden/>
          </w:rPr>
          <w:fldChar w:fldCharType="end"/>
        </w:r>
      </w:hyperlink>
    </w:p>
    <w:p w14:paraId="6EC4A1EB" w14:textId="30DAD3B7" w:rsidR="00CC7652" w:rsidRDefault="00705721">
      <w:pPr>
        <w:pStyle w:val="TableofFigures"/>
        <w:tabs>
          <w:tab w:val="right" w:leader="dot" w:pos="9016"/>
        </w:tabs>
        <w:rPr>
          <w:rFonts w:asciiTheme="minorHAnsi" w:eastAsiaTheme="minorEastAsia" w:hAnsiTheme="minorHAnsi" w:cstheme="minorBidi"/>
          <w:noProof/>
          <w:sz w:val="22"/>
          <w:szCs w:val="22"/>
          <w:lang w:val="en-US"/>
        </w:rPr>
      </w:pPr>
      <w:hyperlink w:anchor="_Toc128136641" w:history="1">
        <w:r w:rsidR="00CC7652" w:rsidRPr="006240E6">
          <w:rPr>
            <w:rStyle w:val="Hyperlink"/>
            <w:noProof/>
          </w:rPr>
          <w:t>Figure 4.3 Conformational states of ndhL</w:t>
        </w:r>
        <w:r w:rsidR="00CC7652">
          <w:rPr>
            <w:noProof/>
            <w:webHidden/>
          </w:rPr>
          <w:tab/>
        </w:r>
        <w:r w:rsidR="00CC7652">
          <w:rPr>
            <w:noProof/>
            <w:webHidden/>
          </w:rPr>
          <w:fldChar w:fldCharType="begin"/>
        </w:r>
        <w:r w:rsidR="00CC7652">
          <w:rPr>
            <w:noProof/>
            <w:webHidden/>
          </w:rPr>
          <w:instrText xml:space="preserve"> PAGEREF _Toc128136641 \h </w:instrText>
        </w:r>
        <w:r w:rsidR="00CC7652">
          <w:rPr>
            <w:noProof/>
            <w:webHidden/>
          </w:rPr>
        </w:r>
        <w:r w:rsidR="00CC7652">
          <w:rPr>
            <w:noProof/>
            <w:webHidden/>
          </w:rPr>
          <w:fldChar w:fldCharType="separate"/>
        </w:r>
        <w:r w:rsidR="00ED1816">
          <w:rPr>
            <w:noProof/>
            <w:webHidden/>
          </w:rPr>
          <w:t>67</w:t>
        </w:r>
        <w:r w:rsidR="00CC7652">
          <w:rPr>
            <w:noProof/>
            <w:webHidden/>
          </w:rPr>
          <w:fldChar w:fldCharType="end"/>
        </w:r>
      </w:hyperlink>
    </w:p>
    <w:p w14:paraId="0884B46D" w14:textId="46511B84" w:rsidR="00CC7652" w:rsidRDefault="00705721">
      <w:pPr>
        <w:pStyle w:val="TableofFigures"/>
        <w:tabs>
          <w:tab w:val="right" w:leader="dot" w:pos="9016"/>
        </w:tabs>
        <w:rPr>
          <w:rFonts w:asciiTheme="minorHAnsi" w:eastAsiaTheme="minorEastAsia" w:hAnsiTheme="minorHAnsi" w:cstheme="minorBidi"/>
          <w:noProof/>
          <w:sz w:val="22"/>
          <w:szCs w:val="22"/>
          <w:lang w:val="en-US"/>
        </w:rPr>
      </w:pPr>
      <w:hyperlink w:anchor="_Toc128136642" w:history="1">
        <w:r w:rsidR="00CC7652" w:rsidRPr="006240E6">
          <w:rPr>
            <w:rStyle w:val="Hyperlink"/>
            <w:noProof/>
          </w:rPr>
          <w:t>Figure 4.4Hydrophophobicity and structural analysis of ndhL</w:t>
        </w:r>
        <w:r w:rsidR="00CC7652">
          <w:rPr>
            <w:noProof/>
            <w:webHidden/>
          </w:rPr>
          <w:tab/>
        </w:r>
        <w:r w:rsidR="00CC7652">
          <w:rPr>
            <w:noProof/>
            <w:webHidden/>
          </w:rPr>
          <w:fldChar w:fldCharType="begin"/>
        </w:r>
        <w:r w:rsidR="00CC7652">
          <w:rPr>
            <w:noProof/>
            <w:webHidden/>
          </w:rPr>
          <w:instrText xml:space="preserve"> PAGEREF _Toc128136642 \h </w:instrText>
        </w:r>
        <w:r w:rsidR="00CC7652">
          <w:rPr>
            <w:noProof/>
            <w:webHidden/>
          </w:rPr>
        </w:r>
        <w:r w:rsidR="00CC7652">
          <w:rPr>
            <w:noProof/>
            <w:webHidden/>
          </w:rPr>
          <w:fldChar w:fldCharType="separate"/>
        </w:r>
        <w:r w:rsidR="00ED1816">
          <w:rPr>
            <w:noProof/>
            <w:webHidden/>
          </w:rPr>
          <w:t>68</w:t>
        </w:r>
        <w:r w:rsidR="00CC7652">
          <w:rPr>
            <w:noProof/>
            <w:webHidden/>
          </w:rPr>
          <w:fldChar w:fldCharType="end"/>
        </w:r>
      </w:hyperlink>
    </w:p>
    <w:p w14:paraId="660A7D68" w14:textId="0C0150F8" w:rsidR="00CC7652" w:rsidRDefault="00705721">
      <w:pPr>
        <w:pStyle w:val="TableofFigures"/>
        <w:tabs>
          <w:tab w:val="right" w:leader="dot" w:pos="9016"/>
        </w:tabs>
        <w:rPr>
          <w:rFonts w:asciiTheme="minorHAnsi" w:eastAsiaTheme="minorEastAsia" w:hAnsiTheme="minorHAnsi" w:cstheme="minorBidi"/>
          <w:noProof/>
          <w:sz w:val="22"/>
          <w:szCs w:val="22"/>
          <w:lang w:val="en-US"/>
        </w:rPr>
      </w:pPr>
      <w:hyperlink w:anchor="_Toc128136643" w:history="1">
        <w:r w:rsidR="00CC7652" w:rsidRPr="006240E6">
          <w:rPr>
            <w:rStyle w:val="Hyperlink"/>
            <w:noProof/>
          </w:rPr>
          <w:t>Figure 4.5 ndhL conservation sequence analysis</w:t>
        </w:r>
        <w:r w:rsidR="00CC7652">
          <w:rPr>
            <w:noProof/>
            <w:webHidden/>
          </w:rPr>
          <w:tab/>
        </w:r>
        <w:r w:rsidR="00CC7652">
          <w:rPr>
            <w:noProof/>
            <w:webHidden/>
          </w:rPr>
          <w:fldChar w:fldCharType="begin"/>
        </w:r>
        <w:r w:rsidR="00CC7652">
          <w:rPr>
            <w:noProof/>
            <w:webHidden/>
          </w:rPr>
          <w:instrText xml:space="preserve"> PAGEREF _Toc128136643 \h </w:instrText>
        </w:r>
        <w:r w:rsidR="00CC7652">
          <w:rPr>
            <w:noProof/>
            <w:webHidden/>
          </w:rPr>
        </w:r>
        <w:r w:rsidR="00CC7652">
          <w:rPr>
            <w:noProof/>
            <w:webHidden/>
          </w:rPr>
          <w:fldChar w:fldCharType="separate"/>
        </w:r>
        <w:r w:rsidR="00ED1816">
          <w:rPr>
            <w:noProof/>
            <w:webHidden/>
          </w:rPr>
          <w:t>69</w:t>
        </w:r>
        <w:r w:rsidR="00CC7652">
          <w:rPr>
            <w:noProof/>
            <w:webHidden/>
          </w:rPr>
          <w:fldChar w:fldCharType="end"/>
        </w:r>
      </w:hyperlink>
    </w:p>
    <w:p w14:paraId="3B79E762" w14:textId="7A30F42C" w:rsidR="00CC7652" w:rsidRDefault="00705721">
      <w:pPr>
        <w:pStyle w:val="TableofFigures"/>
        <w:tabs>
          <w:tab w:val="right" w:leader="dot" w:pos="9016"/>
        </w:tabs>
        <w:rPr>
          <w:rFonts w:asciiTheme="minorHAnsi" w:eastAsiaTheme="minorEastAsia" w:hAnsiTheme="minorHAnsi" w:cstheme="minorBidi"/>
          <w:noProof/>
          <w:sz w:val="22"/>
          <w:szCs w:val="22"/>
          <w:lang w:val="en-US"/>
        </w:rPr>
      </w:pPr>
      <w:hyperlink w:anchor="_Toc128136644" w:history="1">
        <w:r w:rsidR="00CC7652" w:rsidRPr="006240E6">
          <w:rPr>
            <w:rStyle w:val="Hyperlink"/>
            <w:noProof/>
          </w:rPr>
          <w:t>Figure 4.6 Schematic representation of NDH deactivation mechanism</w:t>
        </w:r>
        <w:r w:rsidR="00CC7652">
          <w:rPr>
            <w:noProof/>
            <w:webHidden/>
          </w:rPr>
          <w:tab/>
        </w:r>
        <w:r w:rsidR="00CC7652">
          <w:rPr>
            <w:noProof/>
            <w:webHidden/>
          </w:rPr>
          <w:fldChar w:fldCharType="begin"/>
        </w:r>
        <w:r w:rsidR="00CC7652">
          <w:rPr>
            <w:noProof/>
            <w:webHidden/>
          </w:rPr>
          <w:instrText xml:space="preserve"> PAGEREF _Toc128136644 \h </w:instrText>
        </w:r>
        <w:r w:rsidR="00CC7652">
          <w:rPr>
            <w:noProof/>
            <w:webHidden/>
          </w:rPr>
        </w:r>
        <w:r w:rsidR="00CC7652">
          <w:rPr>
            <w:noProof/>
            <w:webHidden/>
          </w:rPr>
          <w:fldChar w:fldCharType="separate"/>
        </w:r>
        <w:r w:rsidR="00ED1816">
          <w:rPr>
            <w:noProof/>
            <w:webHidden/>
          </w:rPr>
          <w:t>70</w:t>
        </w:r>
        <w:r w:rsidR="00CC7652">
          <w:rPr>
            <w:noProof/>
            <w:webHidden/>
          </w:rPr>
          <w:fldChar w:fldCharType="end"/>
        </w:r>
      </w:hyperlink>
    </w:p>
    <w:p w14:paraId="597C5776" w14:textId="19AEB218" w:rsidR="002D6482" w:rsidRDefault="001D765C">
      <w:pPr>
        <w:rPr>
          <w:rFonts w:eastAsia="Times New Roman" w:cs="Times New Roman"/>
          <w:noProof/>
          <w:szCs w:val="24"/>
          <w:lang w:val="en-GB"/>
        </w:rPr>
      </w:pPr>
      <w:r w:rsidRPr="00E97FC1">
        <w:rPr>
          <w:rFonts w:eastAsia="Times New Roman" w:cs="Times New Roman"/>
          <w:noProof/>
          <w:szCs w:val="24"/>
          <w:lang w:val="en-GB"/>
        </w:rPr>
        <w:fldChar w:fldCharType="end"/>
      </w:r>
    </w:p>
    <w:p w14:paraId="5DF2FA9D" w14:textId="65E66E2F" w:rsidR="003870A7" w:rsidRDefault="003870A7">
      <w:pPr>
        <w:rPr>
          <w:rFonts w:eastAsia="Times New Roman" w:cs="Times New Roman"/>
          <w:noProof/>
          <w:szCs w:val="24"/>
          <w:lang w:val="en-GB"/>
        </w:rPr>
      </w:pPr>
    </w:p>
    <w:p w14:paraId="541DE135" w14:textId="77777777" w:rsidR="003870A7" w:rsidRPr="00E97FC1" w:rsidRDefault="003870A7">
      <w:pPr>
        <w:rPr>
          <w:rFonts w:eastAsia="Times New Roman" w:cs="Times New Roman"/>
          <w:noProof/>
          <w:szCs w:val="24"/>
          <w:lang w:val="en-GB"/>
        </w:rPr>
      </w:pPr>
    </w:p>
    <w:p w14:paraId="01061EF8" w14:textId="77777777" w:rsidR="003870A7" w:rsidRDefault="003870A7" w:rsidP="003870A7">
      <w:pPr>
        <w:spacing w:before="100" w:beforeAutospacing="1" w:after="100" w:afterAutospacing="1"/>
        <w:ind w:left="360" w:hanging="360"/>
        <w:outlineLvl w:val="0"/>
        <w:rPr>
          <w:rFonts w:eastAsia="Times New Roman" w:cs="Times New Roman"/>
          <w:b/>
          <w:bCs/>
          <w:kern w:val="36"/>
          <w:sz w:val="30"/>
          <w:szCs w:val="30"/>
          <w:shd w:val="clear" w:color="auto" w:fill="FFFFFF"/>
          <w:lang w:val="en-GB"/>
        </w:rPr>
      </w:pPr>
      <w:bookmarkStart w:id="9" w:name="_Toc132639976"/>
      <w:r>
        <w:rPr>
          <w:rFonts w:eastAsia="Times New Roman" w:cs="Times New Roman"/>
          <w:b/>
          <w:bCs/>
          <w:kern w:val="36"/>
          <w:sz w:val="30"/>
          <w:szCs w:val="30"/>
          <w:shd w:val="clear" w:color="auto" w:fill="FFFFFF"/>
          <w:lang w:val="en-GB"/>
        </w:rPr>
        <w:lastRenderedPageBreak/>
        <w:t>List of tables</w:t>
      </w:r>
      <w:bookmarkEnd w:id="9"/>
      <w:r>
        <w:rPr>
          <w:rFonts w:eastAsia="Times New Roman" w:cs="Times New Roman"/>
          <w:b/>
          <w:bCs/>
          <w:kern w:val="36"/>
          <w:sz w:val="30"/>
          <w:szCs w:val="30"/>
          <w:shd w:val="clear" w:color="auto" w:fill="FFFFFF"/>
          <w:lang w:val="en-GB"/>
        </w:rPr>
        <w:t xml:space="preserve"> </w:t>
      </w:r>
    </w:p>
    <w:p w14:paraId="2A4CC6FC" w14:textId="6749D24E" w:rsidR="003870A7" w:rsidRPr="003870A7" w:rsidRDefault="003870A7" w:rsidP="003870A7">
      <w:pPr>
        <w:pStyle w:val="NoSpacing"/>
        <w:rPr>
          <w:rFonts w:ascii="Times New Roman" w:hAnsi="Times New Roman"/>
          <w:shd w:val="clear" w:color="auto" w:fill="FFFFFF"/>
          <w:lang w:val="en-GB"/>
        </w:rPr>
      </w:pPr>
      <w:r>
        <w:rPr>
          <w:rFonts w:ascii="Times New Roman" w:hAnsi="Times New Roman"/>
          <w:shd w:val="clear" w:color="auto" w:fill="FFFFFF"/>
          <w:lang w:val="en-GB"/>
        </w:rPr>
        <w:t>Table 1. Summary of datasets</w:t>
      </w:r>
      <w:r w:rsidR="00AD6269">
        <w:rPr>
          <w:rFonts w:ascii="Times New Roman" w:hAnsi="Times New Roman"/>
          <w:shd w:val="clear" w:color="auto" w:fill="FFFFFF"/>
          <w:lang w:val="en-GB"/>
        </w:rPr>
        <w:t xml:space="preserve"> ………………………………………………………………..47</w:t>
      </w:r>
    </w:p>
    <w:p w14:paraId="6D8E7821" w14:textId="17F7E2D2" w:rsidR="003870A7" w:rsidRPr="003870A7" w:rsidRDefault="003870A7" w:rsidP="003870A7">
      <w:pPr>
        <w:spacing w:before="100" w:beforeAutospacing="1" w:after="100" w:afterAutospacing="1"/>
        <w:ind w:left="360" w:hanging="360"/>
        <w:outlineLvl w:val="0"/>
        <w:rPr>
          <w:rFonts w:eastAsia="Times New Roman" w:cs="Times New Roman"/>
          <w:b/>
          <w:bCs/>
          <w:kern w:val="36"/>
          <w:sz w:val="30"/>
          <w:szCs w:val="30"/>
          <w:shd w:val="clear" w:color="auto" w:fill="FFFFFF"/>
          <w:lang w:val="en-GB"/>
        </w:rPr>
      </w:pPr>
      <w:bookmarkStart w:id="10" w:name="_Toc132639977"/>
      <w:r>
        <w:rPr>
          <w:rFonts w:eastAsia="Times New Roman" w:cs="Times New Roman"/>
          <w:b/>
          <w:bCs/>
          <w:kern w:val="36"/>
          <w:sz w:val="30"/>
          <w:szCs w:val="30"/>
          <w:shd w:val="clear" w:color="auto" w:fill="FFFFFF"/>
          <w:lang w:val="en-GB"/>
        </w:rPr>
        <w:t>List of abbreviations</w:t>
      </w:r>
      <w:bookmarkEnd w:id="10"/>
    </w:p>
    <w:p w14:paraId="2980451E" w14:textId="15179C03" w:rsidR="002879DF" w:rsidRPr="002879DF" w:rsidRDefault="002879DF" w:rsidP="002879DF">
      <w:pPr>
        <w:rPr>
          <w:rFonts w:eastAsia="Times New Roman" w:cs="Times New Roman"/>
          <w:noProof/>
          <w:szCs w:val="24"/>
          <w:lang w:val="en-GB"/>
        </w:rPr>
      </w:pPr>
      <w:r w:rsidRPr="002879DF">
        <w:rPr>
          <w:rFonts w:eastAsia="Times New Roman" w:cs="Times New Roman"/>
          <w:noProof/>
          <w:szCs w:val="24"/>
          <w:lang w:val="en-GB"/>
        </w:rPr>
        <w:t xml:space="preserve">Å </w:t>
      </w:r>
      <w:r>
        <w:rPr>
          <w:rFonts w:eastAsia="Times New Roman" w:cs="Times New Roman"/>
          <w:noProof/>
          <w:szCs w:val="24"/>
          <w:lang w:val="en-GB"/>
        </w:rPr>
        <w:tab/>
      </w:r>
      <w:r>
        <w:rPr>
          <w:rFonts w:eastAsia="Times New Roman" w:cs="Times New Roman"/>
          <w:noProof/>
          <w:szCs w:val="24"/>
          <w:lang w:val="en-GB"/>
        </w:rPr>
        <w:tab/>
      </w:r>
      <w:r w:rsidRPr="002879DF">
        <w:rPr>
          <w:rFonts w:eastAsia="Times New Roman" w:cs="Times New Roman"/>
          <w:noProof/>
          <w:szCs w:val="24"/>
          <w:lang w:val="en-GB"/>
        </w:rPr>
        <w:t>Ångstrom</w:t>
      </w:r>
    </w:p>
    <w:p w14:paraId="38E85C1A" w14:textId="6C3AD8D6" w:rsidR="002879DF" w:rsidRPr="002879DF" w:rsidRDefault="002879DF" w:rsidP="002879DF">
      <w:pPr>
        <w:rPr>
          <w:rFonts w:eastAsia="Times New Roman" w:cs="Times New Roman"/>
          <w:noProof/>
          <w:szCs w:val="24"/>
          <w:lang w:val="en-GB"/>
        </w:rPr>
      </w:pPr>
      <w:r w:rsidRPr="002879DF">
        <w:rPr>
          <w:rFonts w:eastAsia="Times New Roman" w:cs="Times New Roman"/>
          <w:noProof/>
          <w:szCs w:val="24"/>
          <w:lang w:val="en-GB"/>
        </w:rPr>
        <w:t xml:space="preserve">ATP </w:t>
      </w:r>
      <w:r>
        <w:rPr>
          <w:rFonts w:eastAsia="Times New Roman" w:cs="Times New Roman"/>
          <w:noProof/>
          <w:szCs w:val="24"/>
          <w:lang w:val="en-GB"/>
        </w:rPr>
        <w:tab/>
      </w:r>
      <w:r>
        <w:rPr>
          <w:rFonts w:eastAsia="Times New Roman" w:cs="Times New Roman"/>
          <w:noProof/>
          <w:szCs w:val="24"/>
          <w:lang w:val="en-GB"/>
        </w:rPr>
        <w:tab/>
      </w:r>
      <w:r w:rsidRPr="002879DF">
        <w:rPr>
          <w:rFonts w:eastAsia="Times New Roman" w:cs="Times New Roman"/>
          <w:noProof/>
          <w:szCs w:val="24"/>
          <w:lang w:val="en-GB"/>
        </w:rPr>
        <w:t>Adenosine triphosphate</w:t>
      </w:r>
    </w:p>
    <w:p w14:paraId="452220DF" w14:textId="5670F8D0" w:rsidR="002879DF" w:rsidRPr="002879DF" w:rsidRDefault="002879DF" w:rsidP="002879DF">
      <w:pPr>
        <w:rPr>
          <w:rFonts w:eastAsia="Times New Roman" w:cs="Times New Roman"/>
          <w:noProof/>
          <w:szCs w:val="24"/>
          <w:lang w:val="en-GB"/>
        </w:rPr>
      </w:pPr>
      <w:r w:rsidRPr="002879DF">
        <w:rPr>
          <w:rFonts w:eastAsia="Times New Roman" w:cs="Times New Roman"/>
          <w:noProof/>
          <w:szCs w:val="24"/>
          <w:lang w:val="en-GB"/>
        </w:rPr>
        <w:t xml:space="preserve">AU </w:t>
      </w:r>
      <w:r>
        <w:rPr>
          <w:rFonts w:eastAsia="Times New Roman" w:cs="Times New Roman"/>
          <w:noProof/>
          <w:szCs w:val="24"/>
          <w:lang w:val="en-GB"/>
        </w:rPr>
        <w:tab/>
      </w:r>
      <w:r>
        <w:rPr>
          <w:rFonts w:eastAsia="Times New Roman" w:cs="Times New Roman"/>
          <w:noProof/>
          <w:szCs w:val="24"/>
          <w:lang w:val="en-GB"/>
        </w:rPr>
        <w:tab/>
      </w:r>
      <w:r w:rsidRPr="002879DF">
        <w:rPr>
          <w:rFonts w:eastAsia="Times New Roman" w:cs="Times New Roman"/>
          <w:noProof/>
          <w:szCs w:val="24"/>
          <w:lang w:val="en-GB"/>
        </w:rPr>
        <w:t>Absorption units</w:t>
      </w:r>
    </w:p>
    <w:p w14:paraId="1CEF1402" w14:textId="64FF0A3D" w:rsidR="002879DF" w:rsidRPr="002879DF" w:rsidRDefault="002879DF" w:rsidP="002879DF">
      <w:pPr>
        <w:rPr>
          <w:rFonts w:eastAsia="Times New Roman" w:cs="Times New Roman"/>
          <w:noProof/>
          <w:szCs w:val="24"/>
          <w:lang w:val="en-GB"/>
        </w:rPr>
      </w:pPr>
      <w:r w:rsidRPr="002879DF">
        <w:rPr>
          <w:rFonts w:eastAsia="Times New Roman" w:cs="Times New Roman"/>
          <w:noProof/>
          <w:szCs w:val="24"/>
          <w:lang w:val="en-GB"/>
        </w:rPr>
        <w:t xml:space="preserve">CHAPS </w:t>
      </w:r>
      <w:r>
        <w:rPr>
          <w:rFonts w:eastAsia="Times New Roman" w:cs="Times New Roman"/>
          <w:noProof/>
          <w:szCs w:val="24"/>
          <w:lang w:val="en-GB"/>
        </w:rPr>
        <w:tab/>
      </w:r>
      <w:r w:rsidRPr="002879DF">
        <w:rPr>
          <w:rFonts w:eastAsia="Times New Roman" w:cs="Times New Roman"/>
          <w:noProof/>
          <w:szCs w:val="24"/>
          <w:lang w:val="en-GB"/>
        </w:rPr>
        <w:t xml:space="preserve">3-[(3-cholamidopropyl)-dimethylammonio]-1-propane sulphonate </w:t>
      </w:r>
    </w:p>
    <w:p w14:paraId="25165D16" w14:textId="32625DDE" w:rsidR="002879DF" w:rsidRPr="002879DF" w:rsidRDefault="002879DF" w:rsidP="002879DF">
      <w:pPr>
        <w:rPr>
          <w:rFonts w:eastAsia="Times New Roman" w:cs="Times New Roman"/>
          <w:noProof/>
          <w:szCs w:val="24"/>
          <w:lang w:val="en-GB"/>
        </w:rPr>
      </w:pPr>
      <w:r w:rsidRPr="002879DF">
        <w:rPr>
          <w:rFonts w:eastAsia="Times New Roman" w:cs="Times New Roman"/>
          <w:noProof/>
          <w:szCs w:val="24"/>
          <w:lang w:val="en-GB"/>
        </w:rPr>
        <w:t xml:space="preserve">Cryo-EM </w:t>
      </w:r>
      <w:r>
        <w:rPr>
          <w:rFonts w:eastAsia="Times New Roman" w:cs="Times New Roman"/>
          <w:noProof/>
          <w:szCs w:val="24"/>
          <w:lang w:val="en-GB"/>
        </w:rPr>
        <w:tab/>
      </w:r>
      <w:r w:rsidRPr="002879DF">
        <w:rPr>
          <w:rFonts w:eastAsia="Times New Roman" w:cs="Times New Roman"/>
          <w:noProof/>
          <w:szCs w:val="24"/>
          <w:lang w:val="en-GB"/>
        </w:rPr>
        <w:t>electron cryo-microscopy</w:t>
      </w:r>
    </w:p>
    <w:p w14:paraId="65FDCF6F" w14:textId="09B0A842" w:rsidR="002879DF" w:rsidRPr="002879DF" w:rsidRDefault="002879DF" w:rsidP="002879DF">
      <w:pPr>
        <w:rPr>
          <w:rFonts w:eastAsia="Times New Roman" w:cs="Times New Roman"/>
          <w:noProof/>
          <w:szCs w:val="24"/>
          <w:lang w:val="en-GB"/>
        </w:rPr>
      </w:pPr>
      <w:r w:rsidRPr="002879DF">
        <w:rPr>
          <w:rFonts w:eastAsia="Times New Roman" w:cs="Times New Roman"/>
          <w:noProof/>
          <w:szCs w:val="24"/>
          <w:lang w:val="en-GB"/>
        </w:rPr>
        <w:t xml:space="preserve">CTF </w:t>
      </w:r>
      <w:r>
        <w:rPr>
          <w:rFonts w:eastAsia="Times New Roman" w:cs="Times New Roman"/>
          <w:noProof/>
          <w:szCs w:val="24"/>
          <w:lang w:val="en-GB"/>
        </w:rPr>
        <w:tab/>
      </w:r>
      <w:r>
        <w:rPr>
          <w:rFonts w:eastAsia="Times New Roman" w:cs="Times New Roman"/>
          <w:noProof/>
          <w:szCs w:val="24"/>
          <w:lang w:val="en-GB"/>
        </w:rPr>
        <w:tab/>
      </w:r>
      <w:r w:rsidRPr="002879DF">
        <w:rPr>
          <w:rFonts w:eastAsia="Times New Roman" w:cs="Times New Roman"/>
          <w:noProof/>
          <w:szCs w:val="24"/>
          <w:lang w:val="en-GB"/>
        </w:rPr>
        <w:t>Contrast transfer function</w:t>
      </w:r>
    </w:p>
    <w:p w14:paraId="550BC93D" w14:textId="27B4AAB1" w:rsidR="002879DF" w:rsidRPr="002879DF" w:rsidRDefault="002879DF" w:rsidP="002879DF">
      <w:pPr>
        <w:rPr>
          <w:rFonts w:eastAsia="Times New Roman" w:cs="Times New Roman"/>
          <w:noProof/>
          <w:szCs w:val="24"/>
          <w:lang w:val="en-GB"/>
        </w:rPr>
      </w:pPr>
      <w:r w:rsidRPr="002879DF">
        <w:rPr>
          <w:rFonts w:eastAsia="Times New Roman" w:cs="Times New Roman"/>
          <w:noProof/>
          <w:szCs w:val="24"/>
          <w:lang w:val="en-GB"/>
        </w:rPr>
        <w:t xml:space="preserve">DDM </w:t>
      </w:r>
      <w:r>
        <w:rPr>
          <w:rFonts w:eastAsia="Times New Roman" w:cs="Times New Roman"/>
          <w:noProof/>
          <w:szCs w:val="24"/>
          <w:lang w:val="en-GB"/>
        </w:rPr>
        <w:tab/>
      </w:r>
      <w:r>
        <w:rPr>
          <w:rFonts w:eastAsia="Times New Roman" w:cs="Times New Roman"/>
          <w:noProof/>
          <w:szCs w:val="24"/>
          <w:lang w:val="en-GB"/>
        </w:rPr>
        <w:tab/>
      </w:r>
      <w:r w:rsidRPr="002879DF">
        <w:rPr>
          <w:rFonts w:eastAsia="Times New Roman" w:cs="Times New Roman"/>
          <w:noProof/>
          <w:szCs w:val="24"/>
          <w:lang w:val="en-GB"/>
        </w:rPr>
        <w:t>n-dodecyl-β-maltoside</w:t>
      </w:r>
    </w:p>
    <w:p w14:paraId="739B7DFB" w14:textId="342C27D3" w:rsidR="002879DF" w:rsidRPr="002879DF" w:rsidRDefault="002879DF" w:rsidP="002879DF">
      <w:pPr>
        <w:rPr>
          <w:rFonts w:eastAsia="Times New Roman" w:cs="Times New Roman"/>
          <w:noProof/>
          <w:szCs w:val="24"/>
          <w:lang w:val="en-GB"/>
        </w:rPr>
      </w:pPr>
      <w:r w:rsidRPr="002879DF">
        <w:rPr>
          <w:rFonts w:eastAsia="Times New Roman" w:cs="Times New Roman"/>
          <w:noProof/>
          <w:szCs w:val="24"/>
          <w:lang w:val="en-GB"/>
        </w:rPr>
        <w:t xml:space="preserve">DQ </w:t>
      </w:r>
      <w:r>
        <w:rPr>
          <w:rFonts w:eastAsia="Times New Roman" w:cs="Times New Roman"/>
          <w:noProof/>
          <w:szCs w:val="24"/>
          <w:lang w:val="en-GB"/>
        </w:rPr>
        <w:tab/>
      </w:r>
      <w:r>
        <w:rPr>
          <w:rFonts w:eastAsia="Times New Roman" w:cs="Times New Roman"/>
          <w:noProof/>
          <w:szCs w:val="24"/>
          <w:lang w:val="en-GB"/>
        </w:rPr>
        <w:tab/>
      </w:r>
      <w:r w:rsidRPr="002879DF">
        <w:rPr>
          <w:rFonts w:eastAsia="Times New Roman" w:cs="Times New Roman"/>
          <w:noProof/>
          <w:szCs w:val="24"/>
          <w:lang w:val="en-GB"/>
        </w:rPr>
        <w:t>Decylubiquinone</w:t>
      </w:r>
    </w:p>
    <w:p w14:paraId="3588FCFC" w14:textId="03D2C031" w:rsidR="002879DF" w:rsidRPr="002879DF" w:rsidRDefault="002879DF" w:rsidP="002879DF">
      <w:pPr>
        <w:rPr>
          <w:rFonts w:eastAsia="Times New Roman" w:cs="Times New Roman"/>
          <w:noProof/>
          <w:szCs w:val="24"/>
          <w:lang w:val="en-GB"/>
        </w:rPr>
      </w:pPr>
      <w:r w:rsidRPr="002879DF">
        <w:rPr>
          <w:rFonts w:eastAsia="Times New Roman" w:cs="Times New Roman"/>
          <w:noProof/>
          <w:szCs w:val="24"/>
          <w:lang w:val="en-GB"/>
        </w:rPr>
        <w:t xml:space="preserve">ETC </w:t>
      </w:r>
      <w:r>
        <w:rPr>
          <w:rFonts w:eastAsia="Times New Roman" w:cs="Times New Roman"/>
          <w:noProof/>
          <w:szCs w:val="24"/>
          <w:lang w:val="en-GB"/>
        </w:rPr>
        <w:tab/>
      </w:r>
      <w:r>
        <w:rPr>
          <w:rFonts w:eastAsia="Times New Roman" w:cs="Times New Roman"/>
          <w:noProof/>
          <w:szCs w:val="24"/>
          <w:lang w:val="en-GB"/>
        </w:rPr>
        <w:tab/>
      </w:r>
      <w:r w:rsidRPr="002879DF">
        <w:rPr>
          <w:rFonts w:eastAsia="Times New Roman" w:cs="Times New Roman"/>
          <w:noProof/>
          <w:szCs w:val="24"/>
          <w:lang w:val="en-GB"/>
        </w:rPr>
        <w:t>Electron transport chain</w:t>
      </w:r>
    </w:p>
    <w:p w14:paraId="635E0FAF" w14:textId="0F7597E6" w:rsidR="002879DF" w:rsidRPr="002879DF" w:rsidRDefault="002879DF" w:rsidP="002879DF">
      <w:pPr>
        <w:rPr>
          <w:rFonts w:eastAsia="Times New Roman" w:cs="Times New Roman"/>
          <w:noProof/>
          <w:szCs w:val="24"/>
          <w:lang w:val="en-GB"/>
        </w:rPr>
      </w:pPr>
      <w:r w:rsidRPr="002879DF">
        <w:rPr>
          <w:rFonts w:eastAsia="Times New Roman" w:cs="Times New Roman"/>
          <w:noProof/>
          <w:szCs w:val="24"/>
          <w:lang w:val="en-GB"/>
        </w:rPr>
        <w:t xml:space="preserve">FeCN </w:t>
      </w:r>
      <w:r>
        <w:rPr>
          <w:rFonts w:eastAsia="Times New Roman" w:cs="Times New Roman"/>
          <w:noProof/>
          <w:szCs w:val="24"/>
          <w:lang w:val="en-GB"/>
        </w:rPr>
        <w:tab/>
      </w:r>
      <w:r>
        <w:rPr>
          <w:rFonts w:eastAsia="Times New Roman" w:cs="Times New Roman"/>
          <w:noProof/>
          <w:szCs w:val="24"/>
          <w:lang w:val="en-GB"/>
        </w:rPr>
        <w:tab/>
      </w:r>
      <w:r w:rsidRPr="002879DF">
        <w:rPr>
          <w:rFonts w:eastAsia="Times New Roman" w:cs="Times New Roman"/>
          <w:noProof/>
          <w:szCs w:val="24"/>
          <w:lang w:val="en-GB"/>
        </w:rPr>
        <w:t>Potassium hexacyanoferrate (III) K3[Fe(CN)6]</w:t>
      </w:r>
    </w:p>
    <w:p w14:paraId="2A8C98FF" w14:textId="46257EAF" w:rsidR="002879DF" w:rsidRPr="002879DF" w:rsidRDefault="002879DF" w:rsidP="002879DF">
      <w:pPr>
        <w:rPr>
          <w:rFonts w:eastAsia="Times New Roman" w:cs="Times New Roman"/>
          <w:noProof/>
          <w:szCs w:val="24"/>
          <w:lang w:val="en-GB"/>
        </w:rPr>
      </w:pPr>
      <w:r w:rsidRPr="002879DF">
        <w:rPr>
          <w:rFonts w:eastAsia="Times New Roman" w:cs="Times New Roman"/>
          <w:noProof/>
          <w:szCs w:val="24"/>
          <w:lang w:val="en-GB"/>
        </w:rPr>
        <w:t xml:space="preserve">FMN </w:t>
      </w:r>
      <w:r>
        <w:rPr>
          <w:rFonts w:eastAsia="Times New Roman" w:cs="Times New Roman"/>
          <w:noProof/>
          <w:szCs w:val="24"/>
          <w:lang w:val="en-GB"/>
        </w:rPr>
        <w:tab/>
      </w:r>
      <w:r>
        <w:rPr>
          <w:rFonts w:eastAsia="Times New Roman" w:cs="Times New Roman"/>
          <w:noProof/>
          <w:szCs w:val="24"/>
          <w:lang w:val="en-GB"/>
        </w:rPr>
        <w:tab/>
      </w:r>
      <w:r w:rsidRPr="002879DF">
        <w:rPr>
          <w:rFonts w:eastAsia="Times New Roman" w:cs="Times New Roman"/>
          <w:noProof/>
          <w:szCs w:val="24"/>
          <w:lang w:val="en-GB"/>
        </w:rPr>
        <w:t>Flavin mononucleotide</w:t>
      </w:r>
    </w:p>
    <w:p w14:paraId="2CB2ECFD" w14:textId="1625193A" w:rsidR="002879DF" w:rsidRPr="002879DF" w:rsidRDefault="002879DF" w:rsidP="002879DF">
      <w:pPr>
        <w:rPr>
          <w:rFonts w:eastAsia="Times New Roman" w:cs="Times New Roman"/>
          <w:noProof/>
          <w:szCs w:val="24"/>
          <w:lang w:val="en-GB"/>
        </w:rPr>
      </w:pPr>
      <w:r w:rsidRPr="002879DF">
        <w:rPr>
          <w:rFonts w:eastAsia="Times New Roman" w:cs="Times New Roman"/>
          <w:noProof/>
          <w:szCs w:val="24"/>
          <w:lang w:val="en-GB"/>
        </w:rPr>
        <w:t xml:space="preserve">FSC </w:t>
      </w:r>
      <w:r>
        <w:rPr>
          <w:rFonts w:eastAsia="Times New Roman" w:cs="Times New Roman"/>
          <w:noProof/>
          <w:szCs w:val="24"/>
          <w:lang w:val="en-GB"/>
        </w:rPr>
        <w:tab/>
      </w:r>
      <w:r>
        <w:rPr>
          <w:rFonts w:eastAsia="Times New Roman" w:cs="Times New Roman"/>
          <w:noProof/>
          <w:szCs w:val="24"/>
          <w:lang w:val="en-GB"/>
        </w:rPr>
        <w:tab/>
      </w:r>
      <w:r w:rsidRPr="002879DF">
        <w:rPr>
          <w:rFonts w:eastAsia="Times New Roman" w:cs="Times New Roman"/>
          <w:noProof/>
          <w:szCs w:val="24"/>
          <w:lang w:val="en-GB"/>
        </w:rPr>
        <w:t>Fourier shell correlation</w:t>
      </w:r>
    </w:p>
    <w:p w14:paraId="0D3ABF1C" w14:textId="106E7FBF" w:rsidR="002879DF" w:rsidRPr="002879DF" w:rsidRDefault="002879DF" w:rsidP="002879DF">
      <w:pPr>
        <w:rPr>
          <w:rFonts w:eastAsia="Times New Roman" w:cs="Times New Roman"/>
          <w:noProof/>
          <w:szCs w:val="24"/>
          <w:lang w:val="en-GB"/>
        </w:rPr>
      </w:pPr>
      <w:r w:rsidRPr="002879DF">
        <w:rPr>
          <w:rFonts w:eastAsia="Times New Roman" w:cs="Times New Roman"/>
          <w:noProof/>
          <w:szCs w:val="24"/>
          <w:lang w:val="en-GB"/>
        </w:rPr>
        <w:t xml:space="preserve">IMS </w:t>
      </w:r>
      <w:r>
        <w:rPr>
          <w:rFonts w:eastAsia="Times New Roman" w:cs="Times New Roman"/>
          <w:noProof/>
          <w:szCs w:val="24"/>
          <w:lang w:val="en-GB"/>
        </w:rPr>
        <w:tab/>
      </w:r>
      <w:r>
        <w:rPr>
          <w:rFonts w:eastAsia="Times New Roman" w:cs="Times New Roman"/>
          <w:noProof/>
          <w:szCs w:val="24"/>
          <w:lang w:val="en-GB"/>
        </w:rPr>
        <w:tab/>
      </w:r>
      <w:r w:rsidRPr="002879DF">
        <w:rPr>
          <w:rFonts w:eastAsia="Times New Roman" w:cs="Times New Roman"/>
          <w:noProof/>
          <w:szCs w:val="24"/>
          <w:lang w:val="en-GB"/>
        </w:rPr>
        <w:t>Intermembrane space</w:t>
      </w:r>
    </w:p>
    <w:p w14:paraId="21C24667" w14:textId="4E202473" w:rsidR="002879DF" w:rsidRPr="002879DF" w:rsidRDefault="002879DF" w:rsidP="002879DF">
      <w:pPr>
        <w:rPr>
          <w:rFonts w:eastAsia="Times New Roman" w:cs="Times New Roman"/>
          <w:noProof/>
          <w:szCs w:val="24"/>
          <w:lang w:val="en-GB"/>
        </w:rPr>
      </w:pPr>
      <w:r w:rsidRPr="002879DF">
        <w:rPr>
          <w:rFonts w:eastAsia="Times New Roman" w:cs="Times New Roman"/>
          <w:noProof/>
          <w:szCs w:val="24"/>
          <w:lang w:val="en-GB"/>
        </w:rPr>
        <w:t xml:space="preserve">kDa </w:t>
      </w:r>
      <w:r>
        <w:rPr>
          <w:rFonts w:eastAsia="Times New Roman" w:cs="Times New Roman"/>
          <w:noProof/>
          <w:szCs w:val="24"/>
          <w:lang w:val="en-GB"/>
        </w:rPr>
        <w:tab/>
      </w:r>
      <w:r>
        <w:rPr>
          <w:rFonts w:eastAsia="Times New Roman" w:cs="Times New Roman"/>
          <w:noProof/>
          <w:szCs w:val="24"/>
          <w:lang w:val="en-GB"/>
        </w:rPr>
        <w:tab/>
      </w:r>
      <w:r w:rsidRPr="002879DF">
        <w:rPr>
          <w:rFonts w:eastAsia="Times New Roman" w:cs="Times New Roman"/>
          <w:noProof/>
          <w:szCs w:val="24"/>
          <w:lang w:val="en-GB"/>
        </w:rPr>
        <w:t>Kilodalton</w:t>
      </w:r>
    </w:p>
    <w:p w14:paraId="4C9BBC7D" w14:textId="5854F8E5" w:rsidR="002879DF" w:rsidRPr="002879DF" w:rsidRDefault="002879DF" w:rsidP="002879DF">
      <w:pPr>
        <w:rPr>
          <w:rFonts w:eastAsia="Times New Roman" w:cs="Times New Roman"/>
          <w:noProof/>
          <w:szCs w:val="24"/>
          <w:lang w:val="en-GB"/>
        </w:rPr>
      </w:pPr>
      <w:r w:rsidRPr="002879DF">
        <w:rPr>
          <w:rFonts w:eastAsia="Times New Roman" w:cs="Times New Roman"/>
          <w:noProof/>
          <w:szCs w:val="24"/>
          <w:lang w:val="en-GB"/>
        </w:rPr>
        <w:t xml:space="preserve">LMNG </w:t>
      </w:r>
      <w:r>
        <w:rPr>
          <w:rFonts w:eastAsia="Times New Roman" w:cs="Times New Roman"/>
          <w:noProof/>
          <w:szCs w:val="24"/>
          <w:lang w:val="en-GB"/>
        </w:rPr>
        <w:tab/>
      </w:r>
      <w:r w:rsidRPr="002879DF">
        <w:rPr>
          <w:rFonts w:eastAsia="Times New Roman" w:cs="Times New Roman"/>
          <w:noProof/>
          <w:szCs w:val="24"/>
          <w:lang w:val="en-GB"/>
        </w:rPr>
        <w:t>Lauryl maltoside neopentylglycol</w:t>
      </w:r>
    </w:p>
    <w:p w14:paraId="0C132B28" w14:textId="6373EA09" w:rsidR="002879DF" w:rsidRPr="002879DF" w:rsidRDefault="002879DF" w:rsidP="002879DF">
      <w:pPr>
        <w:rPr>
          <w:rFonts w:eastAsia="Times New Roman" w:cs="Times New Roman"/>
          <w:noProof/>
          <w:szCs w:val="24"/>
          <w:lang w:val="en-GB"/>
        </w:rPr>
      </w:pPr>
      <w:r>
        <w:rPr>
          <w:rFonts w:eastAsia="Times New Roman" w:cs="Times New Roman"/>
          <w:noProof/>
          <w:szCs w:val="24"/>
          <w:lang w:val="en-GB"/>
        </w:rPr>
        <w:t xml:space="preserve">MA </w:t>
      </w:r>
      <w:r>
        <w:rPr>
          <w:rFonts w:eastAsia="Times New Roman" w:cs="Times New Roman"/>
          <w:noProof/>
          <w:szCs w:val="24"/>
          <w:lang w:val="en-GB"/>
        </w:rPr>
        <w:tab/>
      </w:r>
      <w:r>
        <w:rPr>
          <w:rFonts w:eastAsia="Times New Roman" w:cs="Times New Roman"/>
          <w:noProof/>
          <w:szCs w:val="24"/>
          <w:lang w:val="en-GB"/>
        </w:rPr>
        <w:tab/>
        <w:t>Membrane arm</w:t>
      </w:r>
    </w:p>
    <w:p w14:paraId="566B477D" w14:textId="7419FB13" w:rsidR="002879DF" w:rsidRPr="002879DF" w:rsidRDefault="002879DF" w:rsidP="002879DF">
      <w:pPr>
        <w:rPr>
          <w:rFonts w:eastAsia="Times New Roman" w:cs="Times New Roman"/>
          <w:noProof/>
          <w:szCs w:val="24"/>
          <w:lang w:val="en-GB"/>
        </w:rPr>
      </w:pPr>
      <w:r w:rsidRPr="002879DF">
        <w:rPr>
          <w:rFonts w:eastAsia="Times New Roman" w:cs="Times New Roman"/>
          <w:noProof/>
          <w:szCs w:val="24"/>
          <w:lang w:val="en-GB"/>
        </w:rPr>
        <w:t xml:space="preserve">MES </w:t>
      </w:r>
      <w:r>
        <w:rPr>
          <w:rFonts w:eastAsia="Times New Roman" w:cs="Times New Roman"/>
          <w:noProof/>
          <w:szCs w:val="24"/>
          <w:lang w:val="en-GB"/>
        </w:rPr>
        <w:tab/>
      </w:r>
      <w:r>
        <w:rPr>
          <w:rFonts w:eastAsia="Times New Roman" w:cs="Times New Roman"/>
          <w:noProof/>
          <w:szCs w:val="24"/>
          <w:lang w:val="en-GB"/>
        </w:rPr>
        <w:tab/>
      </w:r>
      <w:r w:rsidRPr="002879DF">
        <w:rPr>
          <w:rFonts w:eastAsia="Times New Roman" w:cs="Times New Roman"/>
          <w:noProof/>
          <w:szCs w:val="24"/>
          <w:lang w:val="en-GB"/>
        </w:rPr>
        <w:t>2-(N-Morpholino)ethanesulfonic acid</w:t>
      </w:r>
    </w:p>
    <w:p w14:paraId="1759970A" w14:textId="00CAB14B" w:rsidR="002879DF" w:rsidRPr="002879DF" w:rsidRDefault="002879DF" w:rsidP="002879DF">
      <w:pPr>
        <w:rPr>
          <w:rFonts w:eastAsia="Times New Roman" w:cs="Times New Roman"/>
          <w:noProof/>
          <w:szCs w:val="24"/>
          <w:lang w:val="en-GB"/>
        </w:rPr>
      </w:pPr>
      <w:r w:rsidRPr="002879DF">
        <w:rPr>
          <w:rFonts w:eastAsia="Times New Roman" w:cs="Times New Roman"/>
          <w:noProof/>
          <w:szCs w:val="24"/>
          <w:lang w:val="en-GB"/>
        </w:rPr>
        <w:t xml:space="preserve">NAD+ </w:t>
      </w:r>
      <w:r>
        <w:rPr>
          <w:rFonts w:eastAsia="Times New Roman" w:cs="Times New Roman"/>
          <w:noProof/>
          <w:szCs w:val="24"/>
          <w:lang w:val="en-GB"/>
        </w:rPr>
        <w:tab/>
      </w:r>
      <w:r>
        <w:rPr>
          <w:rFonts w:eastAsia="Times New Roman" w:cs="Times New Roman"/>
          <w:noProof/>
          <w:szCs w:val="24"/>
          <w:lang w:val="en-GB"/>
        </w:rPr>
        <w:tab/>
      </w:r>
      <w:r w:rsidRPr="002879DF">
        <w:rPr>
          <w:rFonts w:eastAsia="Times New Roman" w:cs="Times New Roman"/>
          <w:noProof/>
          <w:szCs w:val="24"/>
          <w:lang w:val="en-GB"/>
        </w:rPr>
        <w:t>Nicotinamide adenine dinucleotide, oxidised</w:t>
      </w:r>
    </w:p>
    <w:p w14:paraId="63042735" w14:textId="30CB611D" w:rsidR="002879DF" w:rsidRPr="002879DF" w:rsidRDefault="002879DF" w:rsidP="002879DF">
      <w:pPr>
        <w:rPr>
          <w:rFonts w:eastAsia="Times New Roman" w:cs="Times New Roman"/>
          <w:noProof/>
          <w:szCs w:val="24"/>
          <w:lang w:val="en-GB"/>
        </w:rPr>
      </w:pPr>
      <w:r w:rsidRPr="002879DF">
        <w:rPr>
          <w:rFonts w:eastAsia="Times New Roman" w:cs="Times New Roman"/>
          <w:noProof/>
          <w:szCs w:val="24"/>
          <w:lang w:val="en-GB"/>
        </w:rPr>
        <w:t xml:space="preserve">NADH </w:t>
      </w:r>
      <w:r>
        <w:rPr>
          <w:rFonts w:eastAsia="Times New Roman" w:cs="Times New Roman"/>
          <w:noProof/>
          <w:szCs w:val="24"/>
          <w:lang w:val="en-GB"/>
        </w:rPr>
        <w:tab/>
      </w:r>
      <w:r w:rsidRPr="002879DF">
        <w:rPr>
          <w:rFonts w:eastAsia="Times New Roman" w:cs="Times New Roman"/>
          <w:noProof/>
          <w:szCs w:val="24"/>
          <w:lang w:val="en-GB"/>
        </w:rPr>
        <w:t>Nicotinamide adenine dinucleotide, reduced</w:t>
      </w:r>
    </w:p>
    <w:p w14:paraId="31610E85" w14:textId="46DCDF03" w:rsidR="002879DF" w:rsidRPr="002879DF" w:rsidRDefault="002879DF" w:rsidP="002879DF">
      <w:pPr>
        <w:rPr>
          <w:rFonts w:eastAsia="Times New Roman" w:cs="Times New Roman"/>
          <w:noProof/>
          <w:szCs w:val="24"/>
          <w:lang w:val="en-GB"/>
        </w:rPr>
      </w:pPr>
      <w:r w:rsidRPr="002879DF">
        <w:rPr>
          <w:rFonts w:eastAsia="Times New Roman" w:cs="Times New Roman"/>
          <w:noProof/>
          <w:szCs w:val="24"/>
          <w:lang w:val="en-GB"/>
        </w:rPr>
        <w:t xml:space="preserve">NADP+ </w:t>
      </w:r>
      <w:r>
        <w:rPr>
          <w:rFonts w:eastAsia="Times New Roman" w:cs="Times New Roman"/>
          <w:noProof/>
          <w:szCs w:val="24"/>
          <w:lang w:val="en-GB"/>
        </w:rPr>
        <w:tab/>
      </w:r>
      <w:r w:rsidRPr="002879DF">
        <w:rPr>
          <w:rFonts w:eastAsia="Times New Roman" w:cs="Times New Roman"/>
          <w:noProof/>
          <w:szCs w:val="24"/>
          <w:lang w:val="en-GB"/>
        </w:rPr>
        <w:t>Nicotinamide adenine dinucleotide phosphate, oxidised</w:t>
      </w:r>
    </w:p>
    <w:p w14:paraId="7376DE3A" w14:textId="2AC7BDB9" w:rsidR="002879DF" w:rsidRPr="002879DF" w:rsidRDefault="002879DF" w:rsidP="002879DF">
      <w:pPr>
        <w:rPr>
          <w:rFonts w:eastAsia="Times New Roman" w:cs="Times New Roman"/>
          <w:noProof/>
          <w:szCs w:val="24"/>
          <w:lang w:val="en-GB"/>
        </w:rPr>
      </w:pPr>
      <w:r w:rsidRPr="002879DF">
        <w:rPr>
          <w:rFonts w:eastAsia="Times New Roman" w:cs="Times New Roman"/>
          <w:noProof/>
          <w:szCs w:val="24"/>
          <w:lang w:val="en-GB"/>
        </w:rPr>
        <w:t xml:space="preserve">NADPH </w:t>
      </w:r>
      <w:r>
        <w:rPr>
          <w:rFonts w:eastAsia="Times New Roman" w:cs="Times New Roman"/>
          <w:noProof/>
          <w:szCs w:val="24"/>
          <w:lang w:val="en-GB"/>
        </w:rPr>
        <w:tab/>
      </w:r>
      <w:r w:rsidRPr="002879DF">
        <w:rPr>
          <w:rFonts w:eastAsia="Times New Roman" w:cs="Times New Roman"/>
          <w:noProof/>
          <w:szCs w:val="24"/>
          <w:lang w:val="en-GB"/>
        </w:rPr>
        <w:t>Nicotinamide adenine dinucleotide phosphate, reduced</w:t>
      </w:r>
    </w:p>
    <w:p w14:paraId="45A9069D" w14:textId="024D1ED9" w:rsidR="002879DF" w:rsidRPr="002879DF" w:rsidRDefault="002879DF" w:rsidP="002879DF">
      <w:pPr>
        <w:rPr>
          <w:rFonts w:eastAsia="Times New Roman" w:cs="Times New Roman"/>
          <w:noProof/>
          <w:szCs w:val="24"/>
          <w:lang w:val="en-GB"/>
        </w:rPr>
      </w:pPr>
      <w:r w:rsidRPr="002879DF">
        <w:rPr>
          <w:rFonts w:eastAsia="Times New Roman" w:cs="Times New Roman"/>
          <w:noProof/>
          <w:szCs w:val="24"/>
          <w:lang w:val="en-GB"/>
        </w:rPr>
        <w:t xml:space="preserve">PA </w:t>
      </w:r>
      <w:r>
        <w:rPr>
          <w:rFonts w:eastAsia="Times New Roman" w:cs="Times New Roman"/>
          <w:noProof/>
          <w:szCs w:val="24"/>
          <w:lang w:val="en-GB"/>
        </w:rPr>
        <w:tab/>
      </w:r>
      <w:r>
        <w:rPr>
          <w:rFonts w:eastAsia="Times New Roman" w:cs="Times New Roman"/>
          <w:noProof/>
          <w:szCs w:val="24"/>
          <w:lang w:val="en-GB"/>
        </w:rPr>
        <w:tab/>
      </w:r>
      <w:r w:rsidRPr="002879DF">
        <w:rPr>
          <w:rFonts w:eastAsia="Times New Roman" w:cs="Times New Roman"/>
          <w:noProof/>
          <w:szCs w:val="24"/>
          <w:lang w:val="en-GB"/>
        </w:rPr>
        <w:t>Peripheral arm</w:t>
      </w:r>
    </w:p>
    <w:p w14:paraId="536FB18C" w14:textId="1BEA4146" w:rsidR="002879DF" w:rsidRPr="002879DF" w:rsidRDefault="002879DF" w:rsidP="002879DF">
      <w:pPr>
        <w:rPr>
          <w:rFonts w:eastAsia="Times New Roman" w:cs="Times New Roman"/>
          <w:noProof/>
          <w:szCs w:val="24"/>
          <w:lang w:val="en-GB"/>
        </w:rPr>
      </w:pPr>
      <w:r w:rsidRPr="002879DF">
        <w:rPr>
          <w:rFonts w:eastAsia="Times New Roman" w:cs="Times New Roman"/>
          <w:noProof/>
          <w:szCs w:val="24"/>
          <w:lang w:val="en-GB"/>
        </w:rPr>
        <w:t xml:space="preserve">PC </w:t>
      </w:r>
      <w:r>
        <w:rPr>
          <w:rFonts w:eastAsia="Times New Roman" w:cs="Times New Roman"/>
          <w:noProof/>
          <w:szCs w:val="24"/>
          <w:lang w:val="en-GB"/>
        </w:rPr>
        <w:tab/>
      </w:r>
      <w:r>
        <w:rPr>
          <w:rFonts w:eastAsia="Times New Roman" w:cs="Times New Roman"/>
          <w:noProof/>
          <w:szCs w:val="24"/>
          <w:lang w:val="en-GB"/>
        </w:rPr>
        <w:tab/>
      </w:r>
      <w:r w:rsidRPr="002879DF">
        <w:rPr>
          <w:rFonts w:eastAsia="Times New Roman" w:cs="Times New Roman"/>
          <w:noProof/>
          <w:szCs w:val="24"/>
          <w:lang w:val="en-GB"/>
        </w:rPr>
        <w:t>Phosphatidylcholine</w:t>
      </w:r>
    </w:p>
    <w:p w14:paraId="7EFB1868" w14:textId="769CDD39" w:rsidR="002879DF" w:rsidRPr="002879DF" w:rsidRDefault="002879DF" w:rsidP="002879DF">
      <w:pPr>
        <w:rPr>
          <w:rFonts w:eastAsia="Times New Roman" w:cs="Times New Roman"/>
          <w:noProof/>
          <w:szCs w:val="24"/>
          <w:lang w:val="en-GB"/>
        </w:rPr>
      </w:pPr>
      <w:r w:rsidRPr="002879DF">
        <w:rPr>
          <w:rFonts w:eastAsia="Times New Roman" w:cs="Times New Roman"/>
          <w:noProof/>
          <w:szCs w:val="24"/>
          <w:lang w:val="en-GB"/>
        </w:rPr>
        <w:t xml:space="preserve">PDB </w:t>
      </w:r>
      <w:r>
        <w:rPr>
          <w:rFonts w:eastAsia="Times New Roman" w:cs="Times New Roman"/>
          <w:noProof/>
          <w:szCs w:val="24"/>
          <w:lang w:val="en-GB"/>
        </w:rPr>
        <w:tab/>
      </w:r>
      <w:r>
        <w:rPr>
          <w:rFonts w:eastAsia="Times New Roman" w:cs="Times New Roman"/>
          <w:noProof/>
          <w:szCs w:val="24"/>
          <w:lang w:val="en-GB"/>
        </w:rPr>
        <w:tab/>
      </w:r>
      <w:r w:rsidRPr="002879DF">
        <w:rPr>
          <w:rFonts w:eastAsia="Times New Roman" w:cs="Times New Roman"/>
          <w:noProof/>
          <w:szCs w:val="24"/>
          <w:lang w:val="en-GB"/>
        </w:rPr>
        <w:t>Protein data bank</w:t>
      </w:r>
    </w:p>
    <w:p w14:paraId="01E43D34" w14:textId="5BFE81B5" w:rsidR="002879DF" w:rsidRDefault="002879DF" w:rsidP="002879DF">
      <w:pPr>
        <w:rPr>
          <w:rFonts w:eastAsia="Times New Roman" w:cs="Times New Roman"/>
          <w:noProof/>
          <w:szCs w:val="24"/>
          <w:lang w:val="en-GB"/>
        </w:rPr>
      </w:pPr>
      <w:r w:rsidRPr="002879DF">
        <w:rPr>
          <w:rFonts w:eastAsia="Times New Roman" w:cs="Times New Roman"/>
          <w:noProof/>
          <w:szCs w:val="24"/>
          <w:lang w:val="en-GB"/>
        </w:rPr>
        <w:t xml:space="preserve">PE </w:t>
      </w:r>
      <w:r>
        <w:rPr>
          <w:rFonts w:eastAsia="Times New Roman" w:cs="Times New Roman"/>
          <w:noProof/>
          <w:szCs w:val="24"/>
          <w:lang w:val="en-GB"/>
        </w:rPr>
        <w:tab/>
      </w:r>
      <w:r>
        <w:rPr>
          <w:rFonts w:eastAsia="Times New Roman" w:cs="Times New Roman"/>
          <w:noProof/>
          <w:szCs w:val="24"/>
          <w:lang w:val="en-GB"/>
        </w:rPr>
        <w:tab/>
      </w:r>
      <w:r w:rsidRPr="002879DF">
        <w:rPr>
          <w:rFonts w:eastAsia="Times New Roman" w:cs="Times New Roman"/>
          <w:noProof/>
          <w:szCs w:val="24"/>
          <w:lang w:val="en-GB"/>
        </w:rPr>
        <w:t>Phosphatidylethanolamine</w:t>
      </w:r>
    </w:p>
    <w:p w14:paraId="19E7210F" w14:textId="40171270" w:rsidR="002879DF" w:rsidRPr="002879DF" w:rsidRDefault="002879DF" w:rsidP="002879DF">
      <w:pPr>
        <w:rPr>
          <w:rFonts w:eastAsia="Times New Roman" w:cs="Times New Roman"/>
          <w:noProof/>
          <w:szCs w:val="24"/>
          <w:lang w:val="en-GB"/>
        </w:rPr>
      </w:pPr>
      <w:r w:rsidRPr="002879DF">
        <w:rPr>
          <w:rFonts w:eastAsia="Times New Roman" w:cs="Times New Roman"/>
          <w:noProof/>
          <w:szCs w:val="24"/>
          <w:lang w:val="en-GB"/>
        </w:rPr>
        <w:t xml:space="preserve">Q </w:t>
      </w:r>
      <w:r>
        <w:rPr>
          <w:rFonts w:eastAsia="Times New Roman" w:cs="Times New Roman"/>
          <w:noProof/>
          <w:szCs w:val="24"/>
          <w:lang w:val="en-GB"/>
        </w:rPr>
        <w:tab/>
      </w:r>
      <w:r>
        <w:rPr>
          <w:rFonts w:eastAsia="Times New Roman" w:cs="Times New Roman"/>
          <w:noProof/>
          <w:szCs w:val="24"/>
          <w:lang w:val="en-GB"/>
        </w:rPr>
        <w:tab/>
      </w:r>
      <w:r w:rsidRPr="002879DF">
        <w:rPr>
          <w:rFonts w:eastAsia="Times New Roman" w:cs="Times New Roman"/>
          <w:noProof/>
          <w:szCs w:val="24"/>
          <w:lang w:val="en-GB"/>
        </w:rPr>
        <w:t>Quinone</w:t>
      </w:r>
    </w:p>
    <w:p w14:paraId="4DC2E760" w14:textId="729FC2CD" w:rsidR="002879DF" w:rsidRDefault="002879DF" w:rsidP="002879DF">
      <w:pPr>
        <w:rPr>
          <w:rFonts w:eastAsia="Times New Roman" w:cs="Times New Roman"/>
          <w:noProof/>
          <w:szCs w:val="24"/>
          <w:lang w:val="en-GB"/>
        </w:rPr>
      </w:pPr>
      <w:r w:rsidRPr="002879DF">
        <w:rPr>
          <w:rFonts w:eastAsia="Times New Roman" w:cs="Times New Roman"/>
          <w:noProof/>
          <w:szCs w:val="24"/>
          <w:lang w:val="en-GB"/>
        </w:rPr>
        <w:t>QH</w:t>
      </w:r>
      <w:r w:rsidRPr="002879DF">
        <w:rPr>
          <w:rFonts w:eastAsia="Times New Roman" w:cs="Times New Roman"/>
          <w:noProof/>
          <w:szCs w:val="24"/>
          <w:vertAlign w:val="subscript"/>
          <w:lang w:val="en-GB"/>
        </w:rPr>
        <w:t>2</w:t>
      </w:r>
      <w:r w:rsidRPr="002879DF">
        <w:rPr>
          <w:rFonts w:eastAsia="Times New Roman" w:cs="Times New Roman"/>
          <w:noProof/>
          <w:szCs w:val="24"/>
          <w:lang w:val="en-GB"/>
        </w:rPr>
        <w:t xml:space="preserve"> </w:t>
      </w:r>
      <w:r>
        <w:rPr>
          <w:rFonts w:eastAsia="Times New Roman" w:cs="Times New Roman"/>
          <w:noProof/>
          <w:szCs w:val="24"/>
          <w:lang w:val="en-GB"/>
        </w:rPr>
        <w:tab/>
      </w:r>
      <w:r>
        <w:rPr>
          <w:rFonts w:eastAsia="Times New Roman" w:cs="Times New Roman"/>
          <w:noProof/>
          <w:szCs w:val="24"/>
          <w:lang w:val="en-GB"/>
        </w:rPr>
        <w:tab/>
      </w:r>
      <w:r w:rsidRPr="002879DF">
        <w:rPr>
          <w:rFonts w:eastAsia="Times New Roman" w:cs="Times New Roman"/>
          <w:noProof/>
          <w:szCs w:val="24"/>
          <w:lang w:val="en-GB"/>
        </w:rPr>
        <w:t>Quino</w:t>
      </w:r>
      <w:r>
        <w:rPr>
          <w:rFonts w:eastAsia="Times New Roman" w:cs="Times New Roman"/>
          <w:noProof/>
          <w:szCs w:val="24"/>
          <w:lang w:val="en-GB"/>
        </w:rPr>
        <w:t>l</w:t>
      </w:r>
    </w:p>
    <w:p w14:paraId="3F75D26E" w14:textId="77777777" w:rsidR="00F6347B" w:rsidRDefault="0054297B" w:rsidP="002879DF">
      <w:pPr>
        <w:rPr>
          <w:rFonts w:eastAsia="Times New Roman" w:cs="Times New Roman"/>
          <w:noProof/>
          <w:szCs w:val="24"/>
          <w:lang w:val="en-GB"/>
        </w:rPr>
        <w:sectPr w:rsidR="00F6347B" w:rsidSect="00AD64B3">
          <w:footerReference w:type="even" r:id="rId11"/>
          <w:footerReference w:type="default" r:id="rId12"/>
          <w:footerReference w:type="first" r:id="rId13"/>
          <w:pgSz w:w="11906" w:h="16838"/>
          <w:pgMar w:top="1440" w:right="1440" w:bottom="1440" w:left="1440" w:header="720" w:footer="720" w:gutter="0"/>
          <w:pgNumType w:fmt="lowerRoman" w:start="5"/>
          <w:cols w:space="720"/>
          <w:docGrid w:linePitch="360"/>
        </w:sectPr>
      </w:pPr>
      <w:r w:rsidRPr="0054297B">
        <w:rPr>
          <w:rFonts w:eastAsia="Times New Roman" w:cs="Times New Roman"/>
          <w:noProof/>
          <w:szCs w:val="24"/>
          <w:lang w:val="en-GB"/>
        </w:rPr>
        <w:t xml:space="preserve">ROS </w:t>
      </w:r>
      <w:r>
        <w:rPr>
          <w:rFonts w:eastAsia="Times New Roman" w:cs="Times New Roman"/>
          <w:noProof/>
          <w:szCs w:val="24"/>
          <w:lang w:val="en-GB"/>
        </w:rPr>
        <w:tab/>
      </w:r>
      <w:r>
        <w:rPr>
          <w:rFonts w:eastAsia="Times New Roman" w:cs="Times New Roman"/>
          <w:noProof/>
          <w:szCs w:val="24"/>
          <w:lang w:val="en-GB"/>
        </w:rPr>
        <w:tab/>
      </w:r>
      <w:r w:rsidRPr="0054297B">
        <w:rPr>
          <w:rFonts w:eastAsia="Times New Roman" w:cs="Times New Roman"/>
          <w:noProof/>
          <w:szCs w:val="24"/>
          <w:lang w:val="en-GB"/>
        </w:rPr>
        <w:t>Reactive oxygen species</w:t>
      </w:r>
      <w:r w:rsidR="00F6347B">
        <w:rPr>
          <w:rFonts w:eastAsia="Times New Roman" w:cs="Times New Roman"/>
          <w:noProof/>
          <w:szCs w:val="24"/>
          <w:lang w:val="en-GB"/>
        </w:rPr>
        <w:t xml:space="preserve">  </w:t>
      </w:r>
    </w:p>
    <w:p w14:paraId="760121D0" w14:textId="65F9E93E" w:rsidR="0054297B" w:rsidRPr="002879DF" w:rsidRDefault="0054297B" w:rsidP="002879DF">
      <w:pPr>
        <w:rPr>
          <w:rFonts w:eastAsia="Times New Roman" w:cs="Times New Roman"/>
          <w:noProof/>
          <w:szCs w:val="24"/>
          <w:lang w:val="en-GB"/>
        </w:rPr>
      </w:pPr>
    </w:p>
    <w:p w14:paraId="6838E677" w14:textId="77777777" w:rsidR="00C017B5" w:rsidRPr="00E97FC1" w:rsidRDefault="00C017B5" w:rsidP="00716C6C">
      <w:pPr>
        <w:pStyle w:val="Heading1"/>
      </w:pPr>
      <w:bookmarkStart w:id="11" w:name="_Toc132639978"/>
      <w:r w:rsidRPr="00E97FC1">
        <w:t>Introduction</w:t>
      </w:r>
      <w:bookmarkEnd w:id="11"/>
    </w:p>
    <w:p w14:paraId="69EE6228" w14:textId="77777777" w:rsidR="00C017B5" w:rsidRPr="00E97FC1" w:rsidRDefault="00C017B5" w:rsidP="00F016AD">
      <w:pPr>
        <w:pStyle w:val="Heading2"/>
      </w:pPr>
      <w:bookmarkStart w:id="12" w:name="_Toc132639979"/>
      <w:r w:rsidRPr="00E97FC1">
        <w:t>Electron transport chain in different organisms</w:t>
      </w:r>
      <w:bookmarkEnd w:id="12"/>
    </w:p>
    <w:p w14:paraId="79388D31" w14:textId="77777777" w:rsidR="0023363C" w:rsidRPr="00E97FC1" w:rsidRDefault="00AC753C" w:rsidP="0023363C">
      <w:pPr>
        <w:ind w:firstLine="720"/>
        <w:rPr>
          <w:lang w:val="en-GB"/>
        </w:rPr>
      </w:pPr>
      <w:r w:rsidRPr="00E97FC1">
        <w:rPr>
          <w:lang w:val="en-GB"/>
        </w:rPr>
        <w:t>Adenosine triphosphate (ATP) is essential for cells to drive numerous processes during their lifecycle. ATP is primarily synthesized in the mitochondrial matrix by oxidative phosphorylation (OXPHOS), or cellular respiration. Electrons harvested mostly from the catabolic processes of tricarboxylic acid cycle (TCA), fatty acid oxidation and glycolysis enter the electron transport chain (ETC) on the inner mitochondrial membranes.</w:t>
      </w:r>
      <w:r w:rsidR="0023363C" w:rsidRPr="00E97FC1">
        <w:rPr>
          <w:lang w:val="en-GB"/>
        </w:rPr>
        <w:t xml:space="preserve"> According to the Chemiosmotic theory (postulated by Peter Mitchell in 1961) the free-energy released as the result of reactions performed in respiratory complexes is used for proton translocation from the mitochondrial matrix to the intermembrane space, in order to create a transmembrane difference in electrochemical potential</w:t>
      </w:r>
      <w:r w:rsidR="00364B62" w:rsidRPr="00E97FC1">
        <w:rPr>
          <w:lang w:val="en-GB"/>
        </w:rPr>
        <w:t xml:space="preserve"> </w:t>
      </w:r>
      <w:r w:rsidR="00364B62" w:rsidRPr="00E97FC1">
        <w:rPr>
          <w:lang w:val="en-GB"/>
        </w:rPr>
        <w:fldChar w:fldCharType="begin" w:fldLock="1"/>
      </w:r>
      <w:r w:rsidR="00E55873" w:rsidRPr="00E97FC1">
        <w:rPr>
          <w:lang w:val="en-GB"/>
        </w:rPr>
        <w:instrText>ADDIN CSL_CITATION {"citationItems":[{"id":"ITEM-1","itemData":{"DOI":"10.1038/191144a0","ISSN":"1476-4687","author":[{"dropping-particle":"","family":"MITCHELL","given":"PETER","non-dropping-particle":"","parse-names":false,"suffix":""}],"container-title":"Nature","id":"ITEM-1","issue":"4784","issued":{"date-parts":[["1961"]]},"page":"144-148","title":"Coupling of Phosphorylation to Electron and Hydrogen Transfer by a Chemi-Osmotic type of Mechanism","type":"article-journal","volume":"191"},"uris":["http://www.mendeley.com/documents/?uuid=28585563-bfb9-40af-9790-87a5115ce9d9"]}],"mendeley":{"formattedCitation":"(MITCHELL, 1961)","plainTextFormattedCitation":"(MITCHELL, 1961)","previouslyFormattedCitation":"(MITCHELL, 1961)"},"properties":{"noteIndex":0},"schema":"https://github.com/citation-style-language/schema/raw/master/csl-citation.json"}</w:instrText>
      </w:r>
      <w:r w:rsidR="00364B62" w:rsidRPr="00E97FC1">
        <w:rPr>
          <w:lang w:val="en-GB"/>
        </w:rPr>
        <w:fldChar w:fldCharType="separate"/>
      </w:r>
      <w:r w:rsidR="00E55873" w:rsidRPr="00E97FC1">
        <w:rPr>
          <w:noProof/>
          <w:lang w:val="en-GB"/>
        </w:rPr>
        <w:t>(MITCHELL, 1961)</w:t>
      </w:r>
      <w:r w:rsidR="00364B62" w:rsidRPr="00E97FC1">
        <w:rPr>
          <w:lang w:val="en-GB"/>
        </w:rPr>
        <w:fldChar w:fldCharType="end"/>
      </w:r>
      <w:r w:rsidR="0023363C" w:rsidRPr="00E97FC1">
        <w:rPr>
          <w:lang w:val="en-GB"/>
        </w:rPr>
        <w:t>. T</w:t>
      </w:r>
      <w:r w:rsidR="00364B62" w:rsidRPr="00E97FC1">
        <w:rPr>
          <w:lang w:val="en-GB"/>
        </w:rPr>
        <w:t>he electrochemical potential is then used to drive ATP synthase for ATP synthesis.</w:t>
      </w:r>
      <w:r w:rsidR="0023363C" w:rsidRPr="00E97FC1">
        <w:rPr>
          <w:lang w:val="en-GB"/>
        </w:rPr>
        <w:t xml:space="preserve"> </w:t>
      </w:r>
    </w:p>
    <w:p w14:paraId="098D89E3" w14:textId="77777777" w:rsidR="00364B62" w:rsidRPr="00E97FC1" w:rsidRDefault="00364B62" w:rsidP="00364B62">
      <w:pPr>
        <w:jc w:val="center"/>
        <w:rPr>
          <w:lang w:val="en-GB"/>
        </w:rPr>
      </w:pPr>
      <w:r w:rsidRPr="00E97FC1">
        <w:rPr>
          <w:noProof/>
        </w:rPr>
        <w:drawing>
          <wp:inline distT="0" distB="0" distL="0" distR="0" wp14:anchorId="57945A6A" wp14:editId="715D7696">
            <wp:extent cx="4462826" cy="3327991"/>
            <wp:effectExtent l="0" t="0" r="0" b="6350"/>
            <wp:docPr id="3" name="Picture 3" descr="C:\Users\vkravchu\Desktop\PhD thesis\Figs\RespChain_Ire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kravchu\Desktop\PhD thesis\Figs\RespChain_Irene.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466895" cy="3331026"/>
                    </a:xfrm>
                    <a:prstGeom prst="rect">
                      <a:avLst/>
                    </a:prstGeom>
                    <a:noFill/>
                    <a:ln>
                      <a:noFill/>
                    </a:ln>
                  </pic:spPr>
                </pic:pic>
              </a:graphicData>
            </a:graphic>
          </wp:inline>
        </w:drawing>
      </w:r>
    </w:p>
    <w:p w14:paraId="15EF9153" w14:textId="064A9FC4" w:rsidR="00364B62" w:rsidRPr="00E97FC1" w:rsidRDefault="00364B62" w:rsidP="00364B62">
      <w:pPr>
        <w:pStyle w:val="Caption"/>
        <w:rPr>
          <w:szCs w:val="32"/>
        </w:rPr>
      </w:pPr>
      <w:bookmarkStart w:id="13" w:name="_Toc116388851"/>
      <w:bookmarkStart w:id="14" w:name="_Toc116388898"/>
      <w:bookmarkStart w:id="15" w:name="_Toc116393671"/>
      <w:bookmarkStart w:id="16" w:name="_Toc117077779"/>
      <w:bookmarkStart w:id="17" w:name="_Toc121834091"/>
      <w:bookmarkStart w:id="18" w:name="_Toc128136607"/>
      <w:r w:rsidRPr="00E97FC1">
        <w:t xml:space="preserve">Figure </w:t>
      </w:r>
      <w:r w:rsidR="00CC7652">
        <w:fldChar w:fldCharType="begin"/>
      </w:r>
      <w:r w:rsidR="00CC7652">
        <w:instrText xml:space="preserve"> STYLEREF 1 \s </w:instrText>
      </w:r>
      <w:r w:rsidR="00CC7652">
        <w:fldChar w:fldCharType="separate"/>
      </w:r>
      <w:r w:rsidR="00ED1816">
        <w:rPr>
          <w:noProof/>
        </w:rPr>
        <w:t>1</w:t>
      </w:r>
      <w:r w:rsidR="00CC7652">
        <w:fldChar w:fldCharType="end"/>
      </w:r>
      <w:r w:rsidR="00CC7652">
        <w:t>.</w:t>
      </w:r>
      <w:r w:rsidR="00CC7652">
        <w:fldChar w:fldCharType="begin"/>
      </w:r>
      <w:r w:rsidR="00CC7652">
        <w:instrText xml:space="preserve"> SEQ Figure \* ARABIC \s 1 </w:instrText>
      </w:r>
      <w:r w:rsidR="00CC7652">
        <w:fldChar w:fldCharType="separate"/>
      </w:r>
      <w:r w:rsidR="00ED1816">
        <w:rPr>
          <w:noProof/>
        </w:rPr>
        <w:t>1</w:t>
      </w:r>
      <w:r w:rsidR="00CC7652">
        <w:fldChar w:fldCharType="end"/>
      </w:r>
      <w:r w:rsidRPr="00E97FC1">
        <w:t xml:space="preserve"> </w:t>
      </w:r>
      <w:bookmarkEnd w:id="13"/>
      <w:bookmarkEnd w:id="14"/>
      <w:r w:rsidRPr="00E97FC1">
        <w:rPr>
          <w:szCs w:val="32"/>
        </w:rPr>
        <w:t>The mammalian mitochondrial electron transport chain.</w:t>
      </w:r>
      <w:bookmarkEnd w:id="15"/>
      <w:bookmarkEnd w:id="16"/>
      <w:bookmarkEnd w:id="17"/>
      <w:bookmarkEnd w:id="18"/>
      <w:r w:rsidRPr="00E97FC1">
        <w:rPr>
          <w:szCs w:val="32"/>
        </w:rPr>
        <w:t xml:space="preserve"> </w:t>
      </w:r>
    </w:p>
    <w:p w14:paraId="22A6D80C" w14:textId="06FCC809" w:rsidR="00364B62" w:rsidRPr="00E97FC1" w:rsidRDefault="00364B62" w:rsidP="00364B62">
      <w:pPr>
        <w:rPr>
          <w:rFonts w:cs="Times New Roman"/>
          <w:i/>
          <w:sz w:val="20"/>
          <w:szCs w:val="32"/>
          <w:lang w:val="en-GB"/>
        </w:rPr>
      </w:pPr>
      <w:r w:rsidRPr="00E97FC1">
        <w:rPr>
          <w:rFonts w:cs="Times New Roman"/>
          <w:i/>
          <w:sz w:val="20"/>
          <w:szCs w:val="32"/>
          <w:lang w:val="en-GB"/>
        </w:rPr>
        <w:t xml:space="preserve">Schematic representation of a mitochondrion and OXPHOX complexes. NADH, succinate, quinone (Q) and cytochrome c (C) are depicted as yellow ovals. NADH donates electrons to complex I (CI) and succinate donates electrons to complex II (CII), while quinone shuttles electrons from complexes I and II to complex III2 (CIII2) and cytochrome c (cyt c) shuttles electrons from complex III2 to complex IV (CIV). The OXPHOS components shown as shapes in the scheme on the left are shown as models in matching colours, together with their higher-order organization into supercomplexes: complex I (Protein Data Bank (PDB) ID 6ZKC) is coloured dark slate grey, complex II (PDB ID 1ZOY) is light grey, complex III2 (PDB ID 6Q9E) is blue, complex IV (PDB ID 5IY5) </w:t>
      </w:r>
      <w:r w:rsidRPr="00E97FC1">
        <w:rPr>
          <w:rFonts w:cs="Times New Roman"/>
          <w:i/>
          <w:sz w:val="20"/>
          <w:szCs w:val="32"/>
          <w:lang w:val="en-GB"/>
        </w:rPr>
        <w:lastRenderedPageBreak/>
        <w:t>is salmon, supercomplexes CICIII2CIV (PDB ID 5J4Z), CICIII2 (PDB ID 6QBX) and CIII2CIV (PDB ID 7O3C) are coloured according to the individual complexes and ATP synthase dimer (CV2; PDB ID 7AJF) is cyan. ATP synthase is found at the cristae edges, where its dimers bend and shape the membrane. Complexes I, II, III2 and IV and their supercomplexes are found in the flat areas of cristae. Figure ad</w:t>
      </w:r>
      <w:r w:rsidR="0097154D" w:rsidRPr="00E97FC1">
        <w:rPr>
          <w:rFonts w:cs="Times New Roman"/>
          <w:i/>
          <w:sz w:val="20"/>
          <w:szCs w:val="32"/>
          <w:lang w:val="en-GB"/>
        </w:rPr>
        <w:t>a</w:t>
      </w:r>
      <w:r w:rsidRPr="00E97FC1">
        <w:rPr>
          <w:rFonts w:cs="Times New Roman"/>
          <w:i/>
          <w:sz w:val="20"/>
          <w:szCs w:val="32"/>
          <w:lang w:val="en-GB"/>
        </w:rPr>
        <w:t xml:space="preserve">pted from </w:t>
      </w:r>
      <w:r w:rsidRPr="00E97FC1">
        <w:rPr>
          <w:rFonts w:cs="Times New Roman"/>
          <w:i/>
          <w:sz w:val="20"/>
          <w:szCs w:val="32"/>
          <w:lang w:val="en-GB"/>
        </w:rPr>
        <w:fldChar w:fldCharType="begin" w:fldLock="1"/>
      </w:r>
      <w:r w:rsidR="00E55873" w:rsidRPr="00E97FC1">
        <w:rPr>
          <w:rFonts w:cs="Times New Roman"/>
          <w:i/>
          <w:sz w:val="20"/>
          <w:szCs w:val="32"/>
          <w:lang w:val="en-GB"/>
        </w:rPr>
        <w:instrText>ADDIN CSL_CITATION {"citationItems":[{"id":"ITEM-1","itemData":{"DOI":"10.1038/s41580-021-00415-0","ISSN":"1471-0080","abstract":"The mitochondrial oxidative phosphorylation system is central to cellular metabolism. It comprises five enzymatic complexes and two mobile electron carriers that work in a mitochondrial respiratory chain. By coupling the oxidation of reducing equivalents coming into mitochondria to the generation and subsequent dissipation of a proton gradient across the inner mitochondrial membrane, this electron transport chain drives the production of ATP, which is then used as a primary energy carrier in virtually all cellular processes. Minimal perturbations of the respiratory chain activity are linked to diseases; therefore, it is necessary to understand how these complexes are assembled and regulated and how they function. In this Review, we outline the latest assembly models for each individual complex, and we also highlight the recent discoveries indicating that the formation of larger assemblies, known as respiratory supercomplexes, originates from the association of the intermediates of individual complexes. We then discuss how recent cryo-electron microscopy structures have been key to answering open questions on the function of the electron transport chain in mitochondrial respiration and how supercomplexes and other factors, including metabolites, can regulate the activity of the single complexes. When relevant, we discuss how these mechanisms contribute to physiology and outline their deregulation in human diseases.","author":[{"dropping-particle":"","family":"Vercellino","given":"Irene","non-dropping-particle":"","parse-names":false,"suffix":""},{"dropping-particle":"","family":"Sazanov","given":"Leonid A","non-dropping-particle":"","parse-names":false,"suffix":""}],"container-title":"Nature Reviews Molecular Cell Biology","id":"ITEM-1","issue":"2","issued":{"date-parts":[["2022"]]},"page":"141-161","title":"The assembly, regulation and function of the mitochondrial respiratory chain","type":"article-journal","volume":"23"},"uris":["http://www.mendeley.com/documents/?uuid=fd65c464-4b8c-4b67-a775-d884cc280483"]}],"mendeley":{"formattedCitation":"(Vercellino &amp; Sazanov, 2022)","plainTextFormattedCitation":"(Vercellino &amp; Sazanov, 2022)","previouslyFormattedCitation":"(Vercellino &amp; Sazanov, 2022)"},"properties":{"noteIndex":0},"schema":"https://github.com/citation-style-language/schema/raw/master/csl-citation.json"}</w:instrText>
      </w:r>
      <w:r w:rsidRPr="00E97FC1">
        <w:rPr>
          <w:rFonts w:cs="Times New Roman"/>
          <w:i/>
          <w:sz w:val="20"/>
          <w:szCs w:val="32"/>
          <w:lang w:val="en-GB"/>
        </w:rPr>
        <w:fldChar w:fldCharType="separate"/>
      </w:r>
      <w:r w:rsidR="00E55873" w:rsidRPr="00E97FC1">
        <w:rPr>
          <w:rFonts w:cs="Times New Roman"/>
          <w:noProof/>
          <w:sz w:val="20"/>
          <w:szCs w:val="32"/>
          <w:lang w:val="en-GB"/>
        </w:rPr>
        <w:t>(Vercellino &amp; Sazanov, 2022)</w:t>
      </w:r>
      <w:r w:rsidRPr="00E97FC1">
        <w:rPr>
          <w:rFonts w:cs="Times New Roman"/>
          <w:i/>
          <w:sz w:val="20"/>
          <w:szCs w:val="32"/>
          <w:lang w:val="en-GB"/>
        </w:rPr>
        <w:fldChar w:fldCharType="end"/>
      </w:r>
      <w:r w:rsidRPr="00E97FC1">
        <w:rPr>
          <w:rFonts w:cs="Times New Roman"/>
          <w:i/>
          <w:sz w:val="20"/>
          <w:szCs w:val="32"/>
          <w:lang w:val="en-GB"/>
        </w:rPr>
        <w:t>.</w:t>
      </w:r>
    </w:p>
    <w:p w14:paraId="75BB155B" w14:textId="77777777" w:rsidR="00364B62" w:rsidRPr="00E97FC1" w:rsidRDefault="00364B62" w:rsidP="0023363C">
      <w:pPr>
        <w:ind w:firstLine="720"/>
        <w:rPr>
          <w:lang w:val="en-GB"/>
        </w:rPr>
      </w:pPr>
    </w:p>
    <w:p w14:paraId="252F2B76" w14:textId="1E0756CE" w:rsidR="00D163C3" w:rsidRPr="00E97FC1" w:rsidRDefault="00B33BC4" w:rsidP="00B07344">
      <w:pPr>
        <w:ind w:firstLine="720"/>
        <w:rPr>
          <w:lang w:val="en-GB"/>
        </w:rPr>
      </w:pPr>
      <w:r w:rsidRPr="00E97FC1">
        <w:rPr>
          <w:lang w:val="en-GB"/>
        </w:rPr>
        <w:t>Mitochondrial</w:t>
      </w:r>
      <w:r w:rsidR="00AC753C" w:rsidRPr="00E97FC1">
        <w:rPr>
          <w:lang w:val="en-GB"/>
        </w:rPr>
        <w:t xml:space="preserve"> ETC consists of four protein complexes: NADH:ubiquinone oxidoreductase (Complex I), succinate dehydrogenase (Complex II), cytochrome bc1 complex (Complex III) and cytochrome c oxidase (Complex IV). The electron transfer through the ETC is coupled to the proton translocation out of the mitochondrial matrix by the proton pumps, Complex I, III and IV, while complex II does not pump protons. The complexes create an electrochemical gradient across the membrane (proton motive force, pmf) which drives the ATP synthase (complex V) (</w:t>
      </w:r>
      <w:r w:rsidR="00AC753C" w:rsidRPr="00CC7652">
        <w:rPr>
          <w:lang w:val="en-GB"/>
        </w:rPr>
        <w:t>Fig</w:t>
      </w:r>
      <w:r w:rsidR="00716C6C" w:rsidRPr="00CC7652">
        <w:rPr>
          <w:lang w:val="en-GB"/>
        </w:rPr>
        <w:t xml:space="preserve">ure </w:t>
      </w:r>
      <w:r w:rsidR="00AC753C" w:rsidRPr="00CC7652">
        <w:rPr>
          <w:lang w:val="en-GB"/>
        </w:rPr>
        <w:t>1</w:t>
      </w:r>
      <w:r w:rsidR="00716C6C" w:rsidRPr="00CC7652">
        <w:rPr>
          <w:lang w:val="en-GB"/>
        </w:rPr>
        <w:t>.1</w:t>
      </w:r>
      <w:r w:rsidR="0023363C" w:rsidRPr="00CC7652">
        <w:rPr>
          <w:lang w:val="en-GB"/>
        </w:rPr>
        <w:t xml:space="preserve"> and 1.2a</w:t>
      </w:r>
      <w:r w:rsidR="00AC753C" w:rsidRPr="00E97FC1">
        <w:rPr>
          <w:lang w:val="en-GB"/>
        </w:rPr>
        <w:t>)</w:t>
      </w:r>
      <w:r w:rsidR="00716C6C" w:rsidRPr="00E97FC1">
        <w:rPr>
          <w:lang w:val="en-GB"/>
        </w:rPr>
        <w:t xml:space="preserve"> </w:t>
      </w:r>
      <w:r w:rsidR="00AC753C" w:rsidRPr="00E97FC1">
        <w:rPr>
          <w:lang w:val="en-GB"/>
        </w:rPr>
        <w:fldChar w:fldCharType="begin" w:fldLock="1"/>
      </w:r>
      <w:r w:rsidR="00E55873" w:rsidRPr="00E97FC1">
        <w:rPr>
          <w:lang w:val="en-GB"/>
        </w:rPr>
        <w:instrText>ADDIN CSL_CITATION {"citationItems":[{"id":"ITEM-1","itemData":{"DOI":"10.1038/nrm3997","ISSN":"1471-0080 (Electronic)","PMID":"25991374","abstract":"The mitochondrial respiratory chain, also known as the electron transport chain (ETC), is crucial to life, and energy production in the form of ATP is the main mitochondrial function. Three proton-translocating enzymes of the ETC, namely complexes I, III and IV, generate proton motive force, which in turn drives ATP synthase (complex V). The atomic structures and basic mechanisms of most respiratory complexes have previously been established, with the exception of complex I, the largest complex in the ETC. Recently, the crystal structure of the entire complex I was solved using a bacterial enzyme. The structure provided novel insights into the core architecture of the complex, the electron transfer and proton translocation pathways, as well as the mechanism that couples these two processes.","author":[{"dropping-particle":"","family":"Sazanov","given":"Leonid A","non-dropping-particle":"","parse-names":false,"suffix":""}],"container-title":"Nature reviews. Molecular cell biology","id":"ITEM-1","issue":"6","issued":{"date-parts":[["2015","6"]]},"language":"eng","page":"375-388","publisher-place":"England","title":"A giant molecular proton pump: structure and mechanism of respiratory complex I.","type":"article-journal","volume":"16"},"uris":["http://www.mendeley.com/documents/?uuid=eb1c233c-5b99-49e9-9cae-a9faf55685b9"]},{"id":"ITEM-2","itemData":{"DOI":"10.1038/s41580-021-00415-0","ISSN":"1471-0080","abstract":"The mitochondrial oxidative phosphorylation system is central to cellular metabolism. It comprises five enzymatic complexes and two mobile electron carriers that work in a mitochondrial respiratory chain. By coupling the oxidation of reducing equivalents coming into mitochondria to the generation and subsequent dissipation of a proton gradient across the inner mitochondrial membrane, this electron transport chain drives the production of ATP, which is then used as a primary energy carrier in virtually all cellular processes. Minimal perturbations of the respiratory chain activity are linked to diseases; therefore, it is necessary to understand how these complexes are assembled and regulated and how they function. In this Review, we outline the latest assembly models for each individual complex, and we also highlight the recent discoveries indicating that the formation of larger assemblies, known as respiratory supercomplexes, originates from the association of the intermediates of individual complexes. We then discuss how recent cryo-electron microscopy structures have been key to answering open questions on the function of the electron transport chain in mitochondrial respiration and how supercomplexes and other factors, including metabolites, can regulate the activity of the single complexes. When relevant, we discuss how these mechanisms contribute to physiology and outline their deregulation in human diseases.","author":[{"dropping-particle":"","family":"Vercellino","given":"Irene","non-dropping-particle":"","parse-names":false,"suffix":""},{"dropping-particle":"","family":"Sazanov","given":"Leonid A","non-dropping-particle":"","parse-names":false,"suffix":""}],"container-title":"Nature Reviews Molecular Cell Biology","id":"ITEM-2","issue":"2","issued":{"date-parts":[["2022"]]},"page":"141-161","title":"The assembly, regulation and function of the mitochondrial respiratory chain","type":"article-journal","volume":"23"},"uris":["http://www.mendeley.com/documents/?uuid=fd65c464-4b8c-4b67-a775-d884cc280483"]}],"mendeley":{"formattedCitation":"(Sazanov, 2015; Vercellino &amp; Sazanov, 2022)","plainTextFormattedCitation":"(Sazanov, 2015; Vercellino &amp; Sazanov, 2022)","previouslyFormattedCitation":"(Sazanov, 2015; Vercellino &amp; Sazanov, 2022)"},"properties":{"noteIndex":0},"schema":"https://github.com/citation-style-language/schema/raw/master/csl-citation.json"}</w:instrText>
      </w:r>
      <w:r w:rsidR="00AC753C" w:rsidRPr="00E97FC1">
        <w:rPr>
          <w:lang w:val="en-GB"/>
        </w:rPr>
        <w:fldChar w:fldCharType="separate"/>
      </w:r>
      <w:r w:rsidR="00E55873" w:rsidRPr="00E97FC1">
        <w:rPr>
          <w:noProof/>
          <w:lang w:val="en-GB"/>
        </w:rPr>
        <w:t>(Sazanov, 2015; Vercellino &amp; Sazanov, 2022)</w:t>
      </w:r>
      <w:r w:rsidR="00AC753C" w:rsidRPr="00E97FC1">
        <w:rPr>
          <w:lang w:val="en-GB"/>
        </w:rPr>
        <w:fldChar w:fldCharType="end"/>
      </w:r>
      <w:r w:rsidR="00AC753C" w:rsidRPr="00E97FC1">
        <w:rPr>
          <w:lang w:val="en-GB"/>
        </w:rPr>
        <w:t>.</w:t>
      </w:r>
      <w:r w:rsidR="00364B62" w:rsidRPr="00E97FC1">
        <w:rPr>
          <w:lang w:val="en-GB"/>
        </w:rPr>
        <w:t xml:space="preserve"> </w:t>
      </w:r>
      <w:r w:rsidR="00D163C3" w:rsidRPr="00E97FC1">
        <w:rPr>
          <w:lang w:val="en-GB"/>
        </w:rPr>
        <w:t>Electron transport between the complexes is mediated by the membrane-embedded ubiquinone (Q) and the soluble cytochrome c. Complex I in mitochondria and bacteria is the entry point for electrons from NADH, which are used to reduce Q to ubiquinol (QH2). QH2 is further used by complex III to reduce cytochrome c in the intermembrane space (IMS); complex IV uses cytochrome c to reduce molecular oxygen, which is the ultimate electron acceptor. For every electron pair transferred from NADH to O</w:t>
      </w:r>
      <w:r w:rsidR="00D163C3" w:rsidRPr="00E97FC1">
        <w:rPr>
          <w:vertAlign w:val="subscript"/>
          <w:lang w:val="en-GB"/>
        </w:rPr>
        <w:t>2</w:t>
      </w:r>
      <w:r w:rsidR="00D163C3" w:rsidRPr="00E97FC1">
        <w:rPr>
          <w:lang w:val="en-GB"/>
        </w:rPr>
        <w:t xml:space="preserve">, 10 protons are transported out of the matrix to the IMS </w:t>
      </w:r>
      <w:r w:rsidR="00D163C3" w:rsidRPr="00E97FC1">
        <w:rPr>
          <w:lang w:val="en-GB"/>
        </w:rPr>
        <w:fldChar w:fldCharType="begin" w:fldLock="1"/>
      </w:r>
      <w:r w:rsidR="00E55873" w:rsidRPr="00E97FC1">
        <w:rPr>
          <w:lang w:val="en-GB"/>
        </w:rPr>
        <w:instrText>ADDIN CSL_CITATION {"citationItems":[{"id":"ITEM-1","itemData":{"ISBN":"0080527930","author":[{"dropping-particle":"","family":"Nicholls","given":"David G","non-dropping-particle":"","parse-names":false,"suffix":""},{"dropping-particle":"","family":"Ferguson","given":"Stuart J","non-dropping-particle":"","parse-names":false,"suffix":""}],"id":"ITEM-1","issued":{"date-parts":[["2002"]]},"publisher":"Elsevier","title":"Bioenergetics","type":"book"},"uris":["http://www.mendeley.com/documents/?uuid=cc934431-96d8-4fb0-843f-614d865fba29"]}],"mendeley":{"formattedCitation":"(Nicholls &amp; Ferguson, 2002)","plainTextFormattedCitation":"(Nicholls &amp; Ferguson, 2002)","previouslyFormattedCitation":"(Nicholls &amp; Ferguson, 2002)"},"properties":{"noteIndex":0},"schema":"https://github.com/citation-style-language/schema/raw/master/csl-citation.json"}</w:instrText>
      </w:r>
      <w:r w:rsidR="00D163C3" w:rsidRPr="00E97FC1">
        <w:rPr>
          <w:lang w:val="en-GB"/>
        </w:rPr>
        <w:fldChar w:fldCharType="separate"/>
      </w:r>
      <w:r w:rsidR="00E55873" w:rsidRPr="00E97FC1">
        <w:rPr>
          <w:noProof/>
          <w:lang w:val="en-GB"/>
        </w:rPr>
        <w:t>(Nicholls &amp; Ferguson, 2002)</w:t>
      </w:r>
      <w:r w:rsidR="00D163C3" w:rsidRPr="00E97FC1">
        <w:rPr>
          <w:lang w:val="en-GB"/>
        </w:rPr>
        <w:fldChar w:fldCharType="end"/>
      </w:r>
      <w:r w:rsidR="00D163C3" w:rsidRPr="00E97FC1">
        <w:rPr>
          <w:lang w:val="en-GB"/>
        </w:rPr>
        <w:t xml:space="preserve">. Complex II provides additional electrons into the chain by </w:t>
      </w:r>
      <w:r w:rsidR="00E97FC1" w:rsidRPr="00E97FC1">
        <w:rPr>
          <w:lang w:val="en-GB"/>
        </w:rPr>
        <w:t>catalysing</w:t>
      </w:r>
      <w:r w:rsidR="00D163C3" w:rsidRPr="00E97FC1">
        <w:rPr>
          <w:lang w:val="en-GB"/>
        </w:rPr>
        <w:t xml:space="preserve"> the oxidation of succinate to fumarate with the reduction of ubiquinone to ubiquinol.</w:t>
      </w:r>
    </w:p>
    <w:p w14:paraId="1DA31AD2" w14:textId="717B3665" w:rsidR="00364B62" w:rsidRPr="00E97FC1" w:rsidRDefault="00364B62" w:rsidP="00B07344">
      <w:pPr>
        <w:ind w:firstLine="720"/>
        <w:rPr>
          <w:lang w:val="en-GB"/>
        </w:rPr>
      </w:pPr>
      <w:r w:rsidRPr="00E97FC1">
        <w:rPr>
          <w:lang w:val="en-GB"/>
        </w:rPr>
        <w:t>The respiratory chain of plan</w:t>
      </w:r>
      <w:r w:rsidR="005766A4" w:rsidRPr="00E97FC1">
        <w:rPr>
          <w:lang w:val="en-GB"/>
        </w:rPr>
        <w:t>t</w:t>
      </w:r>
      <w:r w:rsidRPr="00E97FC1">
        <w:rPr>
          <w:lang w:val="en-GB"/>
        </w:rPr>
        <w:t xml:space="preserve"> and fungal mitochondria is similar to the mammalian </w:t>
      </w:r>
      <w:r w:rsidR="005766A4" w:rsidRPr="00E97FC1">
        <w:rPr>
          <w:lang w:val="en-GB"/>
        </w:rPr>
        <w:t xml:space="preserve">one </w:t>
      </w:r>
      <w:r w:rsidRPr="00E97FC1">
        <w:rPr>
          <w:lang w:val="en-GB"/>
        </w:rPr>
        <w:t>and consist from the four core complexes I-IV</w:t>
      </w:r>
      <w:r w:rsidR="005766A4" w:rsidRPr="00E97FC1">
        <w:rPr>
          <w:lang w:val="en-GB"/>
        </w:rPr>
        <w:t xml:space="preserve"> (</w:t>
      </w:r>
      <w:r w:rsidR="005766A4" w:rsidRPr="00CC7652">
        <w:rPr>
          <w:lang w:val="en-GB"/>
        </w:rPr>
        <w:t>Figure 1.2b</w:t>
      </w:r>
      <w:r w:rsidR="005766A4" w:rsidRPr="00E97FC1">
        <w:rPr>
          <w:lang w:val="en-GB"/>
        </w:rPr>
        <w:t>)</w:t>
      </w:r>
      <w:r w:rsidRPr="00E97FC1">
        <w:rPr>
          <w:lang w:val="en-GB"/>
        </w:rPr>
        <w:t xml:space="preserve">. Besides, plants’ ETC also contains </w:t>
      </w:r>
      <w:r w:rsidR="005766A4" w:rsidRPr="00E97FC1">
        <w:rPr>
          <w:lang w:val="en-GB"/>
        </w:rPr>
        <w:t xml:space="preserve">an alternative </w:t>
      </w:r>
      <w:r w:rsidR="00E97FC1" w:rsidRPr="00E97FC1">
        <w:rPr>
          <w:lang w:val="en-GB"/>
        </w:rPr>
        <w:t>oxidase</w:t>
      </w:r>
      <w:r w:rsidR="005766A4" w:rsidRPr="00E97FC1">
        <w:rPr>
          <w:lang w:val="en-GB"/>
        </w:rPr>
        <w:t xml:space="preserve"> (AOX), which reduces oxygen to water directly from quinol oxidation without proton translocation, as well as dehydrogenases, that can directly transfer electrons to ubiquinone </w:t>
      </w:r>
      <w:r w:rsidR="005766A4" w:rsidRPr="00E97FC1">
        <w:rPr>
          <w:lang w:val="en-GB"/>
        </w:rPr>
        <w:fldChar w:fldCharType="begin" w:fldLock="1"/>
      </w:r>
      <w:r w:rsidR="00776703" w:rsidRPr="00E97FC1">
        <w:rPr>
          <w:lang w:val="en-GB"/>
        </w:rPr>
        <w:instrText>ADDIN CSL_CITATION {"citationItems":[{"id":"ITEM-1","itemData":{"DOI":"10.3389/fpls.2014.00163","author":[{"dropping-particle":"","family":"Schertl","given":"P","non-dropping-particle":"","parse-names":false,"suffix":""},{"dropping-particle":"","family":"Braun","given":"H.-P.","non-dropping-particle":"","parse-names":false,"suffix":""}],"container-title":"Frontiers in Plant Science","id":"ITEM-1","issue":"APR","issued":{"date-parts":[["2014"]]},"note":"Export Date: 19 October 2022; Cited By: 152","title":"Respiratory electron transfer pathways in plant mitochondria","type":"article-journal","volume":"5"},"uris":["http://www.mendeley.com/documents/?uuid=e98a106b-8b21-4004-a3c4-ef44b68359e8"]},{"id":"ITEM-2","itemData":{"DOI":"10.1146/annurev-arplant-042110-103857","ISSN":"1543-5008","abstract":"Mitochondrial respiration in plants provides energy for biosynthesis, and its balance with photosynthesis determines the rate of plant biomass accumulation. We describe recent advances in our understanding of the mitochondrial respiratory machinery of cells, including the presence of a classical oxidative phosphorylation system linked to the cytosol by transporters, discussed alongside nonphosphorylating (and, therefore, non-energy conserving) bypasses that alter the efficiency of ATP synthesis and play a role in oxidative stress responses in plants. We consider respiratory regulation in the context of the contrasting roles mitochondria play in different tissues, from photosynthetic leaves to nutrient-acquiring roots. We focus on the molecular nature of this regulation at transcriptional and post-transcriptional levels that allow the respiratory apparatus of plants to help shape organ development and the response of plants to environmental stress. We highlight the challenges for future research considering spatial and temporal changes of respiration in response to changing climatic conditions.","author":[{"dropping-particle":"","family":"Millar","given":"A Harvey","non-dropping-particle":"","parse-names":false,"suffix":""},{"dropping-particle":"","family":"Whelan","given":"James","non-dropping-particle":"","parse-names":false,"suffix":""},{"dropping-particle":"","family":"Soole","given":"Kathleen L","non-dropping-particle":"","parse-names":false,"suffix":""},{"dropping-particle":"","family":"Day","given":"David A","non-dropping-particle":"","parse-names":false,"suffix":""}],"container-title":"Annual Review of Plant Biology","id":"ITEM-2","issue":"1","issued":{"date-parts":[["2011","4","28"]]},"note":"doi: 10.1146/annurev-arplant-042110-103857","page":"79-104","publisher":"Annual Reviews","title":"Organization and Regulation of Mitochondrial Respiration in Plants","type":"article-journal","volume":"62"},"uris":["http://www.mendeley.com/documents/?uuid=c455385b-7f73-4214-bebc-2f5045948c5b"]}],"mendeley":{"formattedCitation":"(Schertl &amp; Braun, 2014; Millar &lt;i&gt;et al&lt;/i&gt;, 2011)","plainTextFormattedCitation":"(Schertl &amp; Braun, 2014; Millar et al, 2011)","previouslyFormattedCitation":"(Schertl &amp; Braun, 2014; Millar &lt;i&gt;et al&lt;/i&gt;, 2011)"},"properties":{"noteIndex":0},"schema":"https://github.com/citation-style-language/schema/raw/master/csl-citation.json"}</w:instrText>
      </w:r>
      <w:r w:rsidR="005766A4" w:rsidRPr="00E97FC1">
        <w:rPr>
          <w:lang w:val="en-GB"/>
        </w:rPr>
        <w:fldChar w:fldCharType="separate"/>
      </w:r>
      <w:r w:rsidR="00E55873" w:rsidRPr="00E97FC1">
        <w:rPr>
          <w:noProof/>
          <w:lang w:val="en-GB"/>
        </w:rPr>
        <w:t xml:space="preserve">(Schertl &amp; Braun, 2014; Millar </w:t>
      </w:r>
      <w:r w:rsidR="00E55873" w:rsidRPr="00E97FC1">
        <w:rPr>
          <w:i/>
          <w:noProof/>
          <w:lang w:val="en-GB"/>
        </w:rPr>
        <w:t>et al</w:t>
      </w:r>
      <w:r w:rsidR="00E55873" w:rsidRPr="00E97FC1">
        <w:rPr>
          <w:noProof/>
          <w:lang w:val="en-GB"/>
        </w:rPr>
        <w:t>, 2011)</w:t>
      </w:r>
      <w:r w:rsidR="005766A4" w:rsidRPr="00E97FC1">
        <w:rPr>
          <w:lang w:val="en-GB"/>
        </w:rPr>
        <w:fldChar w:fldCharType="end"/>
      </w:r>
      <w:r w:rsidR="005766A4" w:rsidRPr="00E97FC1">
        <w:rPr>
          <w:lang w:val="en-GB"/>
        </w:rPr>
        <w:t>. Some fungi</w:t>
      </w:r>
      <w:r w:rsidR="001B6C9B" w:rsidRPr="00E97FC1">
        <w:rPr>
          <w:lang w:val="en-GB"/>
        </w:rPr>
        <w:t xml:space="preserve"> like </w:t>
      </w:r>
      <w:r w:rsidR="001B6C9B" w:rsidRPr="00E97FC1">
        <w:rPr>
          <w:i/>
          <w:lang w:val="en-GB"/>
        </w:rPr>
        <w:t>Saccharomyces cerevisiae</w:t>
      </w:r>
      <w:r w:rsidR="001B6C9B" w:rsidRPr="00E97FC1">
        <w:rPr>
          <w:lang w:val="en-GB"/>
        </w:rPr>
        <w:t xml:space="preserve"> </w:t>
      </w:r>
      <w:r w:rsidR="005766A4" w:rsidRPr="00E97FC1">
        <w:rPr>
          <w:lang w:val="en-GB"/>
        </w:rPr>
        <w:t>lack complex I</w:t>
      </w:r>
      <w:r w:rsidR="001B6C9B" w:rsidRPr="00E97FC1">
        <w:rPr>
          <w:lang w:val="en-GB"/>
        </w:rPr>
        <w:t xml:space="preserve">, which is compensated by presence of alternative NAD(P)H dehydrogenase </w:t>
      </w:r>
      <w:r w:rsidR="001B6C9B" w:rsidRPr="00E97FC1">
        <w:rPr>
          <w:lang w:val="en-GB"/>
        </w:rPr>
        <w:fldChar w:fldCharType="begin" w:fldLock="1"/>
      </w:r>
      <w:r w:rsidR="00E55873" w:rsidRPr="00E97FC1">
        <w:rPr>
          <w:lang w:val="en-GB"/>
        </w:rPr>
        <w:instrText>ADDIN CSL_CITATION {"citationItems":[{"id":"ITEM-1","itemData":{"DOI":"10.1128/jb.176.18.5622-5630.1994","author":[{"dropping-particle":"","family":"Nosek","given":"J","non-dropping-particle":"","parse-names":false,"suffix":""},{"dropping-particle":"","family":"Fukuhara","given":"H","non-dropping-particle":"","parse-names":false,"suffix":""}],"container-title":"Journal of Bacteriology","id":"ITEM-1","issue":"18","issued":{"date-parts":[["1994","9","1"]]},"note":"doi: 10.1128/jb.176.18.5622-5630.1994","page":"5622-5630","publisher":"American Society for Microbiology","title":"NADH dehydrogenase subunit genes in the mitochondrial DNA of yeasts","type":"article-journal","volume":"176"},"uris":["http://www.mendeley.com/documents/?uuid=0dbcb66c-4d29-43c6-b208-2d50f2dceeb5"]}],"mendeley":{"formattedCitation":"(Nosek &amp; Fukuhara, 1994)","plainTextFormattedCitation":"(Nosek &amp; Fukuhara, 1994)","previouslyFormattedCitation":"(Nosek &amp; Fukuhara, 1994)"},"properties":{"noteIndex":0},"schema":"https://github.com/citation-style-language/schema/raw/master/csl-citation.json"}</w:instrText>
      </w:r>
      <w:r w:rsidR="001B6C9B" w:rsidRPr="00E97FC1">
        <w:rPr>
          <w:lang w:val="en-GB"/>
        </w:rPr>
        <w:fldChar w:fldCharType="separate"/>
      </w:r>
      <w:r w:rsidR="00E55873" w:rsidRPr="00E97FC1">
        <w:rPr>
          <w:noProof/>
          <w:lang w:val="en-GB"/>
        </w:rPr>
        <w:t>(Nosek &amp; Fukuhara, 1994)</w:t>
      </w:r>
      <w:r w:rsidR="001B6C9B" w:rsidRPr="00E97FC1">
        <w:rPr>
          <w:lang w:val="en-GB"/>
        </w:rPr>
        <w:fldChar w:fldCharType="end"/>
      </w:r>
      <w:r w:rsidR="001B6C9B" w:rsidRPr="00E97FC1">
        <w:rPr>
          <w:lang w:val="en-GB"/>
        </w:rPr>
        <w:t xml:space="preserve">. </w:t>
      </w:r>
    </w:p>
    <w:p w14:paraId="1548B2AC" w14:textId="60D37A5B" w:rsidR="008A5627" w:rsidRPr="00E97FC1" w:rsidRDefault="00197B8D" w:rsidP="008A5627">
      <w:pPr>
        <w:ind w:firstLine="720"/>
        <w:rPr>
          <w:lang w:val="en-GB"/>
        </w:rPr>
      </w:pPr>
      <w:r w:rsidRPr="00E97FC1">
        <w:rPr>
          <w:lang w:val="en-GB"/>
        </w:rPr>
        <w:t>Chloroplasts contain unique complexes such as photosystems which are essential part of its ETC (</w:t>
      </w:r>
      <w:r w:rsidRPr="00CC7652">
        <w:rPr>
          <w:lang w:val="en-GB"/>
        </w:rPr>
        <w:t>Figure 1.2d</w:t>
      </w:r>
      <w:r w:rsidRPr="00E97FC1">
        <w:rPr>
          <w:lang w:val="en-GB"/>
        </w:rPr>
        <w:t xml:space="preserve">). Photosystem II (PSII) is present in membranes of photosynthetic organisms and oxidizes water to protons and oxygen. </w:t>
      </w:r>
      <w:r w:rsidR="008A5627" w:rsidRPr="00E97FC1">
        <w:rPr>
          <w:lang w:val="en-GB"/>
        </w:rPr>
        <w:t xml:space="preserve">Then electrons from PSII are transferred through the quinone/quinol pool to cytochrome b6f complex and then to photosystem I (PSI). </w:t>
      </w:r>
      <w:r w:rsidR="008A5627" w:rsidRPr="00E97FC1">
        <w:rPr>
          <w:lang w:val="en-GB"/>
        </w:rPr>
        <w:lastRenderedPageBreak/>
        <w:t>PSI in turn reduces ferredoxin (Fd) which is a substrate for complex I homologue NDH-1</w:t>
      </w:r>
      <w:r w:rsidR="00CC76CC" w:rsidRPr="00E97FC1">
        <w:rPr>
          <w:lang w:val="en-GB"/>
        </w:rPr>
        <w:t xml:space="preserve"> </w:t>
      </w:r>
      <w:r w:rsidR="00CC76CC" w:rsidRPr="00E97FC1">
        <w:rPr>
          <w:lang w:val="en-GB"/>
        </w:rPr>
        <w:fldChar w:fldCharType="begin" w:fldLock="1"/>
      </w:r>
      <w:r w:rsidR="00E55873" w:rsidRPr="00E97FC1">
        <w:rPr>
          <w:lang w:val="en-GB"/>
        </w:rPr>
        <w:instrText>ADDIN CSL_CITATION {"citationItems":[{"id":"ITEM-1","itemData":{"DOI":"https://doi.org/10.1016/j.bbabio.2011.05.009","ISSN":"0005-2728","abstract":"The photosynthetic electron transport chain consists of photosystem II, the cytochrome b6f complex, photosystem I, and the free electron carriers plastoquinone and plastocyanin. Light-driven charge separation events occur at the level of photosystem II and photosystem I, which are associated at one end of the chain with the oxidation of water followed by electron flow along the electron transport chain and concomitant pumping of protons into the thylakoid lumen, which is used by the ATP synthase to generate ATP. At the other end of the chain reducing power is generated, which together with ATP is used for CO2 assimilation. A remarkable feature of the photosynthetic apparatus is its ability to adapt to changes in environmental conditions by sensing light quality and quantity, CO2 levels, temperature, and nutrient availability. These acclimation responses involve a complex signaling network in the chloroplasts comprising the thylakoid protein kinases Stt7/STN7 and Stl1/STN7 and the phosphatase PPH1/TAP38, which play important roles in state transitions and in the regulation of electron flow as well as in thylakoid membrane folding. The activity of some of these enzymes is closely connected to the redox state of the plastoquinone pool, and they appear to be involved both in short-term and long-term acclimation. This article is part of a Special Issue entitled: Regulation of Electron Transport in Chloroplasts.","author":[{"dropping-particle":"","family":"Rochaix","given":"Jean-David","non-dropping-particle":"","parse-names":false,"suffix":""}],"container-title":"Biochimica et Biophysica Acta (BBA) - Bioenergetics","id":"ITEM-1","issue":"8","issued":{"date-parts":[["2011"]]},"page":"878-886","title":"Reprint of: Regulation of photosynthetic electron transport","type":"article-journal","volume":"1807"},"uris":["http://www.mendeley.com/documents/?uuid=a9d4ed90-63a6-4b8e-a5dd-589d1846315a"]}],"mendeley":{"formattedCitation":"(Rochaix, 2011)","plainTextFormattedCitation":"(Rochaix, 2011)","previouslyFormattedCitation":"(Rochaix, 2011)"},"properties":{"noteIndex":0},"schema":"https://github.com/citation-style-language/schema/raw/master/csl-citation.json"}</w:instrText>
      </w:r>
      <w:r w:rsidR="00CC76CC" w:rsidRPr="00E97FC1">
        <w:rPr>
          <w:lang w:val="en-GB"/>
        </w:rPr>
        <w:fldChar w:fldCharType="separate"/>
      </w:r>
      <w:r w:rsidR="00E55873" w:rsidRPr="00E97FC1">
        <w:rPr>
          <w:noProof/>
          <w:lang w:val="en-GB"/>
        </w:rPr>
        <w:t>(Rochaix, 2011)</w:t>
      </w:r>
      <w:r w:rsidR="00CC76CC" w:rsidRPr="00E97FC1">
        <w:rPr>
          <w:lang w:val="en-GB"/>
        </w:rPr>
        <w:fldChar w:fldCharType="end"/>
      </w:r>
      <w:r w:rsidR="008A5627" w:rsidRPr="00E97FC1">
        <w:rPr>
          <w:lang w:val="en-GB"/>
        </w:rPr>
        <w:t>.</w:t>
      </w:r>
    </w:p>
    <w:p w14:paraId="20FB35CC" w14:textId="77777777" w:rsidR="00B33BC4" w:rsidRPr="00E97FC1" w:rsidRDefault="00B33BC4" w:rsidP="00B07344">
      <w:pPr>
        <w:ind w:firstLine="720"/>
        <w:rPr>
          <w:lang w:val="en-GB"/>
        </w:rPr>
      </w:pPr>
    </w:p>
    <w:p w14:paraId="604B8742" w14:textId="77777777" w:rsidR="00974649" w:rsidRPr="00E97FC1" w:rsidRDefault="00974649" w:rsidP="0050558C">
      <w:pPr>
        <w:jc w:val="center"/>
        <w:rPr>
          <w:lang w:val="en-GB"/>
        </w:rPr>
      </w:pPr>
      <w:r w:rsidRPr="00E97FC1">
        <w:rPr>
          <w:noProof/>
        </w:rPr>
        <w:drawing>
          <wp:inline distT="0" distB="0" distL="0" distR="0" wp14:anchorId="299B4FC8" wp14:editId="465065BA">
            <wp:extent cx="3364992" cy="2139644"/>
            <wp:effectExtent l="0" t="0" r="698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379927" cy="2149140"/>
                    </a:xfrm>
                    <a:prstGeom prst="rect">
                      <a:avLst/>
                    </a:prstGeom>
                    <a:noFill/>
                  </pic:spPr>
                </pic:pic>
              </a:graphicData>
            </a:graphic>
          </wp:inline>
        </w:drawing>
      </w:r>
    </w:p>
    <w:p w14:paraId="4C90D900" w14:textId="77777777" w:rsidR="00197B8D" w:rsidRPr="00E97FC1" w:rsidRDefault="00197B8D" w:rsidP="0050558C">
      <w:pPr>
        <w:jc w:val="center"/>
        <w:rPr>
          <w:lang w:val="en-GB"/>
        </w:rPr>
      </w:pPr>
    </w:p>
    <w:p w14:paraId="6BE1AFA9" w14:textId="347C9888" w:rsidR="0050558C" w:rsidRPr="00E97FC1" w:rsidRDefault="002D6482" w:rsidP="0050558C">
      <w:pPr>
        <w:pStyle w:val="Caption"/>
      </w:pPr>
      <w:bookmarkStart w:id="19" w:name="_Toc116388852"/>
      <w:bookmarkStart w:id="20" w:name="_Toc116388899"/>
      <w:bookmarkStart w:id="21" w:name="_Toc116393672"/>
      <w:bookmarkStart w:id="22" w:name="_Toc117077780"/>
      <w:bookmarkStart w:id="23" w:name="_Toc121834092"/>
      <w:bookmarkStart w:id="24" w:name="_Toc128136608"/>
      <w:r w:rsidRPr="00E97FC1">
        <w:t xml:space="preserve">Figure </w:t>
      </w:r>
      <w:r w:rsidR="00CC7652">
        <w:fldChar w:fldCharType="begin"/>
      </w:r>
      <w:r w:rsidR="00CC7652">
        <w:instrText xml:space="preserve"> STYLEREF 1 \s </w:instrText>
      </w:r>
      <w:r w:rsidR="00CC7652">
        <w:fldChar w:fldCharType="separate"/>
      </w:r>
      <w:r w:rsidR="00ED1816">
        <w:rPr>
          <w:noProof/>
        </w:rPr>
        <w:t>1</w:t>
      </w:r>
      <w:r w:rsidR="00CC7652">
        <w:fldChar w:fldCharType="end"/>
      </w:r>
      <w:r w:rsidR="00CC7652">
        <w:t>.</w:t>
      </w:r>
      <w:r w:rsidR="00CC7652">
        <w:fldChar w:fldCharType="begin"/>
      </w:r>
      <w:r w:rsidR="00CC7652">
        <w:instrText xml:space="preserve"> SEQ Figure \* ARABIC \s 1 </w:instrText>
      </w:r>
      <w:r w:rsidR="00CC7652">
        <w:fldChar w:fldCharType="separate"/>
      </w:r>
      <w:r w:rsidR="00ED1816">
        <w:rPr>
          <w:noProof/>
        </w:rPr>
        <w:t>2</w:t>
      </w:r>
      <w:r w:rsidR="00CC7652">
        <w:fldChar w:fldCharType="end"/>
      </w:r>
      <w:r w:rsidRPr="00E97FC1">
        <w:t xml:space="preserve"> </w:t>
      </w:r>
      <w:bookmarkEnd w:id="19"/>
      <w:bookmarkEnd w:id="20"/>
      <w:r w:rsidR="0050558C" w:rsidRPr="00E97FC1">
        <w:t>Schematic representations of the ETC in different organisms.</w:t>
      </w:r>
      <w:bookmarkEnd w:id="21"/>
      <w:bookmarkEnd w:id="22"/>
      <w:bookmarkEnd w:id="23"/>
      <w:bookmarkEnd w:id="24"/>
      <w:r w:rsidR="0050558C" w:rsidRPr="00E97FC1">
        <w:t xml:space="preserve"> </w:t>
      </w:r>
    </w:p>
    <w:p w14:paraId="4C1CDE5B" w14:textId="49338F18" w:rsidR="0050558C" w:rsidRPr="00CF7C36" w:rsidRDefault="0050558C" w:rsidP="0050558C">
      <w:pPr>
        <w:pStyle w:val="Caption"/>
      </w:pPr>
      <w:r w:rsidRPr="00CF7C36">
        <w:t>A) mammal mitochondria B) plant and fungal mitochondria C) E. coli cytoplasmic membrane</w:t>
      </w:r>
      <w:r w:rsidR="00FA00B2" w:rsidRPr="00CF7C36">
        <w:t xml:space="preserve"> D) plant chloroplast and cyanobacterial membrane</w:t>
      </w:r>
      <w:r w:rsidRPr="00CF7C36">
        <w:t>. Figure ad</w:t>
      </w:r>
      <w:r w:rsidR="00D07557" w:rsidRPr="00CF7C36">
        <w:t>a</w:t>
      </w:r>
      <w:r w:rsidRPr="00CF7C36">
        <w:t>pted from</w:t>
      </w:r>
      <w:r w:rsidRPr="00CF7C36">
        <w:rPr>
          <w:i w:val="0"/>
        </w:rPr>
        <w:t xml:space="preserve"> </w:t>
      </w:r>
      <w:r w:rsidR="00F82511" w:rsidRPr="00CF7C36">
        <w:fldChar w:fldCharType="begin" w:fldLock="1"/>
      </w:r>
      <w:r w:rsidR="00776703" w:rsidRPr="00CF7C36">
        <w:instrText>ADDIN CSL_CITATION {"citationItems":[{"id":"ITEM-1","itemData":{"DOI":"https://doi.org/10.1016/0014-5793(95)00548-N","ISSN":"0014-5793","abstract":"The proton-pumping NADH:ubiquinone oxidoreductase, also called complex I, is the first of the respiratory complexes providing the proton motive force which is essential for the synthesis of ATP. Closely related forms of this complex exist in the mitochondria of eucaryotes and in the plasma membranes of purple bacteria. The minimal structural framework common to the mitochondrial and the bacterial complex is composed of 14 polypeptides with 1 FMN and 6?8 iron-sulfur clusters as prosthetic groups. The mitochondrial complex contains many accessory subunits for which no homologous counterparts exist in the bacterial complex. Genes for 11 of the 14 minimal subunits are also found in the plastidial DNA of plants and in the genome of cyanobacteria. However, genes encoding the 3 subunits of the NADH dehydrogenase part of complex I are apparently missing in these species. The possibility is discussed that chloroplasts and cyanobacteria contain a complex I equipped with a different electron input device. This complex may work as a NAD(P)H: or a ferrodoxin:plastoquinone oxidoreductase participating in cyclic electron transport during photosynthesis.","author":[{"dropping-particle":"","family":"Friedrich","given":"Thorsten","non-dropping-particle":"","parse-names":false,"suffix":""},{"dropping-particle":"","family":"Steinmüller","given":"Klaus","non-dropping-particle":"","parse-names":false,"suffix":""},{"dropping-particle":"","family":"Weiss","given":"Hanns","non-dropping-particle":"","parse-names":false,"suffix":""}],"container-title":"FEBS Letters","id":"ITEM-1","issue":"2","issued":{"date-parts":[["1995","6","26"]]},"note":"https://doi.org/10.1016/0014-5793(95)00548-N","page":"107-111","title":"The proton-pumping respiratory complex I of bacteria and mitochondria and its homologue in chloroplasts","type":"article-journal","volume":"367"},"uris":["http://www.mendeley.com/documents/?uuid=d6f16e4a-ece3-4846-be32-13a75fbbaac5"]}],"mendeley":{"formattedCitation":"(Friedrich &lt;i&gt;et al&lt;/i&gt;, 1995)","plainTextFormattedCitation":"(Friedrich et al, 1995)","previouslyFormattedCitation":"(Friedrich &lt;i&gt;et al&lt;/i&gt;, 1995)"},"properties":{"noteIndex":0},"schema":"https://github.com/citation-style-language/schema/raw/master/csl-citation.json"}</w:instrText>
      </w:r>
      <w:r w:rsidR="00F82511" w:rsidRPr="00CF7C36">
        <w:fldChar w:fldCharType="separate"/>
      </w:r>
      <w:r w:rsidR="00E55873" w:rsidRPr="00CF7C36">
        <w:rPr>
          <w:i w:val="0"/>
          <w:noProof/>
        </w:rPr>
        <w:t xml:space="preserve">(Friedrich </w:t>
      </w:r>
      <w:r w:rsidR="00E55873" w:rsidRPr="00CF7C36">
        <w:rPr>
          <w:noProof/>
        </w:rPr>
        <w:t>et al</w:t>
      </w:r>
      <w:r w:rsidR="00E55873" w:rsidRPr="00CF7C36">
        <w:rPr>
          <w:i w:val="0"/>
          <w:noProof/>
        </w:rPr>
        <w:t>, 1995)</w:t>
      </w:r>
      <w:r w:rsidR="00F82511" w:rsidRPr="00CF7C36">
        <w:fldChar w:fldCharType="end"/>
      </w:r>
      <w:r w:rsidR="00FA00B2" w:rsidRPr="00CF7C36">
        <w:t xml:space="preserve">. </w:t>
      </w:r>
    </w:p>
    <w:p w14:paraId="0A8B1B8F" w14:textId="77777777" w:rsidR="00CC76CC" w:rsidRPr="00E97FC1" w:rsidRDefault="00CC76CC" w:rsidP="00CC76CC">
      <w:pPr>
        <w:ind w:firstLine="720"/>
        <w:rPr>
          <w:lang w:val="en-GB"/>
        </w:rPr>
      </w:pPr>
      <w:r w:rsidRPr="00E97FC1">
        <w:rPr>
          <w:lang w:val="en-GB"/>
        </w:rPr>
        <w:t xml:space="preserve">In fact, the core physical principles of ETC are strongly conserved across all domains of life. However, bacteria, in contrast to eukaryotic mitochondria, have branched respiratory chains, which can use different routes of electron transfer depending on the growth conditions </w:t>
      </w:r>
      <w:r w:rsidRPr="00E97FC1">
        <w:rPr>
          <w:lang w:val="en-GB"/>
        </w:rPr>
        <w:fldChar w:fldCharType="begin" w:fldLock="1"/>
      </w:r>
      <w:r w:rsidR="00E55873" w:rsidRPr="00E97FC1">
        <w:rPr>
          <w:lang w:val="en-GB"/>
        </w:rPr>
        <w:instrText>ADDIN CSL_CITATION {"citationItems":[{"id":"ITEM-1","itemData":{"DOI":"10.1038/s41579-020-00486-4","ISSN":"1740-1534","abstract":"Bacteria power their energy metabolism using membrane-bound respiratory enzymes that capture chemical energy and transduce it by pumping protons or Na+ ions across their cell membranes. Recent breakthroughs in molecular bioenergetics have elucidated the architecture and function of many bacterial respiratory enzymes, although key mechanistic principles remain debated. In this Review, we present an overview of the structure, function and bioenergetic principles of modular bacterial respiratory chains and discuss their differences from the eukaryotic counterparts. We also discuss bacterial supercomplexes, which provide central energy transduction systems in several bacteria, including important pathogens, and which could open up possible avenues for treatment of disease.","author":[{"dropping-particle":"","family":"Kaila","given":"Ville R I","non-dropping-particle":"","parse-names":false,"suffix":""},{"dropping-particle":"","family":"Wikström","given":"Mårten","non-dropping-particle":"","parse-names":false,"suffix":""}],"container-title":"Nature Reviews Microbiology","id":"ITEM-1","issue":"5","issued":{"date-parts":[["2021"]]},"page":"319-330","title":"Architecture of bacterial respiratory chains","type":"article-journal","volume":"19"},"uris":["http://www.mendeley.com/documents/?uuid=888155fe-1119-4d06-8447-7fae38050b65"]}],"mendeley":{"formattedCitation":"(Kaila &amp; Wikström, 2021)","plainTextFormattedCitation":"(Kaila &amp; Wikström, 2021)","previouslyFormattedCitation":"(Kaila &amp; Wikström, 2021)"},"properties":{"noteIndex":0},"schema":"https://github.com/citation-style-language/schema/raw/master/csl-citation.json"}</w:instrText>
      </w:r>
      <w:r w:rsidRPr="00E97FC1">
        <w:rPr>
          <w:lang w:val="en-GB"/>
        </w:rPr>
        <w:fldChar w:fldCharType="separate"/>
      </w:r>
      <w:r w:rsidR="00E55873" w:rsidRPr="00E97FC1">
        <w:rPr>
          <w:noProof/>
          <w:lang w:val="en-GB"/>
        </w:rPr>
        <w:t>(Kaila &amp; Wikström, 2021)</w:t>
      </w:r>
      <w:r w:rsidRPr="00E97FC1">
        <w:rPr>
          <w:lang w:val="en-GB"/>
        </w:rPr>
        <w:fldChar w:fldCharType="end"/>
      </w:r>
      <w:r w:rsidRPr="00E97FC1">
        <w:rPr>
          <w:lang w:val="en-GB"/>
        </w:rPr>
        <w:t>. An example of bacterial (</w:t>
      </w:r>
      <w:r w:rsidRPr="00E97FC1">
        <w:rPr>
          <w:i/>
          <w:lang w:val="en-GB"/>
        </w:rPr>
        <w:t>E. coli</w:t>
      </w:r>
      <w:r w:rsidRPr="00E97FC1">
        <w:rPr>
          <w:lang w:val="en-GB"/>
        </w:rPr>
        <w:t xml:space="preserve">) ETC is shown on </w:t>
      </w:r>
      <w:r w:rsidRPr="00CC7652">
        <w:rPr>
          <w:lang w:val="en-GB"/>
        </w:rPr>
        <w:t>Figure 1.2c and 1.3.</w:t>
      </w:r>
      <w:r w:rsidRPr="00E97FC1">
        <w:rPr>
          <w:lang w:val="en-GB"/>
        </w:rPr>
        <w:t xml:space="preserve"> </w:t>
      </w:r>
    </w:p>
    <w:p w14:paraId="15ACEFE7" w14:textId="77777777" w:rsidR="00CC76CC" w:rsidRPr="00E97FC1" w:rsidRDefault="00CC76CC" w:rsidP="00CC76CC">
      <w:pPr>
        <w:ind w:firstLine="720"/>
        <w:rPr>
          <w:lang w:val="en-GB"/>
        </w:rPr>
      </w:pPr>
    </w:p>
    <w:p w14:paraId="267C382D" w14:textId="77777777" w:rsidR="002B5734" w:rsidRPr="00E97FC1" w:rsidRDefault="00C91AC0" w:rsidP="00197B8D">
      <w:pPr>
        <w:jc w:val="center"/>
        <w:rPr>
          <w:lang w:val="en-GB"/>
        </w:rPr>
      </w:pPr>
      <w:r w:rsidRPr="00E97FC1">
        <w:rPr>
          <w:noProof/>
        </w:rPr>
        <w:drawing>
          <wp:inline distT="0" distB="0" distL="0" distR="0" wp14:anchorId="155B61A5" wp14:editId="6DBDBEF2">
            <wp:extent cx="4864608" cy="1763356"/>
            <wp:effectExtent l="0" t="0" r="0" b="8890"/>
            <wp:docPr id="4" name="Picture 4" descr="C:\Users\vkravchu\Desktop\PhD thesis\Figs\EcoliRespChain_kalia2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kravchu\Desktop\PhD thesis\Figs\EcoliRespChain_kalia2021.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879012" cy="1768577"/>
                    </a:xfrm>
                    <a:prstGeom prst="rect">
                      <a:avLst/>
                    </a:prstGeom>
                    <a:noFill/>
                    <a:ln>
                      <a:noFill/>
                    </a:ln>
                  </pic:spPr>
                </pic:pic>
              </a:graphicData>
            </a:graphic>
          </wp:inline>
        </w:drawing>
      </w:r>
    </w:p>
    <w:p w14:paraId="0683E63A" w14:textId="77777777" w:rsidR="002B5734" w:rsidRPr="00E97FC1" w:rsidRDefault="002B5734" w:rsidP="0050558C">
      <w:pPr>
        <w:rPr>
          <w:lang w:val="en-GB"/>
        </w:rPr>
      </w:pPr>
    </w:p>
    <w:p w14:paraId="0D23E450" w14:textId="0B38CE22" w:rsidR="00C91AC0" w:rsidRPr="00E97FC1" w:rsidRDefault="002D6482" w:rsidP="002D6482">
      <w:pPr>
        <w:pStyle w:val="Caption"/>
      </w:pPr>
      <w:bookmarkStart w:id="25" w:name="_Toc116388853"/>
      <w:bookmarkStart w:id="26" w:name="_Toc116388900"/>
      <w:bookmarkStart w:id="27" w:name="_Toc116393673"/>
      <w:bookmarkStart w:id="28" w:name="_Toc117077781"/>
      <w:bookmarkStart w:id="29" w:name="_Toc121834093"/>
      <w:bookmarkStart w:id="30" w:name="_Toc128136609"/>
      <w:r w:rsidRPr="00E97FC1">
        <w:t xml:space="preserve">Figure </w:t>
      </w:r>
      <w:r w:rsidR="00CC7652">
        <w:fldChar w:fldCharType="begin"/>
      </w:r>
      <w:r w:rsidR="00CC7652">
        <w:instrText xml:space="preserve"> STYLEREF 1 \s </w:instrText>
      </w:r>
      <w:r w:rsidR="00CC7652">
        <w:fldChar w:fldCharType="separate"/>
      </w:r>
      <w:r w:rsidR="00ED1816">
        <w:rPr>
          <w:noProof/>
        </w:rPr>
        <w:t>1</w:t>
      </w:r>
      <w:r w:rsidR="00CC7652">
        <w:fldChar w:fldCharType="end"/>
      </w:r>
      <w:r w:rsidR="00CC7652">
        <w:t>.</w:t>
      </w:r>
      <w:r w:rsidR="00CC7652">
        <w:fldChar w:fldCharType="begin"/>
      </w:r>
      <w:r w:rsidR="00CC7652">
        <w:instrText xml:space="preserve"> SEQ Figure \* ARABIC \s 1 </w:instrText>
      </w:r>
      <w:r w:rsidR="00CC7652">
        <w:fldChar w:fldCharType="separate"/>
      </w:r>
      <w:r w:rsidR="00ED1816">
        <w:rPr>
          <w:noProof/>
        </w:rPr>
        <w:t>3</w:t>
      </w:r>
      <w:r w:rsidR="00CC7652">
        <w:fldChar w:fldCharType="end"/>
      </w:r>
      <w:r w:rsidRPr="00E97FC1">
        <w:t xml:space="preserve"> </w:t>
      </w:r>
      <w:bookmarkEnd w:id="25"/>
      <w:bookmarkEnd w:id="26"/>
      <w:bookmarkEnd w:id="27"/>
      <w:r w:rsidR="00CC76CC" w:rsidRPr="00E97FC1">
        <w:t>E.coli</w:t>
      </w:r>
      <w:r w:rsidR="00F919D9" w:rsidRPr="00E97FC1">
        <w:t xml:space="preserve"> electron transport chain</w:t>
      </w:r>
      <w:bookmarkEnd w:id="28"/>
      <w:bookmarkEnd w:id="29"/>
      <w:bookmarkEnd w:id="30"/>
      <w:r w:rsidR="00C91AC0" w:rsidRPr="00E97FC1">
        <w:t xml:space="preserve"> </w:t>
      </w:r>
    </w:p>
    <w:p w14:paraId="34FA8F1B" w14:textId="3D0AC065" w:rsidR="002D6482" w:rsidRPr="00470DF8" w:rsidRDefault="00CC76CC" w:rsidP="00CC76CC">
      <w:pPr>
        <w:pStyle w:val="Caption"/>
      </w:pPr>
      <w:r w:rsidRPr="00470DF8">
        <w:t>The reported proton pumping is given for two-electron reduction steps. HCO, haem–copper oxidase, NDH-2, type II NADH:ubiquinone oxidoreductase; N-</w:t>
      </w:r>
      <w:r w:rsidR="00E97FC1" w:rsidRPr="00470DF8">
        <w:t>side, negatively</w:t>
      </w:r>
      <w:r w:rsidRPr="00470DF8">
        <w:t xml:space="preserve"> charged cytoplasmic or stromal side; Pi, inorganic phosphate; P-side, positively charged periplasmic or luminal side; Q, quinone; QH2, quinol; black arrows, chemical reactions; blue arrows, protons; red arrows, electrons. </w:t>
      </w:r>
      <w:r w:rsidR="00C91AC0" w:rsidRPr="00470DF8">
        <w:t>F</w:t>
      </w:r>
      <w:r w:rsidR="00AD2FCD" w:rsidRPr="00470DF8">
        <w:t>igure ada</w:t>
      </w:r>
      <w:r w:rsidR="00C91AC0" w:rsidRPr="00470DF8">
        <w:t xml:space="preserve">pted from </w:t>
      </w:r>
      <w:r w:rsidR="00C91AC0" w:rsidRPr="00470DF8">
        <w:fldChar w:fldCharType="begin" w:fldLock="1"/>
      </w:r>
      <w:r w:rsidR="00E55873" w:rsidRPr="00470DF8">
        <w:instrText>ADDIN CSL_CITATION {"citationItems":[{"id":"ITEM-1","itemData":{"DOI":"10.1038/s41579-020-00486-4","ISSN":"1740-1534","abstract":"Bacteria power their energy metabolism using membrane-bound respiratory enzymes that capture chemical energy and transduce it by pumping protons or Na+ ions across their cell membranes. Recent breakthroughs in molecular bioenergetics have elucidated the architecture and function of many bacterial respiratory enzymes, although key mechanistic principles remain debated. In this Review, we present an overview of the structure, function and bioenergetic principles of modular bacterial respiratory chains and discuss their differences from the eukaryotic counterparts. We also discuss bacterial supercomplexes, which provide central energy transduction systems in several bacteria, including important pathogens, and which could open up possible avenues for treatment of disease.","author":[{"dropping-particle":"","family":"Kaila","given":"Ville R I","non-dropping-particle":"","parse-names":false,"suffix":""},{"dropping-particle":"","family":"Wikström","given":"Mårten","non-dropping-particle":"","parse-names":false,"suffix":""}],"container-title":"Nature Reviews Microbiology","id":"ITEM-1","issue":"5","issued":{"date-parts":[["2021"]]},"page":"319-330","title":"Architecture of bacterial respiratory chains","type":"article-journal","volume":"19"},"uris":["http://www.mendeley.com/documents/?uuid=888155fe-1119-4d06-8447-7fae38050b65"]}],"mendeley":{"formattedCitation":"(Kaila &amp; Wikström, 2021)","plainTextFormattedCitation":"(Kaila &amp; Wikström, 2021)","previouslyFormattedCitation":"(Kaila &amp; Wikström, 2021)"},"properties":{"noteIndex":0},"schema":"https://github.com/citation-style-language/schema/raw/master/csl-citation.json"}</w:instrText>
      </w:r>
      <w:r w:rsidR="00C91AC0" w:rsidRPr="00470DF8">
        <w:fldChar w:fldCharType="separate"/>
      </w:r>
      <w:r w:rsidR="00E55873" w:rsidRPr="00470DF8">
        <w:rPr>
          <w:i w:val="0"/>
          <w:noProof/>
        </w:rPr>
        <w:t>(Kaila &amp; Wikström, 2021)</w:t>
      </w:r>
      <w:r w:rsidR="00C91AC0" w:rsidRPr="00470DF8">
        <w:fldChar w:fldCharType="end"/>
      </w:r>
      <w:r w:rsidRPr="00470DF8">
        <w:t xml:space="preserve"> </w:t>
      </w:r>
    </w:p>
    <w:p w14:paraId="0B50C193" w14:textId="77777777" w:rsidR="00CC76CC" w:rsidRPr="00E97FC1" w:rsidRDefault="00CC76CC" w:rsidP="002D6482">
      <w:pPr>
        <w:rPr>
          <w:lang w:val="en-GB"/>
        </w:rPr>
      </w:pPr>
    </w:p>
    <w:p w14:paraId="1904A865" w14:textId="77777777" w:rsidR="00C017B5" w:rsidRPr="00E97FC1" w:rsidRDefault="00C017B5" w:rsidP="00F016AD">
      <w:pPr>
        <w:pStyle w:val="Heading2"/>
      </w:pPr>
      <w:bookmarkStart w:id="31" w:name="_Toc132639980"/>
      <w:r w:rsidRPr="00F016AD">
        <w:lastRenderedPageBreak/>
        <w:t>Complex</w:t>
      </w:r>
      <w:r w:rsidRPr="00E97FC1">
        <w:t xml:space="preserve"> I</w:t>
      </w:r>
      <w:bookmarkEnd w:id="31"/>
    </w:p>
    <w:p w14:paraId="62BCDA92" w14:textId="77777777" w:rsidR="00C017B5" w:rsidRPr="00E97FC1" w:rsidRDefault="00C017B5" w:rsidP="00C017B5">
      <w:pPr>
        <w:pStyle w:val="Heading3"/>
      </w:pPr>
      <w:r w:rsidRPr="00E97FC1">
        <w:t xml:space="preserve"> </w:t>
      </w:r>
      <w:bookmarkStart w:id="32" w:name="_Toc132639981"/>
      <w:r w:rsidRPr="00E97FC1">
        <w:t>Catalytic reaction</w:t>
      </w:r>
      <w:r w:rsidR="00DE215D" w:rsidRPr="00E97FC1">
        <w:t xml:space="preserve"> and </w:t>
      </w:r>
      <w:r w:rsidR="00DD26AD" w:rsidRPr="00E97FC1">
        <w:t xml:space="preserve">the </w:t>
      </w:r>
      <w:r w:rsidR="00DE215D" w:rsidRPr="00E97FC1">
        <w:t>core architecture</w:t>
      </w:r>
      <w:r w:rsidRPr="00E97FC1">
        <w:t xml:space="preserve"> of Complex I</w:t>
      </w:r>
      <w:bookmarkEnd w:id="32"/>
    </w:p>
    <w:p w14:paraId="0219EF81" w14:textId="722522A3" w:rsidR="00DD26AD" w:rsidRPr="00E97FC1" w:rsidRDefault="00323346" w:rsidP="00323346">
      <w:pPr>
        <w:ind w:firstLine="720"/>
        <w:rPr>
          <w:lang w:val="en-GB"/>
        </w:rPr>
      </w:pPr>
      <w:r w:rsidRPr="00E97FC1">
        <w:rPr>
          <w:lang w:val="en-GB"/>
        </w:rPr>
        <w:t xml:space="preserve">Complex I is </w:t>
      </w:r>
      <w:r w:rsidR="00F81F50" w:rsidRPr="00E97FC1">
        <w:rPr>
          <w:lang w:val="en-GB"/>
        </w:rPr>
        <w:t>the first and the largest enzyme of the mitochondrial and bacterial respiratory chain. It catalyses NADH oxidation and quinone reduction coupled to the proton translocation across the</w:t>
      </w:r>
      <w:r w:rsidR="00E93E4A" w:rsidRPr="00E97FC1">
        <w:rPr>
          <w:lang w:val="en-GB"/>
        </w:rPr>
        <w:t xml:space="preserve"> mitochondrial or bacterial inner</w:t>
      </w:r>
      <w:r w:rsidR="00F81F50" w:rsidRPr="00E97FC1">
        <w:rPr>
          <w:lang w:val="en-GB"/>
        </w:rPr>
        <w:t xml:space="preserve"> membrane. </w:t>
      </w:r>
      <w:r w:rsidR="00E93E4A" w:rsidRPr="00E97FC1">
        <w:rPr>
          <w:lang w:val="en-GB"/>
        </w:rPr>
        <w:t>For the one NADH molecule oxidized, one molecule of quin</w:t>
      </w:r>
      <w:r w:rsidR="00BF326C" w:rsidRPr="00E97FC1">
        <w:rPr>
          <w:lang w:val="en-GB"/>
        </w:rPr>
        <w:t>o</w:t>
      </w:r>
      <w:r w:rsidR="00E93E4A" w:rsidRPr="00E97FC1">
        <w:rPr>
          <w:lang w:val="en-GB"/>
        </w:rPr>
        <w:t xml:space="preserve">ne </w:t>
      </w:r>
      <w:r w:rsidR="00BF326C" w:rsidRPr="00E97FC1">
        <w:rPr>
          <w:lang w:val="en-GB"/>
        </w:rPr>
        <w:t xml:space="preserve">(Q) </w:t>
      </w:r>
      <w:r w:rsidR="00E93E4A" w:rsidRPr="00E97FC1">
        <w:rPr>
          <w:lang w:val="en-GB"/>
        </w:rPr>
        <w:t xml:space="preserve">is reduced and four protons are translocated. Complex I itself accounts to nearly 40% of pmf generated </w:t>
      </w:r>
      <w:r w:rsidR="00E93E4A" w:rsidRPr="00E97FC1">
        <w:rPr>
          <w:lang w:val="en-GB"/>
        </w:rPr>
        <w:fldChar w:fldCharType="begin" w:fldLock="1"/>
      </w:r>
      <w:r w:rsidR="00E55873" w:rsidRPr="00E97FC1">
        <w:rPr>
          <w:lang w:val="en-GB"/>
        </w:rPr>
        <w:instrText>ADDIN CSL_CITATION {"citationItems":[{"id":"ITEM-1","itemData":{"DOI":"10.1038/nrm3997","ISSN":"1471-0080 (Electronic)","PMID":"25991374","abstract":"The mitochondrial respiratory chain, also known as the electron transport chain (ETC), is crucial to life, and energy production in the form of ATP is the main mitochondrial function. Three proton-translocating enzymes of the ETC, namely complexes I, III and IV, generate proton motive force, which in turn drives ATP synthase (complex V). The atomic structures and basic mechanisms of most respiratory complexes have previously been established, with the exception of complex I, the largest complex in the ETC. Recently, the crystal structure of the entire complex I was solved using a bacterial enzyme. The structure provided novel insights into the core architecture of the complex, the electron transfer and proton translocation pathways, as well as the mechanism that couples these two processes.","author":[{"dropping-particle":"","family":"Sazanov","given":"Leonid A","non-dropping-particle":"","parse-names":false,"suffix":""}],"container-title":"Nature reviews. Molecular cell biology","id":"ITEM-1","issue":"6","issued":{"date-parts":[["2015","6"]]},"language":"eng","page":"375-388","publisher-place":"England","title":"A giant molecular proton pump: structure and mechanism of respiratory complex I.","type":"article-journal","volume":"16"},"uris":["http://www.mendeley.com/documents/?uuid=eb1c233c-5b99-49e9-9cae-a9faf55685b9"]}],"mendeley":{"formattedCitation":"(Sazanov, 2015)","plainTextFormattedCitation":"(Sazanov, 2015)","previouslyFormattedCitation":"(Sazanov, 2015)"},"properties":{"noteIndex":0},"schema":"https://github.com/citation-style-language/schema/raw/master/csl-citation.json"}</w:instrText>
      </w:r>
      <w:r w:rsidR="00E93E4A" w:rsidRPr="00E97FC1">
        <w:rPr>
          <w:lang w:val="en-GB"/>
        </w:rPr>
        <w:fldChar w:fldCharType="separate"/>
      </w:r>
      <w:r w:rsidR="00E55873" w:rsidRPr="00E97FC1">
        <w:rPr>
          <w:noProof/>
          <w:lang w:val="en-GB"/>
        </w:rPr>
        <w:t>(Sazanov, 2015)</w:t>
      </w:r>
      <w:r w:rsidR="00E93E4A" w:rsidRPr="00E97FC1">
        <w:rPr>
          <w:lang w:val="en-GB"/>
        </w:rPr>
        <w:fldChar w:fldCharType="end"/>
      </w:r>
      <w:r w:rsidR="00E93E4A" w:rsidRPr="00E97FC1">
        <w:rPr>
          <w:lang w:val="en-GB"/>
        </w:rPr>
        <w:t>. Complex I consist of two major arms: peripheral and membrane embedded. Peripheral arm</w:t>
      </w:r>
      <w:r w:rsidR="00236D30" w:rsidRPr="00E97FC1">
        <w:rPr>
          <w:lang w:val="en-GB"/>
        </w:rPr>
        <w:t xml:space="preserve"> (PA)</w:t>
      </w:r>
      <w:r w:rsidR="00E93E4A" w:rsidRPr="00E97FC1">
        <w:rPr>
          <w:lang w:val="en-GB"/>
        </w:rPr>
        <w:t xml:space="preserve"> </w:t>
      </w:r>
      <w:r w:rsidR="00AD2FCD" w:rsidRPr="00E97FC1">
        <w:rPr>
          <w:lang w:val="en-GB"/>
        </w:rPr>
        <w:t>catalyses</w:t>
      </w:r>
      <w:r w:rsidR="00E93E4A" w:rsidRPr="00E97FC1">
        <w:rPr>
          <w:lang w:val="en-GB"/>
        </w:rPr>
        <w:t xml:space="preserve"> electron transfer from NAHD to Q. It </w:t>
      </w:r>
      <w:r w:rsidR="00AD2FCD" w:rsidRPr="00E97FC1">
        <w:rPr>
          <w:lang w:val="en-GB"/>
        </w:rPr>
        <w:t>harbours</w:t>
      </w:r>
      <w:r w:rsidR="00E93E4A" w:rsidRPr="00E97FC1">
        <w:rPr>
          <w:lang w:val="en-GB"/>
        </w:rPr>
        <w:t xml:space="preserve"> eight conserved iron-sulphur (Fe-S) clusters and a non-covalently bound electron acceptor flavin mononucleotide (FMN). FMN accepts electrons form NADH which then tunnel through the iron-sulphur clusters to the “Q-cavity” where a Q molecule is reduced to QH2 </w:t>
      </w:r>
      <w:r w:rsidR="00E93E4A" w:rsidRPr="00E97FC1">
        <w:rPr>
          <w:lang w:val="en-GB"/>
        </w:rPr>
        <w:fldChar w:fldCharType="begin" w:fldLock="1"/>
      </w:r>
      <w:r w:rsidR="00776703" w:rsidRPr="00E97FC1">
        <w:rPr>
          <w:lang w:val="en-GB"/>
        </w:rPr>
        <w:instrText>ADDIN CSL_CITATION {"citationItems":[{"id":"ITEM-1","itemData":{"DOI":"10.1073/pnas.0711249105","ISSN":"1091-6490 (Electronic)","PMID":"18316732","abstract":"Electron transfer in complex I from Escherichia coli was investigated by an ultrafast freeze-quench approach. The reaction of complex I with NADH was stopped in the time domain from 90 mus to 8 ms and analyzed by electron paramagnetic resonance (EPR) spectroscopy at low temperatures. The data show that after binding of the first molecule of NADH, two electrons move via the FMN cofactor to the iron-sulfur (Fe/S) centers N1a and N2 with an apparent time constant of approximately 90 mus, implying that these two centers should have the highest redox potential in the enzyme. The rate of reduction of center N2 (the last center in the electron transfer sequence) is close to that predicted by electron transfer theory, which argues for the absence of coupled proton transfer or conformational changes during electron transfer from FMN to N2. After fast reduction of N1a and N2, we observe a slow, approximately 1-ms component of reduction of other Fe/S clusters. Because all elementary electron transfer rates between clusters are several orders of magnitude higher than this observed rate, we conclude that the millisecond component is limited by a single process corresponding to dissociation of the oxidized NAD(+) molecule from its binding site, where it prevents entry of the next NADH molecule. Despite the presence of approximately one ubiquinone per enzyme molecule, no transient semiquinone formation was observed, which has mechanistic implications, suggesting a high thermodynamic barrier for ubiquinone reduction to the semiquinone radical. Possible consequences of these findings for the proton translocation mechanism are discussed.","author":[{"dropping-particle":"","family":"Verkhovskaya","given":"Marina L","non-dropping-particle":"","parse-names":false,"suffix":""},{"dropping-particle":"","family":"Belevich","given":"Nikolai","non-dropping-particle":"","parse-names":false,"suffix":""},{"dropping-particle":"","family":"Euro","given":"Liliya","non-dropping-particle":"","parse-names":false,"suffix":""},{"dropping-particle":"","family":"Wikstrom","given":"Marten","non-dropping-particle":"","parse-names":false,"suffix":""},{"dropping-particle":"","family":"Verkhovsky","given":"Michael I","non-dropping-particle":"","parse-names":false,"suffix":""}],"container-title":"Proceedings of the National Academy of Sciences of the United States of America","id":"ITEM-1","issue":"10","issued":{"date-parts":[["2008","3"]]},"language":"eng","page":"3763-3767","publisher-place":"United States","title":"Real-time electron transfer in respiratory complex I.","type":"article-journal","volume":"105"},"uris":["http://www.mendeley.com/documents/?uuid=bec1b7ae-53a5-42a0-a072-89ef82bfcf3f"]}],"mendeley":{"formattedCitation":"(Verkhovskaya &lt;i&gt;et al&lt;/i&gt;, 2008)","plainTextFormattedCitation":"(Verkhovskaya et al, 2008)","previouslyFormattedCitation":"(Verkhovskaya &lt;i&gt;et al&lt;/i&gt;, 2008)"},"properties":{"noteIndex":0},"schema":"https://github.com/citation-style-language/schema/raw/master/csl-citation.json"}</w:instrText>
      </w:r>
      <w:r w:rsidR="00E93E4A" w:rsidRPr="00E97FC1">
        <w:rPr>
          <w:lang w:val="en-GB"/>
        </w:rPr>
        <w:fldChar w:fldCharType="separate"/>
      </w:r>
      <w:r w:rsidR="00E55873" w:rsidRPr="00E97FC1">
        <w:rPr>
          <w:noProof/>
          <w:lang w:val="en-GB"/>
        </w:rPr>
        <w:t xml:space="preserve">(Verkhovskaya </w:t>
      </w:r>
      <w:r w:rsidR="00E55873" w:rsidRPr="00E97FC1">
        <w:rPr>
          <w:i/>
          <w:noProof/>
          <w:lang w:val="en-GB"/>
        </w:rPr>
        <w:t>et al</w:t>
      </w:r>
      <w:r w:rsidR="00E55873" w:rsidRPr="00E97FC1">
        <w:rPr>
          <w:noProof/>
          <w:lang w:val="en-GB"/>
        </w:rPr>
        <w:t>, 2008)</w:t>
      </w:r>
      <w:r w:rsidR="00E93E4A" w:rsidRPr="00E97FC1">
        <w:rPr>
          <w:lang w:val="en-GB"/>
        </w:rPr>
        <w:fldChar w:fldCharType="end"/>
      </w:r>
      <w:r w:rsidR="00E93E4A" w:rsidRPr="00E97FC1">
        <w:rPr>
          <w:lang w:val="en-GB"/>
        </w:rPr>
        <w:t>.</w:t>
      </w:r>
      <w:r w:rsidR="00236D30" w:rsidRPr="00E97FC1">
        <w:rPr>
          <w:lang w:val="en-GB"/>
        </w:rPr>
        <w:t xml:space="preserve"> Complex I has different subunit nomenclature for different species. Here the nomenclature from </w:t>
      </w:r>
      <w:r w:rsidR="00236D30" w:rsidRPr="00E97FC1">
        <w:rPr>
          <w:i/>
          <w:lang w:val="en-GB"/>
        </w:rPr>
        <w:t>E. coli</w:t>
      </w:r>
      <w:r w:rsidR="00236D30" w:rsidRPr="00E97FC1">
        <w:rPr>
          <w:lang w:val="en-GB"/>
        </w:rPr>
        <w:t xml:space="preserve"> will be used (</w:t>
      </w:r>
      <w:r w:rsidR="00236D30" w:rsidRPr="00CC7652">
        <w:rPr>
          <w:lang w:val="en-GB"/>
        </w:rPr>
        <w:t>Figure 1.4</w:t>
      </w:r>
      <w:r w:rsidR="00236D30" w:rsidRPr="00E97FC1">
        <w:rPr>
          <w:lang w:val="en-GB"/>
        </w:rPr>
        <w:t xml:space="preserve">). </w:t>
      </w:r>
    </w:p>
    <w:p w14:paraId="3805E0E2" w14:textId="77777777" w:rsidR="00DD26AD" w:rsidRPr="00E97FC1" w:rsidRDefault="00DD26AD" w:rsidP="00DD26AD">
      <w:pPr>
        <w:rPr>
          <w:lang w:val="en-GB"/>
        </w:rPr>
      </w:pPr>
    </w:p>
    <w:p w14:paraId="549120B5" w14:textId="77777777" w:rsidR="00DD26AD" w:rsidRPr="00E97FC1" w:rsidRDefault="00DD26AD" w:rsidP="00DD26AD">
      <w:pPr>
        <w:jc w:val="center"/>
        <w:rPr>
          <w:lang w:val="en-GB"/>
        </w:rPr>
      </w:pPr>
      <w:r w:rsidRPr="00E97FC1">
        <w:rPr>
          <w:noProof/>
        </w:rPr>
        <w:drawing>
          <wp:inline distT="0" distB="0" distL="0" distR="0" wp14:anchorId="2353391C" wp14:editId="4AC2AFED">
            <wp:extent cx="4174435" cy="3064067"/>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179604" cy="3067861"/>
                    </a:xfrm>
                    <a:prstGeom prst="rect">
                      <a:avLst/>
                    </a:prstGeom>
                    <a:noFill/>
                  </pic:spPr>
                </pic:pic>
              </a:graphicData>
            </a:graphic>
          </wp:inline>
        </w:drawing>
      </w:r>
    </w:p>
    <w:p w14:paraId="043F959C" w14:textId="13C3D857" w:rsidR="00414A2B" w:rsidRDefault="00DD26AD" w:rsidP="00DD26AD">
      <w:pPr>
        <w:pStyle w:val="Caption"/>
        <w:tabs>
          <w:tab w:val="left" w:pos="5345"/>
        </w:tabs>
      </w:pPr>
      <w:bookmarkStart w:id="33" w:name="_Toc117077782"/>
      <w:bookmarkStart w:id="34" w:name="_Toc121834094"/>
      <w:bookmarkStart w:id="35" w:name="_Toc128136610"/>
      <w:r w:rsidRPr="00E97FC1">
        <w:t xml:space="preserve">Figure </w:t>
      </w:r>
      <w:r w:rsidR="00CC7652">
        <w:fldChar w:fldCharType="begin"/>
      </w:r>
      <w:r w:rsidR="00CC7652">
        <w:instrText xml:space="preserve"> STYLEREF 1 \s </w:instrText>
      </w:r>
      <w:r w:rsidR="00CC7652">
        <w:fldChar w:fldCharType="separate"/>
      </w:r>
      <w:r w:rsidR="00ED1816">
        <w:rPr>
          <w:noProof/>
        </w:rPr>
        <w:t>1</w:t>
      </w:r>
      <w:r w:rsidR="00CC7652">
        <w:fldChar w:fldCharType="end"/>
      </w:r>
      <w:r w:rsidR="00CC7652">
        <w:t>.</w:t>
      </w:r>
      <w:r w:rsidR="00CC7652">
        <w:fldChar w:fldCharType="begin"/>
      </w:r>
      <w:r w:rsidR="00CC7652">
        <w:instrText xml:space="preserve"> SEQ Figure \* ARABIC \s 1 </w:instrText>
      </w:r>
      <w:r w:rsidR="00CC7652">
        <w:fldChar w:fldCharType="separate"/>
      </w:r>
      <w:r w:rsidR="00ED1816">
        <w:rPr>
          <w:noProof/>
        </w:rPr>
        <w:t>4</w:t>
      </w:r>
      <w:r w:rsidR="00CC7652">
        <w:fldChar w:fldCharType="end"/>
      </w:r>
      <w:r w:rsidR="00FC7532" w:rsidRPr="00E97FC1">
        <w:t xml:space="preserve"> Overall</w:t>
      </w:r>
      <w:r w:rsidRPr="00E97FC1">
        <w:t xml:space="preserve"> structure and reaction centres</w:t>
      </w:r>
      <w:r w:rsidR="00FC7532" w:rsidRPr="00E97FC1">
        <w:t xml:space="preserve"> of E.coli complex </w:t>
      </w:r>
      <w:r w:rsidR="00414A2B">
        <w:t>I</w:t>
      </w:r>
    </w:p>
    <w:p w14:paraId="34199E67" w14:textId="174FF0B5" w:rsidR="00414A2B" w:rsidRPr="00E97FC1" w:rsidRDefault="00580290" w:rsidP="00414A2B">
      <w:pPr>
        <w:rPr>
          <w:i/>
          <w:sz w:val="20"/>
          <w:lang w:val="en-GB"/>
        </w:rPr>
      </w:pPr>
      <w:r>
        <w:rPr>
          <w:rFonts w:cs="Times New Roman"/>
          <w:i/>
          <w:sz w:val="20"/>
          <w:szCs w:val="24"/>
          <w:lang w:val="en-GB"/>
        </w:rPr>
        <w:t xml:space="preserve">E. coli complex I consist of 13 core subunits, which are coloured in different colours. Grey surface shows Q-cavity. 4 protons are pumped across the membrane as a result of Q reduction and NADH oxidation. </w:t>
      </w:r>
      <w:r w:rsidR="00414A2B" w:rsidRPr="00414A2B">
        <w:rPr>
          <w:rFonts w:cs="Times New Roman"/>
          <w:i/>
          <w:sz w:val="20"/>
          <w:szCs w:val="24"/>
          <w:lang w:val="en-GB"/>
        </w:rPr>
        <w:t>Figure adapted from (Kravchuk et al, 2022)</w:t>
      </w:r>
    </w:p>
    <w:bookmarkEnd w:id="33"/>
    <w:bookmarkEnd w:id="34"/>
    <w:bookmarkEnd w:id="35"/>
    <w:p w14:paraId="55DD239A" w14:textId="77777777" w:rsidR="00DD26AD" w:rsidRPr="00E97FC1" w:rsidRDefault="00DD26AD" w:rsidP="00323346">
      <w:pPr>
        <w:ind w:firstLine="720"/>
        <w:rPr>
          <w:lang w:val="en-GB"/>
        </w:rPr>
      </w:pPr>
    </w:p>
    <w:p w14:paraId="1FAB9F77" w14:textId="5E28138B" w:rsidR="00DE215D" w:rsidRPr="00E97FC1" w:rsidRDefault="00236D30" w:rsidP="00323346">
      <w:pPr>
        <w:ind w:firstLine="720"/>
        <w:rPr>
          <w:lang w:val="en-GB"/>
        </w:rPr>
      </w:pPr>
      <w:r w:rsidRPr="00E97FC1">
        <w:rPr>
          <w:lang w:val="en-GB"/>
        </w:rPr>
        <w:lastRenderedPageBreak/>
        <w:t xml:space="preserve">The core part of the peripheral arm contains 7 (6 in </w:t>
      </w:r>
      <w:r w:rsidRPr="00E97FC1">
        <w:rPr>
          <w:i/>
          <w:lang w:val="en-GB"/>
        </w:rPr>
        <w:t>E. coli</w:t>
      </w:r>
      <w:r w:rsidRPr="00E97FC1">
        <w:rPr>
          <w:lang w:val="en-GB"/>
        </w:rPr>
        <w:t xml:space="preserve">) subunits: NuoF, E, G, CD (genes C and D are fused), B, I. All the known cofactors (FMN and Fe-S clusters) are located within the PA. Seven Fe-S clusters are part of the main redox chain </w:t>
      </w:r>
      <w:r w:rsidRPr="00E97FC1">
        <w:rPr>
          <w:lang w:val="en-GB"/>
        </w:rPr>
        <w:fldChar w:fldCharType="begin" w:fldLock="1"/>
      </w:r>
      <w:r w:rsidR="00E55873" w:rsidRPr="00E97FC1">
        <w:rPr>
          <w:lang w:val="en-GB"/>
        </w:rPr>
        <w:instrText>ADDIN CSL_CITATION {"citationItems":[{"id":"ITEM-1","itemData":{"ISSN":"0006-3002 (Print)","PMID":"9593887","abstract":"NADH-quinone 1 oxidoreductase (Complex I) isolated from bovine heart mitochondria was, until recently, the major source for the study of this most complicated energy transducing device in the mitochondrial respiratory chain. Complex I has been shown to contain 43 subunits and possesses a molecular mass of about 1 million. Recently, Complex I genes have been cloned and sequenced from several bacterial sources including Escherichia coli, Paracoccus denitrificans, Rhodobacter capsulatus and Thermus thermophilus HB-8. These enzymes are less complicated than the bovine enzyme, containing a core of 13 or 14 subunits homologous to the bovine heart Complex I. From this data, important clues concerning the subunit location of both the substrate binding site and intrinsic redox centers have been gleaned. Powerful molecular genetic approaches used in these bacterial systems can identify structure/function relationships concerning the redox components of Complex I. Site-directed mutants at the level of bacterial chromosomes and over-expression and purification of single subunits have allowed detailed analysis of the amino acid residues involved in ligand binding to several iron-sulfur clusters. Therefore, it has become possible to examine which subunits contain individual iron-sulfur clusters, their location within the enzyme and what their ligand residues are. The discovery of g=2.00 EPR signals arising from two distinct species of semiquinone (SQ) in the activated bovine heart submitochondrial particles (SMP) is another line of recent progress. The intensity of semiquinone signals is sensitive to DeltamicroH+ and is diminished by specific inhibitors of Complex I. To date, semiquinones similar to those reported for the bovine heart mitochondrial Complex I have not yet been discovered in the bacterial systems. This mini-review describes three aspects of the recent progress in the study of the redox components of Complex I: (A) the location of the substrate (NADH) binding site, flavin, and most of the iron-sulfur clusters, which have been identified in the hydrophilic electron entry domain of Complex I; (B) experimental evidence indicating that the cluster N2 is located in the amphipathic domain of Complex I, connecting the promontory and membrane parts. Very recent data is also presented suggesting that the cluster N2 may have a unique ligand structure with an atypical cluster-ligation sequence motif located in the NuoB (NQO6/PSST) subunit rather than in the long a…","author":[{"dropping-particle":"","family":"Ohnishi","given":"T","non-dropping-particle":"","parse-names":false,"suffix":""}],"container-title":"Biochimica et biophysica acta","id":"ITEM-1","issue":"2","issued":{"date-parts":[["1998","5"]]},"language":"eng","page":"186-206","publisher-place":"Netherlands","title":"Iron-sulfur clusters/semiquinones in complex I.","type":"article-journal","volume":"1364"},"uris":["http://www.mendeley.com/documents/?uuid=3b995c0e-84aa-4840-8bcc-55098fdab5f3"]}],"mendeley":{"formattedCitation":"(Ohnishi, 1998)","plainTextFormattedCitation":"(Ohnishi, 1998)","previouslyFormattedCitation":"(Ohnishi, 1998)"},"properties":{"noteIndex":0},"schema":"https://github.com/citation-style-language/schema/raw/master/csl-citation.json"}</w:instrText>
      </w:r>
      <w:r w:rsidRPr="00E97FC1">
        <w:rPr>
          <w:lang w:val="en-GB"/>
        </w:rPr>
        <w:fldChar w:fldCharType="separate"/>
      </w:r>
      <w:r w:rsidR="00E55873" w:rsidRPr="00E97FC1">
        <w:rPr>
          <w:noProof/>
          <w:lang w:val="en-GB"/>
        </w:rPr>
        <w:t>(Ohnishi, 1998)</w:t>
      </w:r>
      <w:r w:rsidRPr="00E97FC1">
        <w:rPr>
          <w:lang w:val="en-GB"/>
        </w:rPr>
        <w:fldChar w:fldCharType="end"/>
      </w:r>
      <w:r w:rsidRPr="00E97FC1">
        <w:rPr>
          <w:lang w:val="en-GB"/>
        </w:rPr>
        <w:t xml:space="preserve"> while the off-path non-conserved cluster N7 is believed to have solely a structural role i.e. maintaining complex stability </w:t>
      </w:r>
      <w:r w:rsidRPr="00E97FC1">
        <w:rPr>
          <w:lang w:val="en-GB"/>
        </w:rPr>
        <w:fldChar w:fldCharType="begin" w:fldLock="1"/>
      </w:r>
      <w:r w:rsidR="00776703" w:rsidRPr="00E97FC1">
        <w:rPr>
          <w:lang w:val="en-GB"/>
        </w:rPr>
        <w:instrText>ADDIN CSL_CITATION {"citationItems":[{"id":"ITEM-1","itemData":{"DOI":"10.1042/BJ20130606","ISSN":"1470-8728 (Electronic)","PMID":"23980528","abstract":"NADH:quinone oxidoreductase (complex I) couples NADH oxidation and quinone reduction to proton translocation across an energy-transducing membrane. All complexes I contain a flavin to oxidize NADH, seven iron-sulfur clusters to transfer electrons from the flavin to quinone and an eighth cluster (N1a) on the opposite side of the flavin. The role of cluster N1a is unknown, but Escherichia coli complex I has an unusually high-potential cluster N1a and its reduced flavin produces H2O2, not superoxide, suggesting that cluster N1a may affect reactive oxygen species production. In the present study, we combine protein film voltammetry with mutagenesis in overproduced N1a-binding subunits to identify two residues that switch N1a between its high- (E. coli, valine and asparagine) and low- (Bos taurus and Yarrowia lipolytica, proline and methionine) potential forms. The mutations were incorporated into E. coli complex I: cluster N1a could no longer be reduced by NADH, but H2O2 and superoxide production were unaffected. The reverse mutations (that increase the potential by ~0.16 V) were incorporated into Y. lipolytica complex I, but N1a was still not reduced by NADH. We conclude that cluster N1a does not affect reactive oxygen species production by the complex I flavin; it is probably required for enzyme assembly or stability.","author":[{"dropping-particle":"","family":"Birrell","given":"James A","non-dropping-particle":"","parse-names":false,"suffix":""},{"dropping-particle":"","family":"Morina","given":"Klaudia","non-dropping-particle":"","parse-names":false,"suffix":""},{"dropping-particle":"","family":"Bridges","given":"Hannah R","non-dropping-particle":"","parse-names":false,"suffix":""},{"dropping-particle":"","family":"Friedrich","given":"Thorsten","non-dropping-particle":"","parse-names":false,"suffix":""},{"dropping-particle":"","family":"Hirst","given":"Judy","non-dropping-particle":"","parse-names":false,"suffix":""}],"container-title":"The Biochemical journal","id":"ITEM-1","issue":"1","issued":{"date-parts":[["2013","11"]]},"language":"eng","page":"139-146","publisher-place":"England","title":"Investigating the function of [2Fe-2S] cluster N1a, the off-pathway cluster in complex I, by manipulating its reduction potential.","type":"article-journal","volume":"456"},"uris":["http://www.mendeley.com/documents/?uuid=850785c0-bb09-4e19-a25c-9382607b0b28"]},{"id":"ITEM-2","itemData":{"DOI":"10.1021/acs.biochem.6b01058","ISSN":"1520-4995 (Electronic)","PMID":"28509551","abstract":"NADH:ubiquinone oxidoreductase, respiratory complex I, couples electron transfer  from NADH to ubiquinone with proton translocation across the membrane. NADH reduces a noncovalently bound FMN, and the electrons are transported further to the quinone reduction site by a 95 A long chain of seven iron-sulfur (Fe-S) clusters. Binuclear Fe-S cluster N1a is not part of this long chain but is located within electron transfer distance on the opposite site of FMN. The relevance of N1a to the mechanism of complex I is not known. To elucidate its role, we individually substituted the cysteine residues coordinating N1a of Escherichia coli complex I by alanine and serine residues. The mutations led to a significant loss of the NADH oxidase activity of the mutant membranes, while the amount of the complex was only slightly diminished. N1a could not be detected by electron paramagnetic resonance spectroscopy, and unexpectedly, the content of binuclear cluster N1b located on a neighboring subunit was significantly decreased. Because of the lack of N1a and the partial loss of N1b, the variants did not survive detergent extraction from the mutant membranes. Only the C97A(E) variant retained N1a and was purified by chromatographic steps. The preparation showed a slightly diminished NADH/ferricyanide oxidoreductase activity, while the NADH:decyl-ubiquinone oxidoreductase activity was not affected. N1a of this preparation showed unusual spectroscopic properties indicating a different ligation. We discuss whether N1a is involved in the physiological electron transfer reaction.","author":[{"dropping-particle":"","family":"Dorner","given":"Katerina","non-dropping-particle":"","parse-names":false,"suffix":""},{"dropping-particle":"","family":"Vranas","given":"Marta","non-dropping-particle":"","parse-names":false,"suffix":""},{"dropping-particle":"","family":"Schimpf","given":"Johannes","non-dropping-particle":"","parse-names":false,"suffix":""},{"dropping-particle":"","family":"Straub","given":"Isabella R","non-dropping-particle":"","parse-names":false,"suffix":""},{"dropping-particle":"","family":"Hoeser","given":"Jo","non-dropping-particle":"","parse-names":false,"suffix":""},{"dropping-particle":"","family":"Friedrich","given":"Thorsten","non-dropping-particle":"","parse-names":false,"suffix":""}],"container-title":"Biochemistry","id":"ITEM-2","issue":"22","issued":{"date-parts":[["2017","6"]]},"language":"eng","page":"2770-2778","publisher-place":"United States","title":"Significance of [2Fe-2S] Cluster N1a for Electron Transfer and Assembly of Escherichia coli Respiratory Complex I.","type":"article-journal","volume":"56"},"uris":["http://www.mendeley.com/documents/?uuid=786a6139-2836-4fd4-8f9b-7b600c23dcc3"]}],"mendeley":{"formattedCitation":"(Birrell &lt;i&gt;et al&lt;/i&gt;, 2013; Dorner &lt;i&gt;et al&lt;/i&gt;, 2017)","plainTextFormattedCitation":"(Birrell et al, 2013; Dorner et al, 2017)","previouslyFormattedCitation":"(Birrell &lt;i&gt;et al&lt;/i&gt;, 2013; Dorner &lt;i&gt;et al&lt;/i&gt;, 2017)"},"properties":{"noteIndex":0},"schema":"https://github.com/citation-style-language/schema/raw/master/csl-citation.json"}</w:instrText>
      </w:r>
      <w:r w:rsidRPr="00E97FC1">
        <w:rPr>
          <w:lang w:val="en-GB"/>
        </w:rPr>
        <w:fldChar w:fldCharType="separate"/>
      </w:r>
      <w:r w:rsidR="00E55873" w:rsidRPr="00E97FC1">
        <w:rPr>
          <w:noProof/>
          <w:lang w:val="en-GB"/>
        </w:rPr>
        <w:t xml:space="preserve">(Birrell </w:t>
      </w:r>
      <w:r w:rsidR="00E55873" w:rsidRPr="00E97FC1">
        <w:rPr>
          <w:i/>
          <w:noProof/>
          <w:lang w:val="en-GB"/>
        </w:rPr>
        <w:t>et al</w:t>
      </w:r>
      <w:r w:rsidR="00E55873" w:rsidRPr="00E97FC1">
        <w:rPr>
          <w:noProof/>
          <w:lang w:val="en-GB"/>
        </w:rPr>
        <w:t xml:space="preserve">, 2013; Dorner </w:t>
      </w:r>
      <w:r w:rsidR="00E55873" w:rsidRPr="00E97FC1">
        <w:rPr>
          <w:i/>
          <w:noProof/>
          <w:lang w:val="en-GB"/>
        </w:rPr>
        <w:t>et al</w:t>
      </w:r>
      <w:r w:rsidR="00E55873" w:rsidRPr="00E97FC1">
        <w:rPr>
          <w:noProof/>
          <w:lang w:val="en-GB"/>
        </w:rPr>
        <w:t>, 2017)</w:t>
      </w:r>
      <w:r w:rsidRPr="00E97FC1">
        <w:rPr>
          <w:lang w:val="en-GB"/>
        </w:rPr>
        <w:fldChar w:fldCharType="end"/>
      </w:r>
      <w:r w:rsidRPr="00E97FC1">
        <w:rPr>
          <w:lang w:val="en-GB"/>
        </w:rPr>
        <w:t xml:space="preserve">. Another off-path cluster, N1a, is fully conserved and is likely to have a functional role, which is still not clear, one possibility being the reduction of reacting oxygen species (ROS) production </w:t>
      </w:r>
      <w:r w:rsidRPr="00E97FC1">
        <w:rPr>
          <w:lang w:val="en-GB"/>
        </w:rPr>
        <w:fldChar w:fldCharType="begin" w:fldLock="1"/>
      </w:r>
      <w:r w:rsidR="00E55873" w:rsidRPr="00E97FC1">
        <w:rPr>
          <w:lang w:val="en-GB"/>
        </w:rPr>
        <w:instrText>ADDIN CSL_CITATION {"citationItems":[{"id":"ITEM-1","itemData":{"DOI":"10.1126/science.1123809","ISSN":"1095-9203 (Electronic)","PMID":"16469879","abstract":"Respiratory complex I plays a central role in cellular energy production in bacteria and mitochondria. Its dysfunction is implicated in many human neurodegenerative diseases, as well as in aging. The crystal structure of the hydrophilic domain (peripheral arm) of complex I from Thermus thermophilus has been solved at 3.3 angstrom resolution. This subcomplex consists of eight subunits and contains all the redox centers of the enzyme, including nine iron-sulfur clusters. The primary electron acceptor, flavin-mononucleotide, is within electron transfer distance of cluster N3, leading to the main redox pathway, and of the distal cluster N1a, a possible antioxidant. The structure reveals new aspects of the mechanism and evolution of the enzyme. The terminal cluster N2 is coordinated, uniquely, by two consecutive cysteines. The novel subunit Nqo15 has a similar fold to the mitochondrial iron chaperone frataxin, and it may be involved in iron-sulfur cluster regeneration in the complex.","author":[{"dropping-particle":"","family":"Sazanov","given":"Leonid A","non-dropping-particle":"","parse-names":false,"suffix":""},{"dropping-particle":"","family":"Hinchliffe","given":"Philip","non-dropping-particle":"","parse-names":false,"suffix":""}],"container-title":"Science (New York, N.Y.)","id":"ITEM-1","issue":"5766","issued":{"date-parts":[["2006","3"]]},"language":"eng","page":"1430-1436","publisher-place":"United States","title":"Structure of the hydrophilic domain of respiratory complex I from Thermus thermophilus.","type":"article-journal","volume":"311"},"uris":["http://www.mendeley.com/documents/?uuid=fc6d09d9-f8e5-4219-b167-5e3785e11abe"]}],"mendeley":{"formattedCitation":"(Sazanov &amp; Hinchliffe, 2006)","plainTextFormattedCitation":"(Sazanov &amp; Hinchliffe, 2006)","previouslyFormattedCitation":"(Sazanov &amp; Hinchliffe, 2006)"},"properties":{"noteIndex":0},"schema":"https://github.com/citation-style-language/schema/raw/master/csl-citation.json"}</w:instrText>
      </w:r>
      <w:r w:rsidRPr="00E97FC1">
        <w:rPr>
          <w:lang w:val="en-GB"/>
        </w:rPr>
        <w:fldChar w:fldCharType="separate"/>
      </w:r>
      <w:r w:rsidR="00E55873" w:rsidRPr="00E97FC1">
        <w:rPr>
          <w:noProof/>
          <w:lang w:val="en-GB"/>
        </w:rPr>
        <w:t>(Sazanov &amp; Hinchliffe, 2006)</w:t>
      </w:r>
      <w:r w:rsidRPr="00E97FC1">
        <w:rPr>
          <w:lang w:val="en-GB"/>
        </w:rPr>
        <w:fldChar w:fldCharType="end"/>
      </w:r>
      <w:r w:rsidRPr="00E97FC1">
        <w:rPr>
          <w:lang w:val="en-GB"/>
        </w:rPr>
        <w:t>. Substrates and cofactors of complex I have low reduction potentials, which lead to non-specific electron transfers like the reduction of O</w:t>
      </w:r>
      <w:r w:rsidRPr="00E97FC1">
        <w:rPr>
          <w:vertAlign w:val="subscript"/>
          <w:lang w:val="en-GB"/>
        </w:rPr>
        <w:t>2</w:t>
      </w:r>
      <w:r w:rsidRPr="00E97FC1">
        <w:rPr>
          <w:lang w:val="en-GB"/>
        </w:rPr>
        <w:t xml:space="preserve"> to superoxide or H</w:t>
      </w:r>
      <w:r w:rsidRPr="00E97FC1">
        <w:rPr>
          <w:vertAlign w:val="subscript"/>
          <w:lang w:val="en-GB"/>
        </w:rPr>
        <w:t>2</w:t>
      </w:r>
      <w:r w:rsidRPr="00E97FC1">
        <w:rPr>
          <w:lang w:val="en-GB"/>
        </w:rPr>
        <w:t>O</w:t>
      </w:r>
      <w:r w:rsidRPr="00E97FC1">
        <w:rPr>
          <w:vertAlign w:val="subscript"/>
          <w:lang w:val="en-GB"/>
        </w:rPr>
        <w:t>2</w:t>
      </w:r>
      <w:r w:rsidRPr="00E97FC1">
        <w:rPr>
          <w:lang w:val="en-GB"/>
        </w:rPr>
        <w:t xml:space="preserve">. This makes </w:t>
      </w:r>
      <w:r w:rsidR="00AD2FCD" w:rsidRPr="00E97FC1">
        <w:rPr>
          <w:lang w:val="en-GB"/>
        </w:rPr>
        <w:t>c</w:t>
      </w:r>
      <w:r w:rsidRPr="00E97FC1">
        <w:rPr>
          <w:lang w:val="en-GB"/>
        </w:rPr>
        <w:t xml:space="preserve">omplex I a source of ROS which cause DNA damage and may be related to aging </w:t>
      </w:r>
      <w:r w:rsidRPr="00E97FC1">
        <w:rPr>
          <w:lang w:val="en-GB"/>
        </w:rPr>
        <w:fldChar w:fldCharType="begin" w:fldLock="1"/>
      </w:r>
      <w:r w:rsidR="00776703" w:rsidRPr="00E97FC1">
        <w:rPr>
          <w:lang w:val="en-GB"/>
        </w:rPr>
        <w:instrText>ADDIN CSL_CITATION {"citationItems":[{"id":"ITEM-1","itemData":{"DOI":"10.1146/annurev-biochem-070511-103700","ISSN":"1545-4509 (Electronic)","PMID":"23527692","abstract":"Complex I (NADH:ubiquinone oxidoreductase) is crucial for respiration in many aerobic organisms. In mitochondria, it oxidizes NADH from the tricarboxylic acid cycle and beta-oxidation, reduces ubiquinone, and transports protons across the inner membrane, contributing to the proton-motive force. It is also a major contributor to cellular production of reactive oxygen species. The redox reaction of complex I is catalyzed in the hydrophilic domain; it comprises NADH oxidation by a flavin mononucleotide, intramolecular electron transfer along a chain of iron-sulfur clusters, and ubiquinone reduction. Redox-coupled proton translocation in the membrane domain requires long-range energy transfer through the protein complex, and the molecular mechanisms that couple the redox and proton-transfer half-reactions are currently unknown. This review evaluates extant data on the mechanisms of energy transduction and superoxide production by complex I, discusses contemporary mechanistic models, and explores how mechanistic studies may contribute to understanding the roles of complex I dysfunctions in human diseases.","author":[{"dropping-particle":"","family":"Hirst","given":"Judy","non-dropping-particle":"","parse-names":false,"suffix":""}],"container-title":"Annual review of biochemistry","id":"ITEM-1","issued":{"date-parts":[["2013"]]},"language":"eng","page":"551-575","publisher-place":"United States","title":"Mitochondrial complex I.","type":"article-journal","volume":"82"},"uris":["http://www.mendeley.com/documents/?uuid=d1513a74-0f04-4347-bc9c-011be78005f3"]},{"id":"ITEM-2","itemData":{"DOI":"10.1021/bi702243b","ISSN":"0006-2960 (Print)","PMID":"18307315","abstract":"The generation of reactive oxygen species by mitochondrial complex I (NADH:ubiquinone oxidoreductase) is considered a significant cause of cellular oxidative stress, linked to neuromuscular diseases and aging. Defining its mechanism is important for the formulation of causative connections between complex I defects and pathological effects. Oxygen is probably reduced at two sites in complex I, one associated with NADH oxidation in the mitochondrial matrix and the other associated with ubiquinone reduction in the membrane. Here, we study complex I from Escherichia coli, exploiting similarities and differences in the bacterial and mitochondrial enzymes to extend our knowledge of O2 reduction at the active site for NADH oxidation. E. coli and bovine complex I reduce O2 at essentially the same rate, with the same potential dependence (set by the NAD (+)/NADH ratio), showing that the rate-determining step is conserved. The potential dependent rate of H2O2 production does not correlate to the potential of the distal [2Fe-2S] cluster N1a in E. coli complex I, excluding it as the point of O2 reduction. Therefore, our results confirm previous proposals that O2 reacts with the fully reduced flavin mononucleotide. Assays for superoxide production by E. coli complex I were prone to artifacts, but dihydroethidium reduction showed that, upon reducing O2, it produces approximately 20% superoxide and 80% H2O2. In contrast, bovine complex I produces 95% superoxide. The results are consistent with (but do not prove) a specific role for cluster N1a in determining the outcome of O2 reduction; possible reaction mechanisms are discussed.","author":[{"dropping-particle":"","family":"Esterhazy","given":"Daria","non-dropping-particle":"","parse-names":false,"suffix":""},{"dropping-particle":"","family":"King","given":"Martin S","non-dropping-particle":"","parse-names":false,"suffix":""},{"dropping-particle":"","family":"Yakovlev","given":"Gregory","non-dropping-particle":"","parse-names":false,"suffix":""},{"dropping-particle":"","family":"Hirst","given":"Judy","non-dropping-particle":"","parse-names":false,"suffix":""}],"container-title":"Biochemistry","id":"ITEM-2","issue":"12","issued":{"date-parts":[["2008","3"]]},"language":"eng","page":"3964-3971","publisher-place":"United States","title":"Production of reactive oxygen species by complex I (NADH:ubiquinone oxidoreductase) from Escherichia coli and comparison to the enzyme from mitochondria.","type":"article-journal","volume":"47"},"uris":["http://www.mendeley.com/documents/?uuid=6012893d-f6fa-41f0-931d-4fe2ef599557"]}],"mendeley":{"formattedCitation":"(Hirst, 2013; Esterhazy &lt;i&gt;et al&lt;/i&gt;, 2008)","plainTextFormattedCitation":"(Hirst, 2013; Esterhazy et al, 2008)","previouslyFormattedCitation":"(Hirst, 2013; Esterhazy &lt;i&gt;et al&lt;/i&gt;, 2008)"},"properties":{"noteIndex":0},"schema":"https://github.com/citation-style-language/schema/raw/master/csl-citation.json"}</w:instrText>
      </w:r>
      <w:r w:rsidRPr="00E97FC1">
        <w:rPr>
          <w:lang w:val="en-GB"/>
        </w:rPr>
        <w:fldChar w:fldCharType="separate"/>
      </w:r>
      <w:r w:rsidR="00E55873" w:rsidRPr="00E97FC1">
        <w:rPr>
          <w:noProof/>
          <w:lang w:val="en-GB"/>
        </w:rPr>
        <w:t xml:space="preserve">(Hirst, 2013; Esterhazy </w:t>
      </w:r>
      <w:r w:rsidR="00E55873" w:rsidRPr="00E97FC1">
        <w:rPr>
          <w:i/>
          <w:noProof/>
          <w:lang w:val="en-GB"/>
        </w:rPr>
        <w:t>et al</w:t>
      </w:r>
      <w:r w:rsidR="00E55873" w:rsidRPr="00E97FC1">
        <w:rPr>
          <w:noProof/>
          <w:lang w:val="en-GB"/>
        </w:rPr>
        <w:t>, 2008)</w:t>
      </w:r>
      <w:r w:rsidRPr="00E97FC1">
        <w:rPr>
          <w:lang w:val="en-GB"/>
        </w:rPr>
        <w:fldChar w:fldCharType="end"/>
      </w:r>
      <w:r w:rsidRPr="00E97FC1">
        <w:rPr>
          <w:lang w:val="en-GB"/>
        </w:rPr>
        <w:t>.</w:t>
      </w:r>
      <w:r w:rsidR="00E93E4A" w:rsidRPr="00E97FC1">
        <w:rPr>
          <w:lang w:val="en-GB"/>
        </w:rPr>
        <w:t xml:space="preserve"> </w:t>
      </w:r>
    </w:p>
    <w:p w14:paraId="16116DE0" w14:textId="40F92FD0" w:rsidR="00236D30" w:rsidRPr="00E97FC1" w:rsidRDefault="00236D30" w:rsidP="00323346">
      <w:pPr>
        <w:ind w:firstLine="720"/>
        <w:rPr>
          <w:lang w:val="en-GB"/>
        </w:rPr>
      </w:pPr>
      <w:r w:rsidRPr="00E97FC1">
        <w:rPr>
          <w:lang w:val="en-GB"/>
        </w:rPr>
        <w:t>The overall electron transfer pathway is the following: NADH→FMN→N3→N1b→N4→N5→N6a→ N6b→N2→Q</w:t>
      </w:r>
      <w:r w:rsidR="00107B78" w:rsidRPr="00E97FC1">
        <w:rPr>
          <w:lang w:val="en-GB"/>
        </w:rPr>
        <w:t xml:space="preserve"> (</w:t>
      </w:r>
      <w:r w:rsidR="00107B78" w:rsidRPr="00CC7652">
        <w:rPr>
          <w:lang w:val="en-GB"/>
        </w:rPr>
        <w:t>Figure 3.</w:t>
      </w:r>
      <w:r w:rsidR="00E97FC1" w:rsidRPr="00CC7652">
        <w:rPr>
          <w:lang w:val="en-GB"/>
        </w:rPr>
        <w:t>2</w:t>
      </w:r>
      <w:r w:rsidR="00107B78" w:rsidRPr="00CC7652">
        <w:rPr>
          <w:lang w:val="en-GB"/>
        </w:rPr>
        <w:t>c</w:t>
      </w:r>
      <w:r w:rsidR="00107B78" w:rsidRPr="00E97FC1">
        <w:rPr>
          <w:lang w:val="en-GB"/>
        </w:rPr>
        <w:t>)</w:t>
      </w:r>
      <w:r w:rsidRPr="00E97FC1">
        <w:rPr>
          <w:lang w:val="en-GB"/>
        </w:rPr>
        <w:t xml:space="preserve">. The time of electron transfer from NADH to N2 is about 100 μs while the full catalytic cycle takes about 5 ms. Therefore, the overall electron transfer is thought to be limited by Q binding and release dynamics </w:t>
      </w:r>
      <w:r w:rsidRPr="00E97FC1">
        <w:rPr>
          <w:lang w:val="en-GB"/>
        </w:rPr>
        <w:fldChar w:fldCharType="begin" w:fldLock="1"/>
      </w:r>
      <w:r w:rsidR="00776703" w:rsidRPr="00E97FC1">
        <w:rPr>
          <w:lang w:val="en-GB"/>
        </w:rPr>
        <w:instrText>ADDIN CSL_CITATION {"citationItems":[{"id":"ITEM-1","itemData":{"DOI":"10.1073/pnas.0711249105","ISSN":"1091-6490 (Electronic)","PMID":"18316732","abstract":"Electron transfer in complex I from Escherichia coli was investigated by an ultrafast freeze-quench approach. The reaction of complex I with NADH was stopped in the time domain from 90 mus to 8 ms and analyzed by electron paramagnetic resonance (EPR) spectroscopy at low temperatures. The data show that after binding of the first molecule of NADH, two electrons move via the FMN cofactor to the iron-sulfur (Fe/S) centers N1a and N2 with an apparent time constant of approximately 90 mus, implying that these two centers should have the highest redox potential in the enzyme. The rate of reduction of center N2 (the last center in the electron transfer sequence) is close to that predicted by electron transfer theory, which argues for the absence of coupled proton transfer or conformational changes during electron transfer from FMN to N2. After fast reduction of N1a and N2, we observe a slow, approximately 1-ms component of reduction of other Fe/S clusters. Because all elementary electron transfer rates between clusters are several orders of magnitude higher than this observed rate, we conclude that the millisecond component is limited by a single process corresponding to dissociation of the oxidized NAD(+) molecule from its binding site, where it prevents entry of the next NADH molecule. Despite the presence of approximately one ubiquinone per enzyme molecule, no transient semiquinone formation was observed, which has mechanistic implications, suggesting a high thermodynamic barrier for ubiquinone reduction to the semiquinone radical. Possible consequences of these findings for the proton translocation mechanism are discussed.","author":[{"dropping-particle":"","family":"Verkhovskaya","given":"Marina L","non-dropping-particle":"","parse-names":false,"suffix":""},{"dropping-particle":"","family":"Belevich","given":"Nikolai","non-dropping-particle":"","parse-names":false,"suffix":""},{"dropping-particle":"","family":"Euro","given":"Liliya","non-dropping-particle":"","parse-names":false,"suffix":""},{"dropping-particle":"","family":"Wikstrom","given":"Marten","non-dropping-particle":"","parse-names":false,"suffix":""},{"dropping-particle":"","family":"Verkhovsky","given":"Michael I","non-dropping-particle":"","parse-names":false,"suffix":""}],"container-title":"Proceedings of the National Academy of Sciences of the United States of America","id":"ITEM-1","issue":"10","issued":{"date-parts":[["2008","3"]]},"language":"eng","page":"3763-3767","publisher-place":"United States","title":"Real-time electron transfer in respiratory complex I.","type":"article-journal","volume":"105"},"uris":["http://www.mendeley.com/documents/?uuid=bec1b7ae-53a5-42a0-a072-89ef82bfcf3f"]}],"mendeley":{"formattedCitation":"(Verkhovskaya &lt;i&gt;et al&lt;/i&gt;, 2008)","plainTextFormattedCitation":"(Verkhovskaya et al, 2008)","previouslyFormattedCitation":"(Verkhovskaya &lt;i&gt;et al&lt;/i&gt;, 2008)"},"properties":{"noteIndex":0},"schema":"https://github.com/citation-style-language/schema/raw/master/csl-citation.json"}</w:instrText>
      </w:r>
      <w:r w:rsidRPr="00E97FC1">
        <w:rPr>
          <w:lang w:val="en-GB"/>
        </w:rPr>
        <w:fldChar w:fldCharType="separate"/>
      </w:r>
      <w:r w:rsidR="00E55873" w:rsidRPr="00E97FC1">
        <w:rPr>
          <w:noProof/>
          <w:lang w:val="en-GB"/>
        </w:rPr>
        <w:t xml:space="preserve">(Verkhovskaya </w:t>
      </w:r>
      <w:r w:rsidR="00E55873" w:rsidRPr="00E97FC1">
        <w:rPr>
          <w:i/>
          <w:noProof/>
          <w:lang w:val="en-GB"/>
        </w:rPr>
        <w:t>et al</w:t>
      </w:r>
      <w:r w:rsidR="00E55873" w:rsidRPr="00E97FC1">
        <w:rPr>
          <w:noProof/>
          <w:lang w:val="en-GB"/>
        </w:rPr>
        <w:t>, 2008)</w:t>
      </w:r>
      <w:r w:rsidRPr="00E97FC1">
        <w:rPr>
          <w:lang w:val="en-GB"/>
        </w:rPr>
        <w:fldChar w:fldCharType="end"/>
      </w:r>
      <w:r w:rsidRPr="00E97FC1">
        <w:rPr>
          <w:lang w:val="en-GB"/>
        </w:rPr>
        <w:t>. N2 has the highest potential (-100 to -150 mV) which is typical for a terminal cluster</w:t>
      </w:r>
      <w:r w:rsidR="009D4406" w:rsidRPr="00E97FC1">
        <w:rPr>
          <w:lang w:val="en-GB"/>
        </w:rPr>
        <w:t xml:space="preserve"> in a redox chain</w:t>
      </w:r>
      <w:r w:rsidRPr="00E97FC1">
        <w:rPr>
          <w:lang w:val="en-GB"/>
        </w:rPr>
        <w:t>. It is believed that electron transfer from N2 to Q initiates a cascade of conformational and electrostatic changes propagating through the membrane arm.</w:t>
      </w:r>
    </w:p>
    <w:p w14:paraId="35B0F574" w14:textId="12CC1AE7" w:rsidR="00DD26AD" w:rsidRPr="00E97FC1" w:rsidRDefault="00E93E4A" w:rsidP="00DD26AD">
      <w:pPr>
        <w:ind w:firstLine="720"/>
        <w:rPr>
          <w:lang w:val="en-GB"/>
        </w:rPr>
      </w:pPr>
      <w:r w:rsidRPr="00E97FC1">
        <w:rPr>
          <w:lang w:val="en-GB"/>
        </w:rPr>
        <w:t xml:space="preserve">The process of electron transfer is coupled to proton translocation across the membrane. Membrane antiporter-like subunits of the complex perform proton pumping </w:t>
      </w:r>
      <w:r w:rsidRPr="00E97FC1">
        <w:rPr>
          <w:lang w:val="en-GB"/>
        </w:rPr>
        <w:fldChar w:fldCharType="begin" w:fldLock="1"/>
      </w:r>
      <w:r w:rsidR="00E55873" w:rsidRPr="00E97FC1">
        <w:rPr>
          <w:lang w:val="en-GB"/>
        </w:rPr>
        <w:instrText>ADDIN CSL_CITATION {"citationItems":[{"id":"ITEM-1","itemData":{"DOI":"10.1038/nature10330","ISSN":"1476-4687 (Electronic)","PMID":"21822288","abstract":"Complex I is the first and largest enzyme of the respiratory chain, coupling electron transfer between NADH and ubiquinone to the translocation of four protons across the membrane. It has a central role in cellular energy production and has been implicated in many human neurodegenerative diseases. The L-shaped enzyme consists of hydrophilic and membrane domains. Previously, we determined the structure of the hydrophilic domain. Here we report the crystal structure of the Esherichia coli complex I membrane domain at 3.0 A resolution. It includes six subunits, NuoL, NuoM, NuoN, NuoA, NuoJ and NuoK, with 55 transmembrane helices. The fold of the homologous antiporter-like subunits L, M and N is novel, with two inverted structural repeats of five transmembrane helices arranged, unusually, face-to-back. Each repeat includes a discontinuous transmembrane helix and forms half of a channel across the membrane. A network of conserved polar residues connects the two half-channels, completing the proton translocation pathway. Unexpectedly, lysines rather than carboxylate residues act as the main elements of the proton pump in these subunits. The fourth probable proton-translocation channel is at the interface of subunits N, K, J and A. The structure indicates that proton translocation in complex I, uniquely, involves coordinated conformational changes in six symmetrical structural elements.","author":[{"dropping-particle":"","family":"Efremov","given":"Rouslan G","non-dropping-particle":"","parse-names":false,"suffix":""},{"dropping-particle":"","family":"Sazanov","given":"Leonid A","non-dropping-particle":"","parse-names":false,"suffix":""}],"container-title":"Nature","id":"ITEM-1","issue":"7361","issued":{"date-parts":[["2011","8"]]},"language":"eng","page":"414-420","publisher-place":"England","title":"Structure of the membrane domain of respiratory complex I.","type":"article-journal","volume":"476"},"uris":["http://www.mendeley.com/documents/?uuid=70e749ca-5ff6-4c28-b7a8-deff25e62773"]}],"mendeley":{"formattedCitation":"(Efremov &amp; Sazanov, 2011)","plainTextFormattedCitation":"(Efremov &amp; Sazanov, 2011)","previouslyFormattedCitation":"(Efremov &amp; Sazanov, 2011)"},"properties":{"noteIndex":0},"schema":"https://github.com/citation-style-language/schema/raw/master/csl-citation.json"}</w:instrText>
      </w:r>
      <w:r w:rsidRPr="00E97FC1">
        <w:rPr>
          <w:lang w:val="en-GB"/>
        </w:rPr>
        <w:fldChar w:fldCharType="separate"/>
      </w:r>
      <w:r w:rsidR="00E55873" w:rsidRPr="00E97FC1">
        <w:rPr>
          <w:noProof/>
          <w:lang w:val="en-GB"/>
        </w:rPr>
        <w:t>(Efremov &amp; Sazanov, 2011)</w:t>
      </w:r>
      <w:r w:rsidRPr="00E97FC1">
        <w:rPr>
          <w:lang w:val="en-GB"/>
        </w:rPr>
        <w:fldChar w:fldCharType="end"/>
      </w:r>
      <w:r w:rsidRPr="00E97FC1">
        <w:rPr>
          <w:lang w:val="en-GB"/>
        </w:rPr>
        <w:t xml:space="preserve"> </w:t>
      </w:r>
      <w:r w:rsidRPr="00CC7652">
        <w:rPr>
          <w:lang w:val="en-GB"/>
        </w:rPr>
        <w:t>(Figure 1.4</w:t>
      </w:r>
      <w:r w:rsidRPr="00E97FC1">
        <w:rPr>
          <w:lang w:val="en-GB"/>
        </w:rPr>
        <w:t xml:space="preserve">). </w:t>
      </w:r>
      <w:r w:rsidR="009D4406" w:rsidRPr="00E97FC1">
        <w:rPr>
          <w:lang w:val="en-GB"/>
        </w:rPr>
        <w:t>Membrane arm (</w:t>
      </w:r>
      <w:r w:rsidR="00DD26AD" w:rsidRPr="00E97FC1">
        <w:rPr>
          <w:lang w:val="en-GB"/>
        </w:rPr>
        <w:t>MA</w:t>
      </w:r>
      <w:r w:rsidR="009D4406" w:rsidRPr="00E97FC1">
        <w:rPr>
          <w:lang w:val="en-GB"/>
        </w:rPr>
        <w:t>)</w:t>
      </w:r>
      <w:r w:rsidR="00DD26AD" w:rsidRPr="00E97FC1">
        <w:rPr>
          <w:lang w:val="en-GB"/>
        </w:rPr>
        <w:t xml:space="preserve"> consists of 7 subunits, the three largest ones (NuoL, M and L) are antiporter-like subunits, homologous to each other and to cation/H</w:t>
      </w:r>
      <w:r w:rsidR="00DD26AD" w:rsidRPr="00E97FC1">
        <w:rPr>
          <w:vertAlign w:val="superscript"/>
          <w:lang w:val="en-GB"/>
        </w:rPr>
        <w:t>+</w:t>
      </w:r>
      <w:r w:rsidR="00DD26AD" w:rsidRPr="00E97FC1">
        <w:rPr>
          <w:lang w:val="en-GB"/>
        </w:rPr>
        <w:t xml:space="preserve"> antiporters </w:t>
      </w:r>
      <w:r w:rsidR="00DD26AD" w:rsidRPr="00E97FC1">
        <w:rPr>
          <w:lang w:val="en-GB"/>
        </w:rPr>
        <w:fldChar w:fldCharType="begin" w:fldLock="1"/>
      </w:r>
      <w:r w:rsidR="00E55873" w:rsidRPr="00E97FC1">
        <w:rPr>
          <w:lang w:val="en-GB"/>
        </w:rPr>
        <w:instrText>ADDIN CSL_CITATION {"citationItems":[{"id":"ITEM-1","itemData":{"DOI":"10.1038/nature10330","ISSN":"1476-4687 (Electronic)","PMID":"21822288","abstract":"Complex I is the first and largest enzyme of the respiratory chain, coupling electron transfer between NADH and ubiquinone to the translocation of four protons across the membrane. It has a central role in cellular energy production and has been implicated in many human neurodegenerative diseases. The L-shaped enzyme consists of hydrophilic and membrane domains. Previously, we determined the structure of the hydrophilic domain. Here we report the crystal structure of the Esherichia coli complex I membrane domain at 3.0 A resolution. It includes six subunits, NuoL, NuoM, NuoN, NuoA, NuoJ and NuoK, with 55 transmembrane helices. The fold of the homologous antiporter-like subunits L, M and N is novel, with two inverted structural repeats of five transmembrane helices arranged, unusually, face-to-back. Each repeat includes a discontinuous transmembrane helix and forms half of a channel across the membrane. A network of conserved polar residues connects the two half-channels, completing the proton translocation pathway. Unexpectedly, lysines rather than carboxylate residues act as the main elements of the proton pump in these subunits. The fourth probable proton-translocation channel is at the interface of subunits N, K, J and A. The structure indicates that proton translocation in complex I, uniquely, involves coordinated conformational changes in six symmetrical structural elements.","author":[{"dropping-particle":"","family":"Efremov","given":"Rouslan G","non-dropping-particle":"","parse-names":false,"suffix":""},{"dropping-particle":"","family":"Sazanov","given":"Leonid A","non-dropping-particle":"","parse-names":false,"suffix":""}],"container-title":"Nature","id":"ITEM-1","issue":"7361","issued":{"date-parts":[["2011","8"]]},"language":"eng","page":"414-420","publisher-place":"England","title":"Structure of the membrane domain of respiratory complex I.","type":"article-journal","volume":"476"},"uris":["http://www.mendeley.com/documents/?uuid=70e749ca-5ff6-4c28-b7a8-deff25e62773"]}],"mendeley":{"formattedCitation":"(Efremov &amp; Sazanov, 2011)","plainTextFormattedCitation":"(Efremov &amp; Sazanov, 2011)","previouslyFormattedCitation":"(Efremov &amp; Sazanov, 2011)"},"properties":{"noteIndex":0},"schema":"https://github.com/citation-style-language/schema/raw/master/csl-citation.json"}</w:instrText>
      </w:r>
      <w:r w:rsidR="00DD26AD" w:rsidRPr="00E97FC1">
        <w:rPr>
          <w:lang w:val="en-GB"/>
        </w:rPr>
        <w:fldChar w:fldCharType="separate"/>
      </w:r>
      <w:r w:rsidR="00E55873" w:rsidRPr="00E97FC1">
        <w:rPr>
          <w:noProof/>
          <w:lang w:val="en-GB"/>
        </w:rPr>
        <w:t>(Efremov &amp; Sazanov, 2011)</w:t>
      </w:r>
      <w:r w:rsidR="00DD26AD" w:rsidRPr="00E97FC1">
        <w:rPr>
          <w:lang w:val="en-GB"/>
        </w:rPr>
        <w:fldChar w:fldCharType="end"/>
      </w:r>
      <w:r w:rsidR="00DD26AD" w:rsidRPr="00E97FC1">
        <w:rPr>
          <w:lang w:val="en-GB"/>
        </w:rPr>
        <w:t xml:space="preserve">. The three antiporter-like subunits are linked by a long </w:t>
      </w:r>
      <w:r w:rsidR="009D4406" w:rsidRPr="00E97FC1">
        <w:rPr>
          <w:lang w:val="en-GB"/>
        </w:rPr>
        <w:t xml:space="preserve">traverse </w:t>
      </w:r>
      <w:r w:rsidR="00DD26AD" w:rsidRPr="00E97FC1">
        <w:rPr>
          <w:lang w:val="en-GB"/>
        </w:rPr>
        <w:t>α-helix, which is part of NuoL and may be a coupling element of the complex. Each of the antiporter-like subunits contain two symmetry-related half-channels, one open to the matrix arm and the other to the</w:t>
      </w:r>
      <w:r w:rsidR="00AD2FCD" w:rsidRPr="00E97FC1">
        <w:rPr>
          <w:lang w:val="en-GB"/>
        </w:rPr>
        <w:t xml:space="preserve"> intermembrane space</w:t>
      </w:r>
      <w:r w:rsidR="00DD26AD" w:rsidRPr="00E97FC1">
        <w:rPr>
          <w:lang w:val="en-GB"/>
        </w:rPr>
        <w:t xml:space="preserve"> </w:t>
      </w:r>
      <w:r w:rsidR="00AD2FCD" w:rsidRPr="00E97FC1">
        <w:rPr>
          <w:lang w:val="en-GB"/>
        </w:rPr>
        <w:t>(</w:t>
      </w:r>
      <w:r w:rsidR="00DD26AD" w:rsidRPr="00E97FC1">
        <w:rPr>
          <w:lang w:val="en-GB"/>
        </w:rPr>
        <w:t>IMS</w:t>
      </w:r>
      <w:r w:rsidR="00AD2FCD" w:rsidRPr="00E97FC1">
        <w:rPr>
          <w:lang w:val="en-GB"/>
        </w:rPr>
        <w:t>)</w:t>
      </w:r>
      <w:r w:rsidR="00DD26AD" w:rsidRPr="00E97FC1">
        <w:rPr>
          <w:lang w:val="en-GB"/>
        </w:rPr>
        <w:t xml:space="preserve">. A series of protonatable residues in the middle of the membrane connects the half channels, </w:t>
      </w:r>
      <w:r w:rsidR="009D4406" w:rsidRPr="00E97FC1">
        <w:rPr>
          <w:lang w:val="en-GB"/>
        </w:rPr>
        <w:t xml:space="preserve">perhaps </w:t>
      </w:r>
      <w:r w:rsidR="00DD26AD" w:rsidRPr="00E97FC1">
        <w:rPr>
          <w:lang w:val="en-GB"/>
        </w:rPr>
        <w:t>enabling H</w:t>
      </w:r>
      <w:r w:rsidR="00DD26AD" w:rsidRPr="00E97FC1">
        <w:rPr>
          <w:vertAlign w:val="superscript"/>
          <w:lang w:val="en-GB"/>
        </w:rPr>
        <w:t>+</w:t>
      </w:r>
      <w:r w:rsidR="00DD26AD" w:rsidRPr="00E97FC1">
        <w:rPr>
          <w:lang w:val="en-GB"/>
        </w:rPr>
        <w:t xml:space="preserve"> translocation. Subunits NuoA, J and K form a connection between the antiporter-like subunits and NuoH. Subunit NuoH </w:t>
      </w:r>
      <w:r w:rsidR="009D4406" w:rsidRPr="00E97FC1">
        <w:rPr>
          <w:lang w:val="en-GB"/>
        </w:rPr>
        <w:t xml:space="preserve">is </w:t>
      </w:r>
      <w:r w:rsidR="00DD26AD" w:rsidRPr="00E97FC1">
        <w:rPr>
          <w:lang w:val="en-GB"/>
        </w:rPr>
        <w:t xml:space="preserve">a unique complex I subunit and has no homologs in other enzymes. It forms most of the Q-binding cavity and links the membrane arm with the </w:t>
      </w:r>
      <w:r w:rsidR="009D4406" w:rsidRPr="00E97FC1">
        <w:rPr>
          <w:lang w:val="en-GB"/>
        </w:rPr>
        <w:t>peripheral (</w:t>
      </w:r>
      <w:r w:rsidR="00DD26AD" w:rsidRPr="00E97FC1">
        <w:rPr>
          <w:lang w:val="en-GB"/>
        </w:rPr>
        <w:t>matrix</w:t>
      </w:r>
      <w:r w:rsidR="009D4406" w:rsidRPr="00E97FC1">
        <w:rPr>
          <w:lang w:val="en-GB"/>
        </w:rPr>
        <w:t>)</w:t>
      </w:r>
      <w:r w:rsidR="00DD26AD" w:rsidRPr="00E97FC1">
        <w:rPr>
          <w:lang w:val="en-GB"/>
        </w:rPr>
        <w:t xml:space="preserve"> arm. </w:t>
      </w:r>
    </w:p>
    <w:p w14:paraId="60C53D21" w14:textId="16071948" w:rsidR="00323346" w:rsidRPr="00E97FC1" w:rsidRDefault="00DD26AD" w:rsidP="00DD26AD">
      <w:pPr>
        <w:ind w:firstLine="720"/>
        <w:rPr>
          <w:lang w:val="en-GB"/>
        </w:rPr>
      </w:pPr>
      <w:r w:rsidRPr="00E97FC1">
        <w:rPr>
          <w:lang w:val="en-GB"/>
        </w:rPr>
        <w:t xml:space="preserve">The architecture of the membrane domain </w:t>
      </w:r>
      <w:r w:rsidR="009D4406" w:rsidRPr="00E97FC1">
        <w:rPr>
          <w:lang w:val="en-GB"/>
        </w:rPr>
        <w:t xml:space="preserve">seems to </w:t>
      </w:r>
      <w:r w:rsidRPr="00E97FC1">
        <w:rPr>
          <w:lang w:val="en-GB"/>
        </w:rPr>
        <w:t xml:space="preserve">suggest the translocation of one proton through each antiporter-like subunit and one proton through so-called E-channel (formed mainly by Glu residues of NuoA, H, J and K). Thus four protons are transferred per </w:t>
      </w:r>
      <w:r w:rsidRPr="00E97FC1">
        <w:rPr>
          <w:lang w:val="en-GB"/>
        </w:rPr>
        <w:lastRenderedPageBreak/>
        <w:t xml:space="preserve">NADH molecule oxidized. The mechanism of proton transfer is believed to involve conformational and electrostatic changes but </w:t>
      </w:r>
      <w:r w:rsidR="009D4406" w:rsidRPr="00E97FC1">
        <w:rPr>
          <w:lang w:val="en-GB"/>
        </w:rPr>
        <w:t xml:space="preserve">specific </w:t>
      </w:r>
      <w:r w:rsidRPr="00E97FC1">
        <w:rPr>
          <w:lang w:val="en-GB"/>
        </w:rPr>
        <w:t xml:space="preserve">details remain unclear </w:t>
      </w:r>
      <w:r w:rsidRPr="00E97FC1">
        <w:rPr>
          <w:lang w:val="en-GB"/>
        </w:rPr>
        <w:fldChar w:fldCharType="begin" w:fldLock="1"/>
      </w:r>
      <w:r w:rsidR="00E55873" w:rsidRPr="00E97FC1">
        <w:rPr>
          <w:lang w:val="en-GB"/>
        </w:rPr>
        <w:instrText>ADDIN CSL_CITATION {"citationItems":[{"id":"ITEM-1","itemData":{"DOI":"10.1126/science.abc4209","ISSN":"1095-9203 (Electronic)","PMID":"32972993","abstract":"Mitochondrial complex I couples NADH:ubiquinone oxidoreduction to proton pumping by  an unknown mechanism. Here, we present cryo-electron microscopy structures of ovine complex I in five different conditions, including turnover, at resolutions up to 2.3 to 2.5 angstroms. Resolved water molecules allowed us to experimentally define the proton translocation pathways. Quinone binds at three positions along the quinone cavity, as does the inhibitor rotenone that also binds within subunit ND4. Dramatic conformational changes around the quinone cavity couple the redox reaction to proton translocation during open-to-closed state transitions of the enzyme. In the induced deactive state, the open conformation is arrested by the ND6 subunit. We propose a detailed molecular coupling mechanism of complex I, which is an unexpected combination of conformational changes and electrostatic interactions.","author":[{"dropping-particle":"","family":"Kampjut","given":"Domen","non-dropping-particle":"","parse-names":false,"suffix":""},{"dropping-particle":"","family":"Sazanov","given":"Leonid A","non-dropping-particle":"","parse-names":false,"suffix":""}],"container-title":"Science (New York, N.Y.)","id":"ITEM-1","issue":"6516","issued":{"date-parts":[["2020","10"]]},"language":"eng","publisher-place":"United States","title":"The coupling mechanism of mammalian respiratory complex I.","type":"article-journal","volume":"370"},"uris":["http://www.mendeley.com/documents/?uuid=7ba13959-8c17-4313-8227-becdec77971c"]}],"mendeley":{"formattedCitation":"(Kampjut &amp; Sazanov, 2020)","plainTextFormattedCitation":"(Kampjut &amp; Sazanov, 2020)","previouslyFormattedCitation":"(Kampjut &amp; Sazanov, 2020)"},"properties":{"noteIndex":0},"schema":"https://github.com/citation-style-language/schema/raw/master/csl-citation.json"}</w:instrText>
      </w:r>
      <w:r w:rsidRPr="00E97FC1">
        <w:rPr>
          <w:lang w:val="en-GB"/>
        </w:rPr>
        <w:fldChar w:fldCharType="separate"/>
      </w:r>
      <w:r w:rsidR="00E55873" w:rsidRPr="00E97FC1">
        <w:rPr>
          <w:noProof/>
          <w:lang w:val="en-GB"/>
        </w:rPr>
        <w:t>(Kampjut &amp; Sazanov, 2020)</w:t>
      </w:r>
      <w:r w:rsidRPr="00E97FC1">
        <w:rPr>
          <w:lang w:val="en-GB"/>
        </w:rPr>
        <w:fldChar w:fldCharType="end"/>
      </w:r>
      <w:r w:rsidRPr="00E97FC1">
        <w:rPr>
          <w:lang w:val="en-GB"/>
        </w:rPr>
        <w:t xml:space="preserve">. </w:t>
      </w:r>
    </w:p>
    <w:p w14:paraId="09C6FA9A" w14:textId="77777777" w:rsidR="005A6453" w:rsidRPr="00E97FC1" w:rsidRDefault="005A6453" w:rsidP="005A6453">
      <w:pPr>
        <w:rPr>
          <w:lang w:val="en-GB"/>
        </w:rPr>
      </w:pPr>
    </w:p>
    <w:p w14:paraId="318890BB" w14:textId="77777777" w:rsidR="00C017B5" w:rsidRPr="00E97FC1" w:rsidRDefault="00C017B5" w:rsidP="00C017B5">
      <w:pPr>
        <w:pStyle w:val="Heading3"/>
      </w:pPr>
      <w:bookmarkStart w:id="36" w:name="_Toc132639982"/>
      <w:r w:rsidRPr="00E97FC1">
        <w:t>Evolution and assembly of complex I</w:t>
      </w:r>
      <w:bookmarkEnd w:id="36"/>
    </w:p>
    <w:p w14:paraId="5F2524E8" w14:textId="39207477" w:rsidR="00FC7532" w:rsidRPr="00E97FC1" w:rsidRDefault="00575BDB" w:rsidP="00575BDB">
      <w:pPr>
        <w:ind w:firstLine="720"/>
        <w:rPr>
          <w:lang w:val="en-GB"/>
        </w:rPr>
      </w:pPr>
      <w:r w:rsidRPr="00E97FC1">
        <w:rPr>
          <w:lang w:val="en-GB"/>
        </w:rPr>
        <w:t xml:space="preserve">Complex I belongs to a family of membrane-bound oxidoreductases that is related to a class of membrane-bound [NiFe] hydrogenases. [NiFe] hydrogenases couple substrate oxidation and hydrogen reduction to active proton transport </w:t>
      </w:r>
      <w:r w:rsidRPr="00E97FC1">
        <w:rPr>
          <w:lang w:val="en-GB"/>
        </w:rPr>
        <w:fldChar w:fldCharType="begin" w:fldLock="1"/>
      </w:r>
      <w:r w:rsidR="00E55873" w:rsidRPr="00E97FC1">
        <w:rPr>
          <w:lang w:val="en-GB"/>
        </w:rPr>
        <w:instrText>ADDIN CSL_CITATION {"citationItems":[{"id":"ITEM-1","itemData":{"DOI":"10.1023/b:jobb.0000019599.43969.33","ISSN":"0145-479X (Print)","PMID":"15168611","abstract":"[NiFe] hydrogenases are well-characterized enzymes that have a key function in  the H2 metabolism of various microorganisms. In the recent years a subfamily of [NiFe] hydrogenases with unique properties has been identified. The members of this family form multisubunit membrane-bound enzyme complexes composed of at least four hydrophilic and two integral membrane proteins. These six conserved subunits, which built the core of these hydrogenases, have closely related counterparts in energy-conserving NADH:quinone oxidoreductases (complex I). However, the reaction catalyzed by these hydrogenases differs significantly from the reaction catalyzed by complex I. For some of these hydrogenases the physiological role is to catalyze the reduction of H+ with electrons derived from reduced ferredoxins or poly-ferredoxins. This exergonic reaction is coupled to energy conservation by means of electron-transport phosphorylation. Other members of this hydrogenase family mainly function to provide the cell with reduced ferredoxin with H2 as electron donor in a reaction driven by reverse electron transport. As complex I these hydrogenases function as ion pumps and have therefore been designated as energy-converting [NiFe] hydrogenases.","author":[{"dropping-particle":"","family":"Hedderich","given":"Reiner","non-dropping-particle":"","parse-names":false,"suffix":""}],"container-title":"Journal of bioenergetics and biomembranes","id":"ITEM-1","issue":"1","issued":{"date-parts":[["2004","2"]]},"language":"eng","page":"65-75","publisher-place":"United States","title":"Energy-converting [NiFe] hydrogenases from archaea and extremophiles: ancestors  of complex I.","type":"article-journal","volume":"36"},"uris":["http://www.mendeley.com/documents/?uuid=843c6e76-3cef-48d1-a898-0837abd408a0"]}],"mendeley":{"formattedCitation":"(Hedderich, 2004)","plainTextFormattedCitation":"(Hedderich, 2004)","previouslyFormattedCitation":"(Hedderich, 2004)"},"properties":{"noteIndex":0},"schema":"https://github.com/citation-style-language/schema/raw/master/csl-citation.json"}</w:instrText>
      </w:r>
      <w:r w:rsidRPr="00E97FC1">
        <w:rPr>
          <w:lang w:val="en-GB"/>
        </w:rPr>
        <w:fldChar w:fldCharType="separate"/>
      </w:r>
      <w:r w:rsidR="00E55873" w:rsidRPr="00E97FC1">
        <w:rPr>
          <w:noProof/>
          <w:lang w:val="en-GB"/>
        </w:rPr>
        <w:t>(Hedderich, 2004)</w:t>
      </w:r>
      <w:r w:rsidRPr="00E97FC1">
        <w:rPr>
          <w:lang w:val="en-GB"/>
        </w:rPr>
        <w:fldChar w:fldCharType="end"/>
      </w:r>
      <w:r w:rsidRPr="00E97FC1">
        <w:rPr>
          <w:lang w:val="en-GB"/>
        </w:rPr>
        <w:t>.</w:t>
      </w:r>
      <w:r w:rsidR="00FC7532" w:rsidRPr="00E97FC1">
        <w:rPr>
          <w:lang w:val="en-GB"/>
        </w:rPr>
        <w:t xml:space="preserve"> Subunits of</w:t>
      </w:r>
      <w:r w:rsidRPr="00E97FC1">
        <w:rPr>
          <w:lang w:val="en-GB"/>
        </w:rPr>
        <w:t xml:space="preserve"> </w:t>
      </w:r>
      <w:r w:rsidR="00FC7532" w:rsidRPr="00E97FC1">
        <w:rPr>
          <w:lang w:val="en-GB"/>
        </w:rPr>
        <w:t xml:space="preserve">complex I share homology to related proteins, which suggests </w:t>
      </w:r>
      <w:r w:rsidR="009D4406" w:rsidRPr="00E97FC1">
        <w:rPr>
          <w:lang w:val="en-GB"/>
        </w:rPr>
        <w:t>their</w:t>
      </w:r>
      <w:r w:rsidR="00FC7532" w:rsidRPr="00E97FC1">
        <w:rPr>
          <w:lang w:val="en-GB"/>
        </w:rPr>
        <w:t xml:space="preserve"> origin from unification of other subcomplexes (modules) with distinct functions as </w:t>
      </w:r>
      <w:r w:rsidR="009D4406" w:rsidRPr="00E97FC1">
        <w:rPr>
          <w:lang w:val="en-GB"/>
        </w:rPr>
        <w:t>t</w:t>
      </w:r>
      <w:r w:rsidRPr="00E97FC1">
        <w:rPr>
          <w:lang w:val="en-GB"/>
        </w:rPr>
        <w:t>he modules trace back to two unrelated protein families</w:t>
      </w:r>
      <w:r w:rsidR="00FC7532" w:rsidRPr="00E97FC1">
        <w:rPr>
          <w:lang w:val="en-GB"/>
        </w:rPr>
        <w:t xml:space="preserve"> </w:t>
      </w:r>
      <w:r w:rsidR="00FC7532" w:rsidRPr="00E97FC1">
        <w:rPr>
          <w:lang w:val="en-GB"/>
        </w:rPr>
        <w:fldChar w:fldCharType="begin" w:fldLock="1"/>
      </w:r>
      <w:r w:rsidR="00776703" w:rsidRPr="00E97FC1">
        <w:rPr>
          <w:lang w:val="en-GB"/>
        </w:rPr>
        <w:instrText>ADDIN CSL_CITATION {"citationItems":[{"id":"ITEM-1","itemData":{"DOI":"10.1007/s00239-011-9447-2","ISSN":"1432-1432 (Electronic)","PMID":"21597881","abstract":"The NADH:quinone oxidoreductase (complex I) has evolved from a combination of  smaller functional building blocks. Chloroplasts and cyanobacteria contain a complex I-like enzyme having only 11 subunits. This enzyme lacks the N-module which harbors the NADH binding site and the flavin and iron-sulfur cluster prosthetic groups. A complex I-homologous enzyme found in some archaea contains an F(420) dehydrogenase subunit denoted as FpoF rather than the N-module. In the present study, all currently available whole genome sequences were used to survey the occurrence of the different types of complex I in the different kingdoms of life. Notably, the 11-subunit version of complex I was found to be widely distributed, both in the archaeal and in the eubacterial kingdoms, whereas the 14-subunit classical complex I was found only in certain eubacterial phyla. The FpoF-containing complex I was present in Euryarchaeota but not in Crenarchaeota, which contained the 11-subunit complex I. The 11-subunit enzymes showed a primary sequence variability as great or greater than the full-size 14-subunit complex I, but differed distinctly from the membrane-bound hydrogenases. We conclude that this type of compact 11-subunit complex I is ancestral to all present-day complex I enzymes. No designated partner protein, acting as an electron delivery device, could be found for the compact version of complex I. We propose that the primordial complex I, and many of the present-day 11-subunit versions of it, operate without a designated partner protein but are capable of interaction with several different electron donor or acceptor proteins.","author":[{"dropping-particle":"","family":"Moparthi","given":"Vamsi K","non-dropping-particle":"","parse-names":false,"suffix":""},{"dropping-particle":"","family":"Hägerhäll","given":"Cecilia","non-dropping-particle":"","parse-names":false,"suffix":""}],"container-title":"Journal of molecular evolution","id":"ITEM-1","issue":"5-6","issued":{"date-parts":[["2011","6"]]},"language":"eng","page":"484-497","title":"The evolution of respiratory chain complex I from a smaller last common ancestor  consisting of 11 protein subunits.","type":"article-journal","volume":"72"},"uris":["http://www.mendeley.com/documents/?uuid=f8c5046e-8443-467c-8a1e-a9c50fe22532"]},{"id":"ITEM-2","itemData":{"DOI":"10.1016/s0014-5793(00)01867-6","ISSN":"0014-5793 (Print)","PMID":"10940377","abstract":"The proton-pumping NADH:ubiquinone oxidoreductase, also called complex I, is the  first of the respiratory complexes providing the proton motive force which is essential for energy consuming processes like the synthesis of ATP. Homologues of this complex exist in bacteria, archaea, in mitochondria of eukaryotes and in chloroplasts of plants. The bacterial and mitochondrial complexes function as NADH dehydrogenase, while the archaeal complex works as F420H2 dehydrogenase. The electron donor of the cyanobacterial and plastidal complex is not yet known. Despite the different electron input sites, 11 polypeptides constitute the structural framework for proton translocation and quinone binding in the complex of all three domains of life. Six of them are also present in a family of membrane-bound multisubunit [NiFe] hydrogenases. It is discussed that they build a module for electron transfer coupled to proton translocation.","author":[{"dropping-particle":"","family":"Friedrich","given":"T","non-dropping-particle":"","parse-names":false,"suffix":""},{"dropping-particle":"","family":"Scheide","given":"D","non-dropping-particle":"","parse-names":false,"suffix":""}],"container-title":"FEBS letters","id":"ITEM-2","issue":"1-2","issued":{"date-parts":[["2000","8"]]},"language":"eng","page":"1-5","publisher-place":"England","title":"The respiratory complex I of bacteria, archaea and eukarya and its module common  with membrane-bound multisubunit hydrogenases.","type":"article-journal","volume":"479"},"uris":["http://www.mendeley.com/documents/?uuid=ed90b9c7-6e42-43e4-8938-6a3963583862"]}],"mendeley":{"formattedCitation":"(Moparthi &amp; Hägerhäll, 2011; Friedrich &amp; Scheide, 2000)","plainTextFormattedCitation":"(Moparthi &amp; Hägerhäll, 2011; Friedrich &amp; Scheide, 2000)","previouslyFormattedCitation":"(Moparthi &amp; Hägerhäll, 2011; Friedrich &amp; Scheide, 2000)"},"properties":{"noteIndex":0},"schema":"https://github.com/citation-style-language/schema/raw/master/csl-citation.json"}</w:instrText>
      </w:r>
      <w:r w:rsidR="00FC7532" w:rsidRPr="00E97FC1">
        <w:rPr>
          <w:lang w:val="en-GB"/>
        </w:rPr>
        <w:fldChar w:fldCharType="separate"/>
      </w:r>
      <w:r w:rsidR="00E55873" w:rsidRPr="00E97FC1">
        <w:rPr>
          <w:noProof/>
          <w:lang w:val="en-GB"/>
        </w:rPr>
        <w:t>(Moparthi &amp; Hägerhäll, 2011; Friedrich &amp; Scheide, 2000)</w:t>
      </w:r>
      <w:r w:rsidR="00FC7532" w:rsidRPr="00E97FC1">
        <w:rPr>
          <w:lang w:val="en-GB"/>
        </w:rPr>
        <w:fldChar w:fldCharType="end"/>
      </w:r>
      <w:r w:rsidRPr="00E97FC1">
        <w:rPr>
          <w:lang w:val="en-GB"/>
        </w:rPr>
        <w:t>.</w:t>
      </w:r>
    </w:p>
    <w:p w14:paraId="2F05C35B" w14:textId="77777777" w:rsidR="00FC7532" w:rsidRPr="00E97FC1" w:rsidRDefault="00FC7532" w:rsidP="00FC7532">
      <w:pPr>
        <w:ind w:firstLine="720"/>
        <w:rPr>
          <w:lang w:val="en-GB"/>
        </w:rPr>
      </w:pPr>
      <w:r w:rsidRPr="00E97FC1">
        <w:rPr>
          <w:noProof/>
        </w:rPr>
        <w:drawing>
          <wp:inline distT="0" distB="0" distL="0" distR="0" wp14:anchorId="29E3FF40" wp14:editId="2AC40029">
            <wp:extent cx="5731510" cy="2594549"/>
            <wp:effectExtent l="0" t="0" r="2540" b="0"/>
            <wp:docPr id="1" name="Picture 1" descr="C:\Users\vkravchu\Desktop\PhD thesis\Figs\ev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kravchu\Desktop\PhD thesis\Figs\evo.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1510" cy="2594549"/>
                    </a:xfrm>
                    <a:prstGeom prst="rect">
                      <a:avLst/>
                    </a:prstGeom>
                    <a:noFill/>
                    <a:ln>
                      <a:noFill/>
                    </a:ln>
                  </pic:spPr>
                </pic:pic>
              </a:graphicData>
            </a:graphic>
          </wp:inline>
        </w:drawing>
      </w:r>
    </w:p>
    <w:p w14:paraId="0B244331" w14:textId="720C03A3" w:rsidR="00FC7532" w:rsidRPr="00E97FC1" w:rsidRDefault="00FC7532" w:rsidP="00FC7532">
      <w:pPr>
        <w:pStyle w:val="Caption"/>
      </w:pPr>
      <w:bookmarkStart w:id="37" w:name="_Toc117077783"/>
      <w:bookmarkStart w:id="38" w:name="_Toc121834095"/>
      <w:bookmarkStart w:id="39" w:name="_Toc128136611"/>
      <w:r w:rsidRPr="00E97FC1">
        <w:t xml:space="preserve">Figure </w:t>
      </w:r>
      <w:r w:rsidR="00CC7652">
        <w:fldChar w:fldCharType="begin"/>
      </w:r>
      <w:r w:rsidR="00CC7652">
        <w:instrText xml:space="preserve"> STYLEREF 1 \s </w:instrText>
      </w:r>
      <w:r w:rsidR="00CC7652">
        <w:fldChar w:fldCharType="separate"/>
      </w:r>
      <w:r w:rsidR="00ED1816">
        <w:rPr>
          <w:noProof/>
        </w:rPr>
        <w:t>1</w:t>
      </w:r>
      <w:r w:rsidR="00CC7652">
        <w:fldChar w:fldCharType="end"/>
      </w:r>
      <w:r w:rsidR="00CC7652">
        <w:t>.</w:t>
      </w:r>
      <w:r w:rsidR="00CC7652">
        <w:fldChar w:fldCharType="begin"/>
      </w:r>
      <w:r w:rsidR="00CC7652">
        <w:instrText xml:space="preserve"> SEQ Figure \* ARABIC \s 1 </w:instrText>
      </w:r>
      <w:r w:rsidR="00CC7652">
        <w:fldChar w:fldCharType="separate"/>
      </w:r>
      <w:r w:rsidR="00ED1816">
        <w:rPr>
          <w:noProof/>
        </w:rPr>
        <w:t>5</w:t>
      </w:r>
      <w:r w:rsidR="00CC7652">
        <w:fldChar w:fldCharType="end"/>
      </w:r>
      <w:r w:rsidRPr="00E97FC1">
        <w:t xml:space="preserve"> Evolution of complex I.</w:t>
      </w:r>
      <w:bookmarkEnd w:id="37"/>
      <w:bookmarkEnd w:id="38"/>
      <w:bookmarkEnd w:id="39"/>
    </w:p>
    <w:p w14:paraId="09326D12" w14:textId="477FD053" w:rsidR="00FC7532" w:rsidRPr="00CF7C36" w:rsidRDefault="00FC7532" w:rsidP="00FC7532">
      <w:pPr>
        <w:pStyle w:val="Caption"/>
      </w:pPr>
      <w:r w:rsidRPr="00CF7C36">
        <w:t xml:space="preserve">a. Complex I is made of N, Q and P modules. NuoH (homologue of ND1) was added later and does not have a clear evolutionary history. b. Mrp antiporter and [NiFe] hydrogenase are the evolutionary precursors of the </w:t>
      </w:r>
      <w:r w:rsidR="009D4406" w:rsidRPr="00CF7C36">
        <w:t xml:space="preserve">P-module </w:t>
      </w:r>
      <w:r w:rsidRPr="00CF7C36">
        <w:t xml:space="preserve">and </w:t>
      </w:r>
      <w:r w:rsidR="009D4406" w:rsidRPr="00CF7C36">
        <w:t xml:space="preserve">N/Q-module </w:t>
      </w:r>
      <w:r w:rsidRPr="00CF7C36">
        <w:t xml:space="preserve">respectively. Figure </w:t>
      </w:r>
      <w:r w:rsidR="00D07557" w:rsidRPr="00CF7C36">
        <w:t>adapted from</w:t>
      </w:r>
      <w:r w:rsidRPr="00CF7C36">
        <w:t xml:space="preserve"> </w:t>
      </w:r>
      <w:r w:rsidRPr="00CF7C36">
        <w:fldChar w:fldCharType="begin" w:fldLock="1"/>
      </w:r>
      <w:r w:rsidR="00E55873" w:rsidRPr="00CF7C36">
        <w:instrText>ADDIN CSL_CITATION {"citationItems":[{"id":"ITEM-1","itemData":{"DOI":"10.1038/nrm3997","ISSN":"1471-0080 (Electronic)","PMID":"25991374","abstract":"The mitochondrial respiratory chain, also known as the electron transport chain (ETC), is crucial to life, and energy production in the form of ATP is the main mitochondrial function. Three proton-translocating enzymes of the ETC, namely complexes I, III and IV, generate proton motive force, which in turn drives ATP synthase (complex V). The atomic structures and basic mechanisms of most respiratory complexes have previously been established, with the exception of complex I, the largest complex in the ETC. Recently, the crystal structure of the entire complex I was solved using a bacterial enzyme. The structure provided novel insights into the core architecture of the complex, the electron transfer and proton translocation pathways, as well as the mechanism that couples these two processes.","author":[{"dropping-particle":"","family":"Sazanov","given":"Leonid A","non-dropping-particle":"","parse-names":false,"suffix":""}],"container-title":"Nature reviews. Molecular cell biology","id":"ITEM-1","issue":"6","issued":{"date-parts":[["2015","6"]]},"language":"eng","page":"375-388","publisher-place":"England","title":"A giant molecular proton pump: structure and mechanism of respiratory complex I.","type":"article-journal","volume":"16"},"uris":["http://www.mendeley.com/documents/?uuid=eb1c233c-5b99-49e9-9cae-a9faf55685b9"]}],"mendeley":{"formattedCitation":"(Sazanov, 2015)","plainTextFormattedCitation":"(Sazanov, 2015)","previouslyFormattedCitation":"(Sazanov, 2015)"},"properties":{"noteIndex":0},"schema":"https://github.com/citation-style-language/schema/raw/master/csl-citation.json"}</w:instrText>
      </w:r>
      <w:r w:rsidRPr="00CF7C36">
        <w:fldChar w:fldCharType="separate"/>
      </w:r>
      <w:r w:rsidR="00E55873" w:rsidRPr="00CF7C36">
        <w:rPr>
          <w:i w:val="0"/>
          <w:noProof/>
        </w:rPr>
        <w:t>(Sazanov, 2015)</w:t>
      </w:r>
      <w:r w:rsidRPr="00CF7C36">
        <w:fldChar w:fldCharType="end"/>
      </w:r>
    </w:p>
    <w:p w14:paraId="6E8EFCD7" w14:textId="77777777" w:rsidR="004751A7" w:rsidRPr="00E97FC1" w:rsidRDefault="001B4686" w:rsidP="00FC7532">
      <w:pPr>
        <w:ind w:firstLine="720"/>
        <w:rPr>
          <w:lang w:val="en-GB"/>
        </w:rPr>
      </w:pPr>
      <w:r w:rsidRPr="00E97FC1">
        <w:rPr>
          <w:lang w:val="en-GB"/>
        </w:rPr>
        <w:t>Peripheral arm (where NADH-Q oxido-reduction takes place) of complex I is originated from soluble [NiFe] hydrogenases, while proton translocating</w:t>
      </w:r>
      <w:r w:rsidR="00575BDB" w:rsidRPr="00E97FC1">
        <w:rPr>
          <w:lang w:val="en-GB"/>
        </w:rPr>
        <w:t xml:space="preserve"> </w:t>
      </w:r>
      <w:r w:rsidRPr="00E97FC1">
        <w:rPr>
          <w:lang w:val="en-GB"/>
        </w:rPr>
        <w:t>part</w:t>
      </w:r>
      <w:r w:rsidR="00575BDB" w:rsidRPr="00E97FC1">
        <w:rPr>
          <w:lang w:val="en-GB"/>
        </w:rPr>
        <w:t xml:space="preserve"> was provided by Mrp cation/H</w:t>
      </w:r>
      <w:r w:rsidR="00575BDB" w:rsidRPr="00E97FC1">
        <w:rPr>
          <w:vertAlign w:val="superscript"/>
          <w:lang w:val="en-GB"/>
        </w:rPr>
        <w:t>+</w:t>
      </w:r>
      <w:r w:rsidR="00575BDB" w:rsidRPr="00E97FC1">
        <w:rPr>
          <w:lang w:val="en-GB"/>
        </w:rPr>
        <w:t xml:space="preserve"> antiporters</w:t>
      </w:r>
      <w:r w:rsidRPr="00E97FC1">
        <w:rPr>
          <w:lang w:val="en-GB"/>
        </w:rPr>
        <w:t xml:space="preserve"> (</w:t>
      </w:r>
      <w:r w:rsidRPr="00CC7652">
        <w:rPr>
          <w:lang w:val="en-GB"/>
        </w:rPr>
        <w:t>Figure 1.5</w:t>
      </w:r>
      <w:r w:rsidRPr="00E97FC1">
        <w:rPr>
          <w:lang w:val="en-GB"/>
        </w:rPr>
        <w:t>)</w:t>
      </w:r>
      <w:r w:rsidR="00575BDB" w:rsidRPr="00E97FC1">
        <w:rPr>
          <w:lang w:val="en-GB"/>
        </w:rPr>
        <w:t>. The combination of soluble hydrogenase and antiporter was likely to have resulted in the emergence of several known types of membrane-bound hydrogenases, which later evolved into complex I. The figure</w:t>
      </w:r>
      <w:r w:rsidR="00DA08E8" w:rsidRPr="00E97FC1">
        <w:rPr>
          <w:lang w:val="en-GB"/>
        </w:rPr>
        <w:t xml:space="preserve"> above</w:t>
      </w:r>
      <w:r w:rsidR="00575BDB" w:rsidRPr="00E97FC1">
        <w:rPr>
          <w:lang w:val="en-GB"/>
        </w:rPr>
        <w:t xml:space="preserve"> shows the structure of the entire Thermus thermophilus comple</w:t>
      </w:r>
      <w:r w:rsidR="00DA08E8" w:rsidRPr="00E97FC1">
        <w:rPr>
          <w:lang w:val="en-GB"/>
        </w:rPr>
        <w:t>x I (PDB ID</w:t>
      </w:r>
      <w:r w:rsidR="00575BDB" w:rsidRPr="00E97FC1">
        <w:rPr>
          <w:lang w:val="en-GB"/>
        </w:rPr>
        <w:t xml:space="preserve"> 3M9S) and the evolutionary modules</w:t>
      </w:r>
      <w:r w:rsidR="00DA08E8" w:rsidRPr="00E97FC1">
        <w:rPr>
          <w:lang w:val="en-GB"/>
        </w:rPr>
        <w:t xml:space="preserve"> together with homology-based architectures of the NAD+-reducing [NiFe] hydrogenase and the Mrp antiporter</w:t>
      </w:r>
      <w:r w:rsidR="00575BDB" w:rsidRPr="00E97FC1">
        <w:rPr>
          <w:lang w:val="en-GB"/>
        </w:rPr>
        <w:t>.</w:t>
      </w:r>
    </w:p>
    <w:p w14:paraId="7E86B1DF" w14:textId="21594466" w:rsidR="00DA08E8" w:rsidRPr="00E97FC1" w:rsidRDefault="00F739C9" w:rsidP="00FC7532">
      <w:pPr>
        <w:ind w:firstLine="720"/>
        <w:rPr>
          <w:lang w:val="en-GB"/>
        </w:rPr>
      </w:pPr>
      <w:r w:rsidRPr="00E97FC1">
        <w:rPr>
          <w:lang w:val="en-GB"/>
        </w:rPr>
        <w:lastRenderedPageBreak/>
        <w:t xml:space="preserve">Interestingly, the assembly of complex I is also modular as involves combination of pre-assembled modules. </w:t>
      </w:r>
      <w:r w:rsidR="00DA08E8" w:rsidRPr="00E97FC1">
        <w:rPr>
          <w:lang w:val="en-GB"/>
        </w:rPr>
        <w:t>Since complex I includes many cofactors, its subunits have to be assembled together in a coordinated way for proper holoenzyme activity. However, there is not much know</w:t>
      </w:r>
      <w:r w:rsidR="005C02DD" w:rsidRPr="00E97FC1">
        <w:rPr>
          <w:lang w:val="en-GB"/>
        </w:rPr>
        <w:t>n</w:t>
      </w:r>
      <w:r w:rsidR="00DA08E8" w:rsidRPr="00E97FC1">
        <w:rPr>
          <w:lang w:val="en-GB"/>
        </w:rPr>
        <w:t xml:space="preserve"> regarding the assembly of the bacterial complex I comparing to </w:t>
      </w:r>
      <w:r w:rsidR="00FB6601" w:rsidRPr="00E97FC1">
        <w:rPr>
          <w:lang w:val="en-GB"/>
        </w:rPr>
        <w:t>the mitochondrial one which is larger</w:t>
      </w:r>
      <w:r w:rsidR="006D2CA8" w:rsidRPr="00E97FC1">
        <w:rPr>
          <w:lang w:val="en-GB"/>
        </w:rPr>
        <w:t xml:space="preserve"> </w:t>
      </w:r>
      <w:r w:rsidR="006D2CA8" w:rsidRPr="00E97FC1">
        <w:rPr>
          <w:lang w:val="en-GB"/>
        </w:rPr>
        <w:fldChar w:fldCharType="begin" w:fldLock="1"/>
      </w:r>
      <w:r w:rsidR="00776703" w:rsidRPr="00E97FC1">
        <w:rPr>
          <w:lang w:val="en-GB"/>
        </w:rPr>
        <w:instrText>ADDIN CSL_CITATION {"citationItems":[{"id":"ITEM-1","itemData":{"DOI":"https://doi.org/10.1016/j.bbabio.2015.12.004","ISSN":"0005-2728","abstract":"Energy-converting NADH:ubiquinone oxidoreductase, respiratory complex I, couples the electron transfer from NADH to ubiquinone with the translocation of four protons across the membrane. The Escherichia coli complex I is made up of 13 different subunits encoded by the so-called nuo-genes. The electron transfer is catalyzed by nine cofactors, a flavin mononucleotide and eight iron–sulfur (Fe/S)-clusters. The individual subunits and the cofactors have to be assembled together in a coordinated way to guarantee the biogenesis of the active holoenzyme. Only little is known about the assembly of the bacterial complex compared to the mitochondrial one. Due to the presence of so many Fe/S-clusters the assembly of complex I is intimately connected with the systems responsible for the biogenesis of these clusters. In addition, a few other proteins have been reported to be required for an effective assembly of the complex in other bacteria. The proposed role of known bacterial assembly factors is discussed and the information from other bacterial species is used in this review to draw an as complete as possible model of bacterial complex I assembly. In addition, the supramolecular organization of the complex in E. coli is briefly described. This article is part of a Special Issue entitled Organization and dynamics of bioenergetic systems in bacteria, edited by Prof. Conrad Mullineaux.","author":[{"dropping-particle":"","family":"Friedrich","given":"Thorsten","non-dropping-particle":"","parse-names":false,"suffix":""},{"dropping-particle":"","family":"Dekovic","given":"Doris Kreuzer","non-dropping-particle":"","parse-names":false,"suffix":""},{"dropping-particle":"","family":"Burschel","given":"Sabrina","non-dropping-particle":"","parse-names":false,"suffix":""}],"container-title":"Biochimica et Biophysica Acta (BBA) - Bioenergetics","id":"ITEM-1","issue":"3","issued":{"date-parts":[["2016"]]},"page":"214-223","title":"Assembly of the Escherichia coli NADH:ubiquinone oxidoreductase (respiratory complex I)","type":"article-journal","volume":"1857"},"uris":["http://www.mendeley.com/documents/?uuid=71fa1a7c-cbf2-4699-ab73-f3885c314bf1"]},{"id":"ITEM-2","itemData":{"DOI":"10.1016/j.cmet.2016.09.002","ISSN":"1932-7420 (Electronic)","PMID":"27720676","abstract":"Mitochondrial complex I is the largest integral membrane enzyme of the  respiratory chain and consists of 44 different subunits encoded in the mitochondrial and nuclear genome. Its biosynthesis is a highly complicated and multifaceted process involving at least 14 additional assembly factors. How these subunits assemble into a functional complex I and where the assembly factors come into play is largely unknown. Here, we applied a dynamic complexome profiling approach to elucidate the assembly of human mitochondrial complex I and its further incorporation into respiratory chain supercomplexes. We delineate the stepwise incorporation of all but one subunit into a series of distinct assembly intermediates and their association with known and putative assembly factors, which had not been implicated in this process before. The resulting detailed and comprehensive model of complex I assembly is fully consistent with recent structural data and the remarkable modular architecture of this multiprotein complex.","author":[{"dropping-particle":"","family":"Guerrero-Castillo","given":"Sergio","non-dropping-particle":"","parse-names":false,"suffix":""},{"dropping-particle":"","family":"Baertling","given":"Fabian","non-dropping-particle":"","parse-names":false,"suffix":""},{"dropping-particle":"","family":"Kownatzki","given":"Daniel","non-dropping-particle":"","parse-names":false,"suffix":""},{"dropping-particle":"","family":"Wessels","given":"Hans J","non-dropping-particle":"","parse-names":false,"suffix":""},{"dropping-particle":"","family":"Arnold","given":"Susanne","non-dropping-particle":"","parse-names":false,"suffix":""},{"dropping-particle":"","family":"Brandt","given":"Ulrich","non-dropping-particle":"","parse-names":false,"suffix":""},{"dropping-particle":"","family":"Nijtmans","given":"Leo","non-dropping-particle":"","parse-names":false,"suffix":""}],"container-title":"Cell metabolism","id":"ITEM-2","issue":"1","issued":{"date-parts":[["2017","1"]]},"language":"eng","page":"128-139","publisher-place":"United States","title":"The Assembly Pathway of Mitochondrial Respiratory Chain Complex I.","type":"article-journal","volume":"25"},"uris":["http://www.mendeley.com/documents/?uuid=566bb06a-6e7a-44fd-ad9b-a7df78b71465"]}],"mendeley":{"formattedCitation":"(Friedrich &lt;i&gt;et al&lt;/i&gt;, 2016; Guerrero-Castillo &lt;i&gt;et al&lt;/i&gt;, 2017)","plainTextFormattedCitation":"(Friedrich et al, 2016; Guerrero-Castillo et al, 2017)","previouslyFormattedCitation":"(Friedrich &lt;i&gt;et al&lt;/i&gt;, 2016; Guerrero-Castillo &lt;i&gt;et al&lt;/i&gt;, 2017)"},"properties":{"noteIndex":0},"schema":"https://github.com/citation-style-language/schema/raw/master/csl-citation.json"}</w:instrText>
      </w:r>
      <w:r w:rsidR="006D2CA8" w:rsidRPr="00E97FC1">
        <w:rPr>
          <w:lang w:val="en-GB"/>
        </w:rPr>
        <w:fldChar w:fldCharType="separate"/>
      </w:r>
      <w:r w:rsidR="00E55873" w:rsidRPr="00E97FC1">
        <w:rPr>
          <w:noProof/>
          <w:lang w:val="en-GB"/>
        </w:rPr>
        <w:t xml:space="preserve">(Friedrich </w:t>
      </w:r>
      <w:r w:rsidR="00E55873" w:rsidRPr="00E97FC1">
        <w:rPr>
          <w:i/>
          <w:noProof/>
          <w:lang w:val="en-GB"/>
        </w:rPr>
        <w:t>et al</w:t>
      </w:r>
      <w:r w:rsidR="00E55873" w:rsidRPr="00E97FC1">
        <w:rPr>
          <w:noProof/>
          <w:lang w:val="en-GB"/>
        </w:rPr>
        <w:t xml:space="preserve">, 2016; Guerrero-Castillo </w:t>
      </w:r>
      <w:r w:rsidR="00E55873" w:rsidRPr="00E97FC1">
        <w:rPr>
          <w:i/>
          <w:noProof/>
          <w:lang w:val="en-GB"/>
        </w:rPr>
        <w:t>et al</w:t>
      </w:r>
      <w:r w:rsidR="00E55873" w:rsidRPr="00E97FC1">
        <w:rPr>
          <w:noProof/>
          <w:lang w:val="en-GB"/>
        </w:rPr>
        <w:t>, 2017)</w:t>
      </w:r>
      <w:r w:rsidR="006D2CA8" w:rsidRPr="00E97FC1">
        <w:rPr>
          <w:lang w:val="en-GB"/>
        </w:rPr>
        <w:fldChar w:fldCharType="end"/>
      </w:r>
      <w:r w:rsidR="00FB6601" w:rsidRPr="00E97FC1">
        <w:rPr>
          <w:lang w:val="en-GB"/>
        </w:rPr>
        <w:t>.</w:t>
      </w:r>
      <w:r w:rsidRPr="00E97FC1">
        <w:rPr>
          <w:lang w:val="en-GB"/>
        </w:rPr>
        <w:t xml:space="preserve"> Tentative assembly scheme is shown o</w:t>
      </w:r>
      <w:r w:rsidR="00EA698B" w:rsidRPr="00E97FC1">
        <w:rPr>
          <w:lang w:val="en-GB"/>
        </w:rPr>
        <w:t xml:space="preserve">n </w:t>
      </w:r>
      <w:r w:rsidR="00EA698B" w:rsidRPr="00CC7652">
        <w:rPr>
          <w:lang w:val="en-GB"/>
        </w:rPr>
        <w:t>F</w:t>
      </w:r>
      <w:r w:rsidRPr="00CC7652">
        <w:rPr>
          <w:lang w:val="en-GB"/>
        </w:rPr>
        <w:t xml:space="preserve">igure </w:t>
      </w:r>
      <w:r w:rsidR="00EA698B" w:rsidRPr="00CC7652">
        <w:rPr>
          <w:lang w:val="en-GB"/>
        </w:rPr>
        <w:t>1.6</w:t>
      </w:r>
      <w:r w:rsidRPr="00CC7652">
        <w:rPr>
          <w:lang w:val="en-GB"/>
        </w:rPr>
        <w:t>.</w:t>
      </w:r>
      <w:r w:rsidRPr="00E97FC1">
        <w:rPr>
          <w:lang w:val="en-GB"/>
        </w:rPr>
        <w:t xml:space="preserve"> </w:t>
      </w:r>
    </w:p>
    <w:p w14:paraId="1062BC43" w14:textId="77777777" w:rsidR="006D2CA8" w:rsidRPr="00E97FC1" w:rsidRDefault="006D2CA8" w:rsidP="00FC7532">
      <w:pPr>
        <w:ind w:firstLine="720"/>
        <w:rPr>
          <w:b/>
          <w:lang w:val="en-GB"/>
        </w:rPr>
      </w:pPr>
    </w:p>
    <w:p w14:paraId="36DD20BF" w14:textId="77777777" w:rsidR="00566BC8" w:rsidRPr="00E97FC1" w:rsidRDefault="00566BC8" w:rsidP="00FC7532">
      <w:pPr>
        <w:ind w:firstLine="720"/>
        <w:rPr>
          <w:b/>
          <w:lang w:val="en-GB"/>
        </w:rPr>
      </w:pPr>
    </w:p>
    <w:p w14:paraId="5C3E0106" w14:textId="77777777" w:rsidR="00F739C9" w:rsidRPr="00E97FC1" w:rsidRDefault="007A2810" w:rsidP="00EA698B">
      <w:pPr>
        <w:pStyle w:val="Caption"/>
        <w:jc w:val="center"/>
      </w:pPr>
      <w:r>
        <w:rPr>
          <w:noProof/>
        </w:rPr>
        <w:pict w14:anchorId="5ADFCE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asssembly" style="width:337.5pt;height:138pt;mso-width-percent:0;mso-height-percent:0;mso-width-percent:0;mso-height-percent:0">
            <v:imagedata r:id="rId19" o:title="asssembly"/>
          </v:shape>
        </w:pict>
      </w:r>
    </w:p>
    <w:p w14:paraId="6CA492BA" w14:textId="4F4CD14C" w:rsidR="00EA698B" w:rsidRPr="00E97FC1" w:rsidRDefault="00F739C9" w:rsidP="00F739C9">
      <w:pPr>
        <w:pStyle w:val="Caption"/>
      </w:pPr>
      <w:bookmarkStart w:id="40" w:name="_Toc121834096"/>
      <w:bookmarkStart w:id="41" w:name="_Toc128136612"/>
      <w:r w:rsidRPr="00E97FC1">
        <w:t xml:space="preserve">Figure </w:t>
      </w:r>
      <w:r w:rsidR="00CC7652">
        <w:fldChar w:fldCharType="begin"/>
      </w:r>
      <w:r w:rsidR="00CC7652">
        <w:instrText xml:space="preserve"> STYLEREF 1 \s </w:instrText>
      </w:r>
      <w:r w:rsidR="00CC7652">
        <w:fldChar w:fldCharType="separate"/>
      </w:r>
      <w:r w:rsidR="00ED1816">
        <w:rPr>
          <w:noProof/>
        </w:rPr>
        <w:t>1</w:t>
      </w:r>
      <w:r w:rsidR="00CC7652">
        <w:fldChar w:fldCharType="end"/>
      </w:r>
      <w:r w:rsidR="00CC7652">
        <w:t>.</w:t>
      </w:r>
      <w:r w:rsidR="00CC7652">
        <w:fldChar w:fldCharType="begin"/>
      </w:r>
      <w:r w:rsidR="00CC7652">
        <w:instrText xml:space="preserve"> SEQ Figure \* ARABIC \s 1 </w:instrText>
      </w:r>
      <w:r w:rsidR="00CC7652">
        <w:fldChar w:fldCharType="separate"/>
      </w:r>
      <w:r w:rsidR="00ED1816">
        <w:rPr>
          <w:noProof/>
        </w:rPr>
        <w:t>6</w:t>
      </w:r>
      <w:r w:rsidR="00CC7652">
        <w:fldChar w:fldCharType="end"/>
      </w:r>
      <w:r w:rsidRPr="00E97FC1">
        <w:t xml:space="preserve"> Scheme of assembly pathway of bacterial complex I</w:t>
      </w:r>
      <w:bookmarkEnd w:id="40"/>
      <w:bookmarkEnd w:id="41"/>
      <w:r w:rsidR="00EA698B" w:rsidRPr="00E97FC1">
        <w:t xml:space="preserve"> </w:t>
      </w:r>
    </w:p>
    <w:p w14:paraId="009DD83E" w14:textId="65678854" w:rsidR="001F2442" w:rsidRPr="00CF7C36" w:rsidRDefault="00EA698B" w:rsidP="00F739C9">
      <w:pPr>
        <w:pStyle w:val="Caption"/>
      </w:pPr>
      <w:r w:rsidRPr="00CF7C36">
        <w:t xml:space="preserve">The ribosome (not scaled) is shown in blue; the mRNA is represented by the black line. Figure </w:t>
      </w:r>
      <w:r w:rsidR="00D07557" w:rsidRPr="00CF7C36">
        <w:t>adapted from</w:t>
      </w:r>
      <w:r w:rsidRPr="00CF7C36">
        <w:t xml:space="preserve"> </w:t>
      </w:r>
      <w:r w:rsidRPr="00CF7C36">
        <w:fldChar w:fldCharType="begin" w:fldLock="1"/>
      </w:r>
      <w:r w:rsidR="00776703" w:rsidRPr="00CF7C36">
        <w:instrText>ADDIN CSL_CITATION {"citationItems":[{"id":"ITEM-1","itemData":{"DOI":"https://doi.org/10.1016/j.bbabio.2015.12.004","ISSN":"0005-2728","abstract":"Energy-converting NADH:ubiquinone oxidoreductase, respiratory complex I, couples the electron transfer from NADH to ubiquinone with the translocation of four protons across the membrane. The Escherichia coli complex I is made up of 13 different subunits encoded by the so-called nuo-genes. The electron transfer is catalyzed by nine cofactors, a flavin mononucleotide and eight iron–sulfur (Fe/S)-clusters. The individual subunits and the cofactors have to be assembled together in a coordinated way to guarantee the biogenesis of the active holoenzyme. Only little is known about the assembly of the bacterial complex compared to the mitochondrial one. Due to the presence of so many Fe/S-clusters the assembly of complex I is intimately connected with the systems responsible for the biogenesis of these clusters. In addition, a few other proteins have been reported to be required for an effective assembly of the complex in other bacteria. The proposed role of known bacterial assembly factors is discussed and the information from other bacterial species is used in this review to draw an as complete as possible model of bacterial complex I assembly. In addition, the supramolecular organization of the complex in E. coli is briefly described. This article is part of a Special Issue entitled Organization and dynamics of bioenergetic systems in bacteria, edited by Prof. Conrad Mullineaux.","author":[{"dropping-particle":"","family":"Friedrich","given":"Thorsten","non-dropping-particle":"","parse-names":false,"suffix":""},{"dropping-particle":"","family":"Dekovic","given":"Doris Kreuzer","non-dropping-particle":"","parse-names":false,"suffix":""},{"dropping-particle":"","family":"Burschel","given":"Sabrina","non-dropping-particle":"","parse-names":false,"suffix":""}],"container-title":"Biochimica et Biophysica Acta (BBA) - Bioenergetics","id":"ITEM-1","issue":"3","issued":{"date-parts":[["2016"]]},"page":"214-223","title":"Assembly of the Escherichia coli NADH:ubiquinone oxidoreductase (respiratory complex I)","type":"article-journal","volume":"1857"},"uris":["http://www.mendeley.com/documents/?uuid=71fa1a7c-cbf2-4699-ab73-f3885c314bf1"]}],"mendeley":{"formattedCitation":"(Friedrich &lt;i&gt;et al&lt;/i&gt;, 2016)","plainTextFormattedCitation":"(Friedrich et al, 2016)","previouslyFormattedCitation":"(Friedrich &lt;i&gt;et al&lt;/i&gt;, 2016)"},"properties":{"noteIndex":0},"schema":"https://github.com/citation-style-language/schema/raw/master/csl-citation.json"}</w:instrText>
      </w:r>
      <w:r w:rsidRPr="00CF7C36">
        <w:fldChar w:fldCharType="separate"/>
      </w:r>
      <w:r w:rsidR="00E55873" w:rsidRPr="00CF7C36">
        <w:rPr>
          <w:i w:val="0"/>
          <w:noProof/>
        </w:rPr>
        <w:t xml:space="preserve">(Friedrich </w:t>
      </w:r>
      <w:r w:rsidR="00E55873" w:rsidRPr="00CF7C36">
        <w:rPr>
          <w:noProof/>
        </w:rPr>
        <w:t>et al</w:t>
      </w:r>
      <w:r w:rsidR="00E55873" w:rsidRPr="00CF7C36">
        <w:rPr>
          <w:i w:val="0"/>
          <w:noProof/>
        </w:rPr>
        <w:t>, 2016)</w:t>
      </w:r>
      <w:r w:rsidRPr="00CF7C36">
        <w:fldChar w:fldCharType="end"/>
      </w:r>
    </w:p>
    <w:p w14:paraId="427D80F0" w14:textId="77777777" w:rsidR="005300AE" w:rsidRPr="00E97FC1" w:rsidRDefault="00C017B5" w:rsidP="001F2442">
      <w:pPr>
        <w:pStyle w:val="Heading3"/>
      </w:pPr>
      <w:bookmarkStart w:id="42" w:name="_Toc132639983"/>
      <w:r w:rsidRPr="00E97FC1">
        <w:t>Complex I in different organism</w:t>
      </w:r>
      <w:r w:rsidR="002C73C3" w:rsidRPr="00E97FC1">
        <w:t>s</w:t>
      </w:r>
      <w:bookmarkEnd w:id="42"/>
    </w:p>
    <w:p w14:paraId="63C85CCA" w14:textId="77777777" w:rsidR="005F3C48" w:rsidRPr="00E97FC1" w:rsidRDefault="004F5156" w:rsidP="005F3C48">
      <w:pPr>
        <w:ind w:firstLine="720"/>
        <w:rPr>
          <w:lang w:val="en-GB"/>
        </w:rPr>
      </w:pPr>
      <w:r w:rsidRPr="00E97FC1">
        <w:rPr>
          <w:lang w:val="en-GB"/>
        </w:rPr>
        <w:t xml:space="preserve">Complex I has characteristic L shape in all domains of life, however, its mass differs in different organisms depending on presence and absence of supplementary subunits. </w:t>
      </w:r>
    </w:p>
    <w:p w14:paraId="189CA261" w14:textId="24B8622C" w:rsidR="005F3C48" w:rsidRPr="00E97FC1" w:rsidRDefault="00D231BC" w:rsidP="005F3C48">
      <w:pPr>
        <w:ind w:firstLine="720"/>
        <w:rPr>
          <w:lang w:val="en-GB"/>
        </w:rPr>
      </w:pPr>
      <w:r w:rsidRPr="00D231BC">
        <w:rPr>
          <w:noProof/>
        </w:rPr>
        <w:lastRenderedPageBreak/>
        <w:drawing>
          <wp:inline distT="0" distB="0" distL="0" distR="0" wp14:anchorId="34B95E3E" wp14:editId="6347C772">
            <wp:extent cx="4563508" cy="3657600"/>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563508" cy="3657600"/>
                    </a:xfrm>
                    <a:prstGeom prst="rect">
                      <a:avLst/>
                    </a:prstGeom>
                    <a:noFill/>
                    <a:ln>
                      <a:noFill/>
                    </a:ln>
                  </pic:spPr>
                </pic:pic>
              </a:graphicData>
            </a:graphic>
          </wp:inline>
        </w:drawing>
      </w:r>
    </w:p>
    <w:p w14:paraId="4C0E136B" w14:textId="24878FE1" w:rsidR="005F3C48" w:rsidRPr="00E97FC1" w:rsidRDefault="005F3C48" w:rsidP="005F3C48">
      <w:pPr>
        <w:pStyle w:val="Caption"/>
      </w:pPr>
      <w:bookmarkStart w:id="43" w:name="_Toc121834097"/>
      <w:bookmarkStart w:id="44" w:name="_Toc128136613"/>
      <w:r w:rsidRPr="00E97FC1">
        <w:t xml:space="preserve">Figure </w:t>
      </w:r>
      <w:r w:rsidR="00CC7652">
        <w:fldChar w:fldCharType="begin"/>
      </w:r>
      <w:r w:rsidR="00CC7652">
        <w:instrText xml:space="preserve"> STYLEREF 1 \s </w:instrText>
      </w:r>
      <w:r w:rsidR="00CC7652">
        <w:fldChar w:fldCharType="separate"/>
      </w:r>
      <w:r w:rsidR="00ED1816">
        <w:rPr>
          <w:noProof/>
        </w:rPr>
        <w:t>1</w:t>
      </w:r>
      <w:r w:rsidR="00CC7652">
        <w:fldChar w:fldCharType="end"/>
      </w:r>
      <w:r w:rsidR="00CC7652">
        <w:t>.</w:t>
      </w:r>
      <w:r w:rsidR="00CC7652">
        <w:fldChar w:fldCharType="begin"/>
      </w:r>
      <w:r w:rsidR="00CC7652">
        <w:instrText xml:space="preserve"> SEQ Figure \* ARABIC \s 1 </w:instrText>
      </w:r>
      <w:r w:rsidR="00CC7652">
        <w:fldChar w:fldCharType="separate"/>
      </w:r>
      <w:r w:rsidR="00ED1816">
        <w:rPr>
          <w:noProof/>
        </w:rPr>
        <w:t>7</w:t>
      </w:r>
      <w:r w:rsidR="00CC7652">
        <w:fldChar w:fldCharType="end"/>
      </w:r>
      <w:r w:rsidRPr="00E97FC1">
        <w:t xml:space="preserve"> Complex I </w:t>
      </w:r>
      <w:r w:rsidR="00133285" w:rsidRPr="00E97FC1">
        <w:t>subunits</w:t>
      </w:r>
      <w:r w:rsidRPr="00E97FC1">
        <w:t xml:space="preserve"> nomenclature in different organisms</w:t>
      </w:r>
      <w:bookmarkEnd w:id="43"/>
      <w:bookmarkEnd w:id="44"/>
    </w:p>
    <w:p w14:paraId="530BC1D8" w14:textId="055EFD5F" w:rsidR="001F2442" w:rsidRPr="00E97FC1" w:rsidRDefault="004F5156" w:rsidP="005F3C48">
      <w:pPr>
        <w:ind w:firstLine="720"/>
        <w:rPr>
          <w:lang w:val="en-GB"/>
        </w:rPr>
      </w:pPr>
      <w:r w:rsidRPr="00E97FC1">
        <w:rPr>
          <w:i/>
          <w:lang w:val="en-GB"/>
        </w:rPr>
        <w:t>E. coli</w:t>
      </w:r>
      <w:r w:rsidRPr="00E97FC1">
        <w:rPr>
          <w:lang w:val="en-GB"/>
        </w:rPr>
        <w:t xml:space="preserve"> complex I is the minimal complex I version which consists only from </w:t>
      </w:r>
      <w:r w:rsidR="00A9763C" w:rsidRPr="00E97FC1">
        <w:rPr>
          <w:lang w:val="en-GB"/>
        </w:rPr>
        <w:t>13 (NuoCD is fused) core subunits, with a total mass of around 550 kDa. In contrast, mammalian enzyme acquired additional 31 subunits and the yeast one additional 27 subunits, making their mass up around 1 MDa</w:t>
      </w:r>
      <w:r w:rsidR="002C73C3" w:rsidRPr="00E97FC1">
        <w:rPr>
          <w:lang w:val="en-GB"/>
        </w:rPr>
        <w:t xml:space="preserve"> (</w:t>
      </w:r>
      <w:r w:rsidR="002C73C3" w:rsidRPr="00CC7652">
        <w:rPr>
          <w:lang w:val="en-GB"/>
        </w:rPr>
        <w:t>Figure 1.7</w:t>
      </w:r>
      <w:r w:rsidR="002C73C3" w:rsidRPr="00E97FC1">
        <w:rPr>
          <w:lang w:val="en-GB"/>
        </w:rPr>
        <w:t>)</w:t>
      </w:r>
      <w:r w:rsidR="00A9763C" w:rsidRPr="00E97FC1">
        <w:rPr>
          <w:lang w:val="en-GB"/>
        </w:rPr>
        <w:t xml:space="preserve"> </w:t>
      </w:r>
      <w:r w:rsidR="00A9763C" w:rsidRPr="00E97FC1">
        <w:rPr>
          <w:lang w:val="en-GB"/>
        </w:rPr>
        <w:fldChar w:fldCharType="begin" w:fldLock="1"/>
      </w:r>
      <w:r w:rsidR="00E55873" w:rsidRPr="00E97FC1">
        <w:rPr>
          <w:lang w:val="en-GB"/>
        </w:rPr>
        <w:instrText>ADDIN CSL_CITATION {"citationItems":[{"id":"ITEM-1","itemData":{"DOI":"10.1016/j.sbi.2015.08.008","ISSN":"1879-033X (Electronic)","PMID":"26387075","abstract":"The 1MDa, 45-subunit proton-pumping NADH-ubiquinone oxidoreductase (complex I) is the largest complex of the mitochondrial electron transport chain. The molecular mechanism of complex I is central to the metabolism of cells, but has yet to be fully characterized. The last two years have seen steady progress towards this goal with the first atomic-resolution structure of the entire bacterial complex I, a 5A cryo-electron microscopy map of bovine mitochondrial complex I and a approximately 3.8A resolution X-ray crystallographic study of mitochondrial complex I from yeast Yarrowia lipotytica. In this review we will discuss what we have learned from these studies and what remains to be elucidated.","author":[{"dropping-particle":"","family":"Letts","given":"James A","non-dropping-particle":"","parse-names":false,"suffix":""},{"dropping-particle":"","family":"Sazanov","given":"Leonid A","non-dropping-particle":"","parse-names":false,"suffix":""}],"container-title":"Current opinion in structural biology","id":"ITEM-1","issued":{"date-parts":[["2015","8"]]},"language":"eng","page":"135-145","publisher-place":"England","title":"Gaining mass: the structure of respiratory complex I-from bacterial towards mitochondrial versions.","type":"article-journal","volume":"33"},"uris":["http://www.mendeley.com/documents/?uuid=d49cab01-5b84-427a-87c9-8a828e84bc92"]}],"mendeley":{"formattedCitation":"(Letts &amp; Sazanov, 2015)","plainTextFormattedCitation":"(Letts &amp; Sazanov, 2015)","previouslyFormattedCitation":"(Letts &amp; Sazanov, 2015)"},"properties":{"noteIndex":0},"schema":"https://github.com/citation-style-language/schema/raw/master/csl-citation.json"}</w:instrText>
      </w:r>
      <w:r w:rsidR="00A9763C" w:rsidRPr="00E97FC1">
        <w:rPr>
          <w:lang w:val="en-GB"/>
        </w:rPr>
        <w:fldChar w:fldCharType="separate"/>
      </w:r>
      <w:r w:rsidR="00E55873" w:rsidRPr="00E97FC1">
        <w:rPr>
          <w:noProof/>
          <w:lang w:val="en-GB"/>
        </w:rPr>
        <w:t>(Letts &amp; Sazanov, 2015)</w:t>
      </w:r>
      <w:r w:rsidR="00A9763C" w:rsidRPr="00E97FC1">
        <w:rPr>
          <w:lang w:val="en-GB"/>
        </w:rPr>
        <w:fldChar w:fldCharType="end"/>
      </w:r>
      <w:r w:rsidR="00A9763C" w:rsidRPr="00E97FC1">
        <w:rPr>
          <w:lang w:val="en-GB"/>
        </w:rPr>
        <w:t>.</w:t>
      </w:r>
      <w:r w:rsidR="005F3C48" w:rsidRPr="00E97FC1">
        <w:rPr>
          <w:lang w:val="en-GB"/>
        </w:rPr>
        <w:t xml:space="preserve"> </w:t>
      </w:r>
      <w:r w:rsidR="002F0E4C" w:rsidRPr="00E97FC1">
        <w:rPr>
          <w:lang w:val="en-GB"/>
        </w:rPr>
        <w:t xml:space="preserve">Although supplementary subunits do not play role in the catalytic reaction, they are important for the complex stability, assembly and functioning </w:t>
      </w:r>
      <w:r w:rsidR="002F0E4C" w:rsidRPr="00E97FC1">
        <w:rPr>
          <w:lang w:val="en-GB"/>
        </w:rPr>
        <w:fldChar w:fldCharType="begin" w:fldLock="1"/>
      </w:r>
      <w:r w:rsidR="00776703" w:rsidRPr="00E97FC1">
        <w:rPr>
          <w:lang w:val="en-GB"/>
        </w:rPr>
        <w:instrText>ADDIN CSL_CITATION {"citationItems":[{"id":"ITEM-1","itemData":{"DOI":"10.1038/nature19754","ISSN":"1476-4687 (Electronic)","PMID":"27626371","abstract":"Complex I (NADH:ubiquinone oxidoreductase) is the first enzyme of the  mitochondrial respiratory chain and is composed of 45 subunits in humans, making it one of the largest known multi-subunit membrane protein complexes. Complex I exists in supercomplex forms with respiratory chain complexes III and IV, which are together required for the generation of a transmembrane proton gradient used for the synthesis of ATP. Complex I is also a major source of damaging reactive oxygen species and its dysfunction is associated with mitochondrial disease, Parkinson's disease and ageing. Bacterial and human complex I share 14 core subunits that are essential for enzymatic function; however, the role and necessity of the remaining 31 human accessory subunits is unclear. The incorporation of accessory subunits into the complex increases the cellular energetic cost and has necessitated the involvement of numerous assembly factors for complex I biogenesis. Here we use gene editing to generate human knockout cell lines for each accessory subunit. We show that 25 subunits are strictly required for assembly of a functional complex and 1 subunit is essential for cell viability. Quantitative proteomic analysis of cell lines revealed that loss of each subunit affects the stability of other subunits residing in the same structural module. Analysis of proteomic changes after the loss of specific modules revealed that ATP5SL and DMAC1 are required for assembly of the distal portion of the complex I membrane arm. Our results demonstrate the broad importance of accessory subunits in the structure and function of human complex I. Coupling gene-editing technology with proteomics represents a powerful tool for dissecting large multi-subunit complexes and enables the study of complex dysfunction at a cellular level.","author":[{"dropping-particle":"","family":"Stroud","given":"David A","non-dropping-particle":"","parse-names":false,"suffix":""},{"dropping-particle":"","family":"Surgenor","given":"Elliot E","non-dropping-particle":"","parse-names":false,"suffix":""},{"dropping-particle":"","family":"Formosa","given":"Luke E","non-dropping-particle":"","parse-names":false,"suffix":""},{"dropping-particle":"","family":"Reljic","given":"Boris","non-dropping-particle":"","parse-names":false,"suffix":""},{"dropping-particle":"","family":"Frazier","given":"Ann E","non-dropping-particle":"","parse-names":false,"suffix":""},{"dropping-particle":"","family":"Dibley","given":"Marris G","non-dropping-particle":"","parse-names":false,"suffix":""},{"dropping-particle":"","family":"Osellame","given":"Laura D","non-dropping-particle":"","parse-names":false,"suffix":""},{"dropping-particle":"","family":"Stait","given":"Tegan","non-dropping-particle":"","parse-names":false,"suffix":""},{"dropping-particle":"","family":"Beilharz","given":"Traude H","non-dropping-particle":"","parse-names":false,"suffix":""},{"dropping-particle":"","family":"Thorburn","given":"David R","non-dropping-particle":"","parse-names":false,"suffix":""},{"dropping-particle":"","family":"Salim","given":"Agus","non-dropping-particle":"","parse-names":false,"suffix":""},{"dropping-particle":"","family":"Ryan","given":"Michael T","non-dropping-particle":"","parse-names":false,"suffix":""}],"container-title":"Nature","id":"ITEM-1","issue":"7623","issued":{"date-parts":[["2016","10"]]},"language":"eng","page":"123-126","publisher-place":"England","title":"Accessory subunits are integral for assembly and function of human mitochondrial  complex I.","type":"article-journal","volume":"538"},"uris":["http://www.mendeley.com/documents/?uuid=af1d7037-96b2-4a3a-baa4-3422cf3be46e"]}],"mendeley":{"formattedCitation":"(Stroud &lt;i&gt;et al&lt;/i&gt;, 2016)","plainTextFormattedCitation":"(Stroud et al, 2016)","previouslyFormattedCitation":"(Stroud &lt;i&gt;et al&lt;/i&gt;, 2016)"},"properties":{"noteIndex":0},"schema":"https://github.com/citation-style-language/schema/raw/master/csl-citation.json"}</w:instrText>
      </w:r>
      <w:r w:rsidR="002F0E4C" w:rsidRPr="00E97FC1">
        <w:rPr>
          <w:lang w:val="en-GB"/>
        </w:rPr>
        <w:fldChar w:fldCharType="separate"/>
      </w:r>
      <w:r w:rsidR="00E55873" w:rsidRPr="00E97FC1">
        <w:rPr>
          <w:noProof/>
          <w:lang w:val="en-GB"/>
        </w:rPr>
        <w:t xml:space="preserve">(Stroud </w:t>
      </w:r>
      <w:r w:rsidR="00E55873" w:rsidRPr="00E97FC1">
        <w:rPr>
          <w:i/>
          <w:noProof/>
          <w:lang w:val="en-GB"/>
        </w:rPr>
        <w:t>et al</w:t>
      </w:r>
      <w:r w:rsidR="00E55873" w:rsidRPr="00E97FC1">
        <w:rPr>
          <w:noProof/>
          <w:lang w:val="en-GB"/>
        </w:rPr>
        <w:t>, 2016)</w:t>
      </w:r>
      <w:r w:rsidR="002F0E4C" w:rsidRPr="00E97FC1">
        <w:rPr>
          <w:lang w:val="en-GB"/>
        </w:rPr>
        <w:fldChar w:fldCharType="end"/>
      </w:r>
      <w:r w:rsidR="002F0E4C" w:rsidRPr="00E97FC1">
        <w:rPr>
          <w:lang w:val="en-GB"/>
        </w:rPr>
        <w:t xml:space="preserve">. Moreover, mutations in complex I supplementary subunits lead to human diseases, signifying their importance </w:t>
      </w:r>
      <w:r w:rsidR="002F0E4C" w:rsidRPr="00E97FC1">
        <w:rPr>
          <w:lang w:val="en-GB"/>
        </w:rPr>
        <w:fldChar w:fldCharType="begin" w:fldLock="1"/>
      </w:r>
      <w:r w:rsidR="00E55873" w:rsidRPr="00E97FC1">
        <w:rPr>
          <w:lang w:val="en-GB"/>
        </w:rPr>
        <w:instrText>ADDIN CSL_CITATION {"citationItems":[{"id":"ITEM-1","itemData":{"DOI":"10.1016/j.tcb.2018.06.006","ISSN":"1879-3088 (Electronic)","PMID":"30055843","abstract":"Complex I has an essential role in ATP production by coupling electron transfer from NADH to quinone with translocation of protons across the inner mitochondrial membrane. Isolated complex I deficiency is a frequent cause of mitochondrial inherited diseases. Complex I has also been implicated in cancer, ageing, and neurodegenerative conditions. Until recently, the understanding of complex I deficiency on the molecular level was limited due to the lack of high-resolution structures of the enzyme. However, due to developments in single particle cryo-electron microscopy (cryo-EM), recent studies have reported nearly atomic resolution maps and models of mitochondrial complex I. These structures significantly add to our understanding of complex I mechanism and assembly. The disease-causing mutations are discussed here in their structural context.","author":[{"dropping-particle":"","family":"Fiedorczuk","given":"Karol","non-dropping-particle":"","parse-names":false,"suffix":""},{"dropping-particle":"","family":"Sazanov","given":"Leonid A","non-dropping-particle":"","parse-names":false,"suffix":""}],"container-title":"Trends in cell biology","id":"ITEM-1","issue":"10","issued":{"date-parts":[["2018","10"]]},"language":"eng","page":"835-867","publisher-place":"England","title":"Mammalian Mitochondrial Complex I Structure and Disease-Causing Mutations.","type":"article-journal","volume":"28"},"uris":["http://www.mendeley.com/documents/?uuid=bd032920-0ab4-4ab2-b0a5-0bae8493c415"]}],"mendeley":{"formattedCitation":"(Fiedorczuk &amp; Sazanov, 2018)","plainTextFormattedCitation":"(Fiedorczuk &amp; Sazanov, 2018)","previouslyFormattedCitation":"(Fiedorczuk &amp; Sazanov, 2018)"},"properties":{"noteIndex":0},"schema":"https://github.com/citation-style-language/schema/raw/master/csl-citation.json"}</w:instrText>
      </w:r>
      <w:r w:rsidR="002F0E4C" w:rsidRPr="00E97FC1">
        <w:rPr>
          <w:lang w:val="en-GB"/>
        </w:rPr>
        <w:fldChar w:fldCharType="separate"/>
      </w:r>
      <w:r w:rsidR="00E55873" w:rsidRPr="00E97FC1">
        <w:rPr>
          <w:noProof/>
          <w:lang w:val="en-GB"/>
        </w:rPr>
        <w:t>(Fiedorczuk &amp; Sazanov, 2018)</w:t>
      </w:r>
      <w:r w:rsidR="002F0E4C" w:rsidRPr="00E97FC1">
        <w:rPr>
          <w:lang w:val="en-GB"/>
        </w:rPr>
        <w:fldChar w:fldCharType="end"/>
      </w:r>
      <w:r w:rsidR="002F0E4C" w:rsidRPr="00E97FC1">
        <w:rPr>
          <w:lang w:val="en-GB"/>
        </w:rPr>
        <w:t xml:space="preserve">. </w:t>
      </w:r>
      <w:r w:rsidR="002C73C3" w:rsidRPr="00E97FC1">
        <w:rPr>
          <w:lang w:val="en-GB"/>
        </w:rPr>
        <w:t>Structural conservation of the core part of the complex suggest</w:t>
      </w:r>
      <w:r w:rsidR="00133285" w:rsidRPr="00E97FC1">
        <w:rPr>
          <w:lang w:val="en-GB"/>
        </w:rPr>
        <w:t>s</w:t>
      </w:r>
      <w:r w:rsidR="002C73C3" w:rsidRPr="00E97FC1">
        <w:rPr>
          <w:lang w:val="en-GB"/>
        </w:rPr>
        <w:t xml:space="preserve"> conservation of the coupling mechanism. </w:t>
      </w:r>
    </w:p>
    <w:p w14:paraId="05184A5F" w14:textId="77777777" w:rsidR="00566BC8" w:rsidRPr="00E97FC1" w:rsidRDefault="00566BC8" w:rsidP="00A9763C">
      <w:pPr>
        <w:ind w:firstLine="720"/>
        <w:rPr>
          <w:lang w:val="en-GB"/>
        </w:rPr>
      </w:pPr>
    </w:p>
    <w:p w14:paraId="0FE9DC42" w14:textId="4187AE4B" w:rsidR="00C017B5" w:rsidRPr="00E97FC1" w:rsidRDefault="00C017B5" w:rsidP="00C017B5">
      <w:pPr>
        <w:pStyle w:val="Heading3"/>
      </w:pPr>
      <w:bookmarkStart w:id="45" w:name="_Toc132639984"/>
      <w:r w:rsidRPr="00E97FC1">
        <w:t>Cyanobacterial NDH complex</w:t>
      </w:r>
      <w:bookmarkEnd w:id="45"/>
    </w:p>
    <w:p w14:paraId="19B376DE" w14:textId="77777777" w:rsidR="00B75B90" w:rsidRPr="00E97FC1" w:rsidRDefault="002546B8" w:rsidP="000E5E68">
      <w:pPr>
        <w:ind w:firstLine="720"/>
        <w:rPr>
          <w:lang w:val="en-GB"/>
        </w:rPr>
      </w:pPr>
      <w:r w:rsidRPr="00E97FC1">
        <w:rPr>
          <w:lang w:val="en-GB"/>
        </w:rPr>
        <w:t>Cyanobacterial NDH (cyanobacterial complex I) is a part of</w:t>
      </w:r>
      <w:r w:rsidR="000E5E68" w:rsidRPr="00E97FC1">
        <w:rPr>
          <w:lang w:val="en-GB"/>
        </w:rPr>
        <w:t xml:space="preserve"> broad</w:t>
      </w:r>
      <w:r w:rsidR="00414BDB" w:rsidRPr="00E97FC1">
        <w:rPr>
          <w:lang w:val="en-GB"/>
        </w:rPr>
        <w:t xml:space="preserve"> complex I superfamily</w:t>
      </w:r>
      <w:r w:rsidR="000E5E68" w:rsidRPr="00E97FC1">
        <w:rPr>
          <w:lang w:val="en-GB"/>
        </w:rPr>
        <w:t>.</w:t>
      </w:r>
      <w:r w:rsidR="00C21F58" w:rsidRPr="00E97FC1">
        <w:rPr>
          <w:lang w:val="en-GB"/>
        </w:rPr>
        <w:t xml:space="preserve"> </w:t>
      </w:r>
      <w:r w:rsidR="000E5E68" w:rsidRPr="00E97FC1">
        <w:rPr>
          <w:lang w:val="en-GB"/>
        </w:rPr>
        <w:t>It plays an important role in cyclic electron transfer</w:t>
      </w:r>
      <w:r w:rsidR="00ED35B5" w:rsidRPr="00E97FC1">
        <w:rPr>
          <w:lang w:val="en-GB"/>
        </w:rPr>
        <w:t xml:space="preserve"> (CET)</w:t>
      </w:r>
      <w:r w:rsidR="00C21F58" w:rsidRPr="00E97FC1">
        <w:rPr>
          <w:lang w:val="en-GB"/>
        </w:rPr>
        <w:t>, during which electrons are cycled within PSI through ferredoxin and plastoquinone to generate proton gradient without NADPH production. Balance between NADPH and ATP is essential</w:t>
      </w:r>
      <w:r w:rsidR="000F0F61" w:rsidRPr="00E97FC1">
        <w:rPr>
          <w:lang w:val="en-GB"/>
        </w:rPr>
        <w:t xml:space="preserve"> for the Calvin-Besnon cycle</w:t>
      </w:r>
      <w:r w:rsidR="00C21F58" w:rsidRPr="00E97FC1">
        <w:rPr>
          <w:lang w:val="en-GB"/>
        </w:rPr>
        <w:t xml:space="preserve"> and varies under physiological conditions</w:t>
      </w:r>
      <w:r w:rsidR="000F0F61" w:rsidRPr="00E97FC1">
        <w:rPr>
          <w:lang w:val="en-GB"/>
        </w:rPr>
        <w:t xml:space="preserve"> </w:t>
      </w:r>
      <w:r w:rsidR="000F0F61" w:rsidRPr="00E97FC1">
        <w:rPr>
          <w:lang w:val="en-GB"/>
        </w:rPr>
        <w:fldChar w:fldCharType="begin" w:fldLock="1"/>
      </w:r>
      <w:r w:rsidR="00E55873" w:rsidRPr="00E97FC1">
        <w:rPr>
          <w:lang w:val="en-GB"/>
        </w:rPr>
        <w:instrText>ADDIN CSL_CITATION {"citationItems":[{"id":"ITEM-1","itemData":{"DOI":"10.1104/pp.110.166652","ISSN":"1532-2548 (Electronic)","PMID":"21078862","author":[{"dropping-particle":"","family":"Kramer","given":"David M","non-dropping-particle":"","parse-names":false,"suffix":""},{"dropping-particle":"","family":"Evans","given":"John R","non-dropping-particle":"","parse-names":false,"suffix":""}],"container-title":"Plant physiology","id":"ITEM-1","issue":"1","issued":{"date-parts":[["2011","1"]]},"language":"eng","page":"70-78","title":"The importance of energy balance in improving photosynthetic productivity.","type":"article-journal","volume":"155"},"uris":["http://www.mendeley.com/documents/?uuid=56aa5198-6d8a-4ac7-bd92-ec83f247314c"]}],"mendeley":{"formattedCitation":"(Kramer &amp; Evans, 2011)","plainTextFormattedCitation":"(Kramer &amp; Evans, 2011)","previouslyFormattedCitation":"(Kramer &amp; Evans, 2011)"},"properties":{"noteIndex":0},"schema":"https://github.com/citation-style-language/schema/raw/master/csl-citation.json"}</w:instrText>
      </w:r>
      <w:r w:rsidR="000F0F61" w:rsidRPr="00E97FC1">
        <w:rPr>
          <w:lang w:val="en-GB"/>
        </w:rPr>
        <w:fldChar w:fldCharType="separate"/>
      </w:r>
      <w:r w:rsidR="00E55873" w:rsidRPr="00E97FC1">
        <w:rPr>
          <w:noProof/>
          <w:lang w:val="en-GB"/>
        </w:rPr>
        <w:t>(Kramer &amp; Evans, 2011)</w:t>
      </w:r>
      <w:r w:rsidR="000F0F61" w:rsidRPr="00E97FC1">
        <w:rPr>
          <w:lang w:val="en-GB"/>
        </w:rPr>
        <w:fldChar w:fldCharType="end"/>
      </w:r>
      <w:r w:rsidR="00C21F58" w:rsidRPr="00E97FC1">
        <w:rPr>
          <w:lang w:val="en-GB"/>
        </w:rPr>
        <w:t>.</w:t>
      </w:r>
      <w:r w:rsidR="00CC3F88" w:rsidRPr="00E97FC1">
        <w:rPr>
          <w:lang w:val="en-GB"/>
        </w:rPr>
        <w:t xml:space="preserve"> </w:t>
      </w:r>
    </w:p>
    <w:p w14:paraId="14E3E08B" w14:textId="77777777" w:rsidR="00B75B90" w:rsidRPr="00E97FC1" w:rsidRDefault="00B75B90" w:rsidP="00B75B90">
      <w:pPr>
        <w:rPr>
          <w:lang w:val="en-GB"/>
        </w:rPr>
      </w:pPr>
    </w:p>
    <w:p w14:paraId="0529E953" w14:textId="77777777" w:rsidR="00B75B90" w:rsidRPr="00E97FC1" w:rsidRDefault="00B75B90" w:rsidP="00B75B90">
      <w:pPr>
        <w:jc w:val="center"/>
        <w:rPr>
          <w:lang w:val="en-GB"/>
        </w:rPr>
      </w:pPr>
      <w:r w:rsidRPr="00E97FC1">
        <w:rPr>
          <w:noProof/>
        </w:rPr>
        <w:lastRenderedPageBreak/>
        <w:drawing>
          <wp:inline distT="0" distB="0" distL="0" distR="0" wp14:anchorId="3803ED2F" wp14:editId="09AF0569">
            <wp:extent cx="3022113" cy="4142630"/>
            <wp:effectExtent l="0" t="0" r="6985" b="0"/>
            <wp:docPr id="10" name="Picture 10" descr="C:\Users\vkravchu\Desktop\PhD thesis\Figs\Related cx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kravchu\Desktop\PhD thesis\Figs\Related cxi.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38076" cy="4164512"/>
                    </a:xfrm>
                    <a:prstGeom prst="rect">
                      <a:avLst/>
                    </a:prstGeom>
                    <a:noFill/>
                    <a:ln>
                      <a:noFill/>
                    </a:ln>
                  </pic:spPr>
                </pic:pic>
              </a:graphicData>
            </a:graphic>
          </wp:inline>
        </w:drawing>
      </w:r>
    </w:p>
    <w:p w14:paraId="33E8CACD" w14:textId="72BC9468" w:rsidR="000E2FB5" w:rsidRPr="00E97FC1" w:rsidRDefault="00B75B90" w:rsidP="00B75B90">
      <w:pPr>
        <w:pStyle w:val="Caption"/>
      </w:pPr>
      <w:bookmarkStart w:id="46" w:name="_Toc121834098"/>
      <w:bookmarkStart w:id="47" w:name="_Toc128136614"/>
      <w:bookmarkStart w:id="48" w:name="_Toc117077784"/>
      <w:r w:rsidRPr="00E97FC1">
        <w:t xml:space="preserve">Figure </w:t>
      </w:r>
      <w:r w:rsidR="00CC7652">
        <w:fldChar w:fldCharType="begin"/>
      </w:r>
      <w:r w:rsidR="00CC7652">
        <w:instrText xml:space="preserve"> STYLEREF 1 \s </w:instrText>
      </w:r>
      <w:r w:rsidR="00CC7652">
        <w:fldChar w:fldCharType="separate"/>
      </w:r>
      <w:r w:rsidR="00ED1816">
        <w:rPr>
          <w:noProof/>
        </w:rPr>
        <w:t>1</w:t>
      </w:r>
      <w:r w:rsidR="00CC7652">
        <w:fldChar w:fldCharType="end"/>
      </w:r>
      <w:r w:rsidR="00CC7652">
        <w:t>.</w:t>
      </w:r>
      <w:r w:rsidR="00CC7652">
        <w:fldChar w:fldCharType="begin"/>
      </w:r>
      <w:r w:rsidR="00CC7652">
        <w:instrText xml:space="preserve"> SEQ Figure \* ARABIC \s 1 </w:instrText>
      </w:r>
      <w:r w:rsidR="00CC7652">
        <w:fldChar w:fldCharType="separate"/>
      </w:r>
      <w:r w:rsidR="00ED1816">
        <w:rPr>
          <w:noProof/>
        </w:rPr>
        <w:t>8</w:t>
      </w:r>
      <w:r w:rsidR="00CC7652">
        <w:fldChar w:fldCharType="end"/>
      </w:r>
      <w:r w:rsidR="000E2FB5" w:rsidRPr="00E97FC1">
        <w:t xml:space="preserve"> Conserved structural elements in complex I family proteins</w:t>
      </w:r>
      <w:bookmarkEnd w:id="46"/>
      <w:bookmarkEnd w:id="47"/>
      <w:r w:rsidRPr="00E97FC1">
        <w:t xml:space="preserve"> </w:t>
      </w:r>
    </w:p>
    <w:p w14:paraId="04B8F66A" w14:textId="34127ADC" w:rsidR="00B75B90" w:rsidRPr="00CF7C36" w:rsidRDefault="000E2FB5" w:rsidP="000E2FB5">
      <w:pPr>
        <w:pStyle w:val="Caption"/>
      </w:pPr>
      <w:r w:rsidRPr="00CF7C36">
        <w:t>Structures and schematic representations of (a) MBH complex from P. furiosus (PDB ID: 6CFW, EMD-7468) (b) NDH complex from T. elongat</w:t>
      </w:r>
      <w:r w:rsidR="00133285" w:rsidRPr="00CF7C36">
        <w:t>u</w:t>
      </w:r>
      <w:r w:rsidRPr="00CF7C36">
        <w:t xml:space="preserve">s (PDB ID: 6HUM, EMD-0281) (c) bacterial complex I from T. thermophilus (PDB ID: 4HEA) and (d) mitochondrial complex I from mouse (PDB ID: 6G2J, EMD-4345); subunits are coloured by homology (note that MbhI is related to ND3 and ND5). Accessory subunits are shown in gray. Conserved loops and structural elements are shown. </w:t>
      </w:r>
      <w:r w:rsidR="00B75B90" w:rsidRPr="00CF7C36">
        <w:t>Figure ad</w:t>
      </w:r>
      <w:r w:rsidR="00D07557" w:rsidRPr="00CF7C36">
        <w:t>a</w:t>
      </w:r>
      <w:r w:rsidR="00B75B90" w:rsidRPr="00CF7C36">
        <w:t xml:space="preserve">pted from </w:t>
      </w:r>
      <w:r w:rsidR="00B75B90" w:rsidRPr="00CF7C36">
        <w:fldChar w:fldCharType="begin" w:fldLock="1"/>
      </w:r>
      <w:r w:rsidR="00776703" w:rsidRPr="00CF7C36">
        <w:instrText>ADDIN CSL_CITATION {"citationItems":[{"id":"ITEM-1","itemData":{"DOI":"https://doi.org/10.1016/j.sbi.2020.01.004","ISSN":"0959-440X","abstract":"Respiratory complex I is an intricate multi-subunit membrane protein with a central function in aerobic energy metabolism. During the last years, structures of mitochondrial complex I and respiratory supercomplexes were determined by cryo-EM at increasing resolution. Structural and computational studies have shed light on the dynamics of proton translocation pathways, the interaction of complex I with lipids and the unusual access pathway of ubiquinone to the active site. Recent advances in understanding complex I function include characterization of specific conformational changes that are critical for proton pumping. Cryo-EM structures of the NADH dehydrogenase-like (NDH) complex of photosynthesis and a bacterial membrane bound hydrogenase (MBH) have provided a broader perspective on the complex I superfamily.","author":[{"dropping-particle":"","family":"Parey","given":"Kristian","non-dropping-particle":"","parse-names":false,"suffix":""},{"dropping-particle":"","family":"Wirth","given":"Christophe","non-dropping-particle":"","parse-names":false,"suffix":""},{"dropping-particle":"","family":"Vonck","given":"Janet","non-dropping-particle":"","parse-names":false,"suffix":""},{"dropping-particle":"","family":"Zickermann","given":"Volker","non-dropping-particle":"","parse-names":false,"suffix":""}],"container-title":"Current Opinion in Structural Biology","id":"ITEM-1","issued":{"date-parts":[["2020"]]},"page":"1-9","title":"Respiratory complex I — structure, mechanism and evolution","type":"article-journal","volume":"63"},"uris":["http://www.mendeley.com/documents/?uuid=045854fc-17d7-44b1-8eaf-20b54ede1add"]}],"mendeley":{"formattedCitation":"(Parey &lt;i&gt;et al&lt;/i&gt;, 2020)","plainTextFormattedCitation":"(Parey et al, 2020)","previouslyFormattedCitation":"(Parey &lt;i&gt;et al&lt;/i&gt;, 2020)"},"properties":{"noteIndex":0},"schema":"https://github.com/citation-style-language/schema/raw/master/csl-citation.json"}</w:instrText>
      </w:r>
      <w:r w:rsidR="00B75B90" w:rsidRPr="00CF7C36">
        <w:fldChar w:fldCharType="separate"/>
      </w:r>
      <w:bookmarkEnd w:id="48"/>
      <w:r w:rsidR="00E55873" w:rsidRPr="00CF7C36">
        <w:rPr>
          <w:i w:val="0"/>
          <w:noProof/>
        </w:rPr>
        <w:t xml:space="preserve">(Parey </w:t>
      </w:r>
      <w:r w:rsidR="00E55873" w:rsidRPr="00CF7C36">
        <w:rPr>
          <w:noProof/>
        </w:rPr>
        <w:t>et al</w:t>
      </w:r>
      <w:r w:rsidR="00E55873" w:rsidRPr="00CF7C36">
        <w:rPr>
          <w:i w:val="0"/>
          <w:noProof/>
        </w:rPr>
        <w:t>, 2020)</w:t>
      </w:r>
      <w:r w:rsidR="00B75B90" w:rsidRPr="00CF7C36">
        <w:fldChar w:fldCharType="end"/>
      </w:r>
    </w:p>
    <w:p w14:paraId="46D1EF1D" w14:textId="77777777" w:rsidR="000E2FB5" w:rsidRPr="00E97FC1" w:rsidRDefault="000E2FB5" w:rsidP="000E2FB5">
      <w:pPr>
        <w:rPr>
          <w:lang w:val="en-GB"/>
        </w:rPr>
      </w:pPr>
    </w:p>
    <w:p w14:paraId="7ECF049F" w14:textId="32F44509" w:rsidR="00B75B90" w:rsidRPr="00E97FC1" w:rsidRDefault="00414BDB" w:rsidP="00414BDB">
      <w:pPr>
        <w:ind w:firstLine="720"/>
        <w:rPr>
          <w:lang w:val="en-GB"/>
        </w:rPr>
      </w:pPr>
      <w:r w:rsidRPr="00E97FC1">
        <w:rPr>
          <w:lang w:val="en-GB"/>
        </w:rPr>
        <w:t>NDH has missing NADH-oxidizing N-module, however, the rest of the structure (11 subunits) is conserved (</w:t>
      </w:r>
      <w:r w:rsidR="00CC7652">
        <w:rPr>
          <w:lang w:val="en-GB"/>
        </w:rPr>
        <w:t>Figure 1.</w:t>
      </w:r>
      <w:r w:rsidR="000F12F2">
        <w:rPr>
          <w:lang w:val="en-GB"/>
        </w:rPr>
        <w:t>8</w:t>
      </w:r>
      <w:r w:rsidRPr="00E97FC1">
        <w:rPr>
          <w:lang w:val="en-GB"/>
        </w:rPr>
        <w:t>). In addition, cyanobacterial NDH</w:t>
      </w:r>
      <w:r w:rsidR="005A1615" w:rsidRPr="00E97FC1">
        <w:rPr>
          <w:lang w:val="en-GB"/>
        </w:rPr>
        <w:t xml:space="preserve"> contains</w:t>
      </w:r>
      <w:r w:rsidRPr="00E97FC1">
        <w:rPr>
          <w:lang w:val="en-GB"/>
        </w:rPr>
        <w:t xml:space="preserve"> additional specific subunits, namely NdhL, NdhM, NdhN, NdhO, NdhP, NdhQ, NdhS, and NdhV </w:t>
      </w:r>
      <w:r w:rsidRPr="00E97FC1">
        <w:rPr>
          <w:lang w:val="en-GB"/>
        </w:rPr>
        <w:fldChar w:fldCharType="begin" w:fldLock="1"/>
      </w:r>
      <w:r w:rsidR="00776703" w:rsidRPr="00E97FC1">
        <w:rPr>
          <w:lang w:val="en-GB"/>
        </w:rPr>
        <w:instrText>ADDIN CSL_CITATION {"citationItems":[{"id":"ITEM-1","itemData":{"DOI":"10.1038/s41467-020-14456-0","ISSN":"2041-1723 (Electronic)","PMID":"32001694","abstract":"NAD(P)H dehydrogenase-like (NDH) complex NDH-1L of cyanobacteria plays a crucial  role in cyclic electron flow (CEF) around photosystem I and respiration processes. NDH-1L couples the electron transport from ferredoxin (Fd) to plastoquinone (PQ) and proton pumping from cytoplasm to the lumen that drives the ATP production. NDH-1L-dependent CEF increases the ATP/NADPH ratio, and is therefore pivotal for oxygenic phototrophs to function under stress. Here we report two structures of NDH-1L from Thermosynechococcus elongatus BP-1, in complex with one Fd and an endogenous PQ, respectively. Our structures represent the complete model of cyanobacterial NDH-1L, revealing the binding manner of NDH-1L with Fd and PQ, as well as the structural elements crucial for proper functioning of the NDH-1L complex. Together, our data provides deep insights into the electron transport from Fd to PQ, and its coupling with proton translocation in NDH-1L.","author":[{"dropping-particle":"","family":"Pan","given":"Xiaowei","non-dropping-particle":"","parse-names":false,"suffix":""},{"dropping-particle":"","family":"Cao","given":"Duanfang","non-dropping-particle":"","parse-names":false,"suffix":""},{"dropping-particle":"","family":"Xie","given":"Fen","non-dropping-particle":"","parse-names":false,"suffix":""},{"dropping-particle":"","family":"Xu","given":"Fang","non-dropping-particle":"","parse-names":false,"suffix":""},{"dropping-particle":"","family":"Su","given":"Xiaodong","non-dropping-particle":"","parse-names":false,"suffix":""},{"dropping-particle":"","family":"Mi","given":"Hualing","non-dropping-particle":"","parse-names":false,"suffix":""},{"dropping-particle":"","family":"Zhang","given":"Xinzheng","non-dropping-particle":"","parse-names":false,"suffix":""},{"dropping-particle":"","family":"Li","given":"Mei","non-dropping-particle":"","parse-names":false,"suffix":""}],"container-title":"Nature communications","id":"ITEM-1","issue":"1","issued":{"date-parts":[["2020","1"]]},"language":"eng","page":"610","title":"Structural basis for electron transport mechanism of complex I-like  photosynthetic NAD(P)H dehydrogenase.","type":"article-journal","volume":"11"},"uris":["http://www.mendeley.com/documents/?uuid=33e06fc5-9e3f-46f4-bffd-535aff5becc5"]}],"mendeley":{"formattedCitation":"(Pan &lt;i&gt;et al&lt;/i&gt;, 2020)","plainTextFormattedCitation":"(Pan et al, 2020)","previouslyFormattedCitation":"(Pan &lt;i&gt;et al&lt;/i&gt;, 2020)"},"properties":{"noteIndex":0},"schema":"https://github.com/citation-style-language/schema/raw/master/csl-citation.json"}</w:instrText>
      </w:r>
      <w:r w:rsidRPr="00E97FC1">
        <w:rPr>
          <w:lang w:val="en-GB"/>
        </w:rPr>
        <w:fldChar w:fldCharType="separate"/>
      </w:r>
      <w:r w:rsidR="00E55873" w:rsidRPr="00E97FC1">
        <w:rPr>
          <w:noProof/>
          <w:lang w:val="en-GB"/>
        </w:rPr>
        <w:t xml:space="preserve">(Pan </w:t>
      </w:r>
      <w:r w:rsidR="00E55873" w:rsidRPr="00E97FC1">
        <w:rPr>
          <w:i/>
          <w:noProof/>
          <w:lang w:val="en-GB"/>
        </w:rPr>
        <w:t>et al</w:t>
      </w:r>
      <w:r w:rsidR="00E55873" w:rsidRPr="00E97FC1">
        <w:rPr>
          <w:noProof/>
          <w:lang w:val="en-GB"/>
        </w:rPr>
        <w:t>, 2020)</w:t>
      </w:r>
      <w:r w:rsidRPr="00E97FC1">
        <w:rPr>
          <w:lang w:val="en-GB"/>
        </w:rPr>
        <w:fldChar w:fldCharType="end"/>
      </w:r>
      <w:r w:rsidRPr="00E97FC1">
        <w:rPr>
          <w:lang w:val="en-GB"/>
        </w:rPr>
        <w:t>. It</w:t>
      </w:r>
      <w:r w:rsidR="00FF5900" w:rsidRPr="00E97FC1">
        <w:rPr>
          <w:lang w:val="en-GB"/>
        </w:rPr>
        <w:t xml:space="preserve"> binds ferredoxin</w:t>
      </w:r>
      <w:r w:rsidRPr="00E97FC1">
        <w:rPr>
          <w:lang w:val="en-GB"/>
        </w:rPr>
        <w:t xml:space="preserve"> (near subunits Ndh</w:t>
      </w:r>
      <w:r w:rsidR="005A1615" w:rsidRPr="00E97FC1">
        <w:rPr>
          <w:lang w:val="en-GB"/>
        </w:rPr>
        <w:t>V</w:t>
      </w:r>
      <w:r w:rsidRPr="00E97FC1">
        <w:rPr>
          <w:lang w:val="en-GB"/>
        </w:rPr>
        <w:t xml:space="preserve"> and NdhS)</w:t>
      </w:r>
      <w:r w:rsidR="00FF5900" w:rsidRPr="00E97FC1">
        <w:rPr>
          <w:lang w:val="en-GB"/>
        </w:rPr>
        <w:t xml:space="preserve"> as electron donor to reduce plastoquinone </w:t>
      </w:r>
      <w:r w:rsidR="00FF5900" w:rsidRPr="00E97FC1">
        <w:rPr>
          <w:lang w:val="en-GB"/>
        </w:rPr>
        <w:fldChar w:fldCharType="begin" w:fldLock="1"/>
      </w:r>
      <w:r w:rsidR="00776703" w:rsidRPr="00E97FC1">
        <w:rPr>
          <w:lang w:val="en-GB"/>
        </w:rPr>
        <w:instrText>ADDIN CSL_CITATION {"citationItems":[{"id":"ITEM-1","itemData":{"DOI":"10.1007/s11120-015-0090-4","ISSN":"1573-5079 (Electronic)","PMID":"25630976","abstract":"The large size complex of cyanobacterial NAD(P)H dehydrogenase (NDH-1) complex  (NDH-1L) plays crucial role in a variety of bioenergetic reactions such as respiration and cyclic electron flow around photosystem I. Although the complex has been isolated and identified, its biochemical function still remains to be clarified. Here, we highly purified the NDH-1L complex from the cells of Thermosynechococcus elongatus by Ni(2+) affinity chromatography and size-exclusion chromatography. The purified NDH-1L complex has an apparent total molecular mass of approximately 500 kDa. 14 known subunits were identified by mass spectrometry and immunoblotting, including the NdhS subunit containing ferredoxin (Fd)-docking site domain. Surface plasmon resonance measurement demonstrates that the NDH-1L complex could bind to Fd with the binding constant (K D) of 59 µM. Yeast two-hybrid system assay further confirmed the interaction of Fd with NdhS and indicated that NdhH is involved in the interaction. Our results provide direct biochemical evidence that the cyanobacterial NDH-1 complex catalyzes the electron transport from reduced Fd to plastoquinone via NdhS and NdhH.","author":[{"dropping-particle":"","family":"He","given":"Zhihui","non-dropping-particle":"","parse-names":false,"suffix":""},{"dropping-particle":"","family":"Zheng","given":"Fangfang","non-dropping-particle":"","parse-names":false,"suffix":""},{"dropping-particle":"","family":"Wu","given":"Yaozong","non-dropping-particle":"","parse-names":false,"suffix":""},{"dropping-particle":"","family":"Li","given":"Qinghua","non-dropping-particle":"","parse-names":false,"suffix":""},{"dropping-particle":"","family":"Lv","given":"Jing","non-dropping-particle":"","parse-names":false,"suffix":""},{"dropping-particle":"","family":"Fu","given":"Pengcheng","non-dropping-particle":"","parse-names":false,"suffix":""},{"dropping-particle":"","family":"Mi","given":"Hualing","non-dropping-particle":"","parse-names":false,"suffix":""}],"container-title":"Photosynthesis research","id":"ITEM-1","issue":"2-3","issued":{"date-parts":[["2015","12"]]},"language":"eng","page":"341-349","publisher-place":"Netherlands","title":"NDH-1L interacts with ferredoxin via the subunit NdhS in Thermosynechococcus  elongatus.","type":"article-journal","volume":"126"},"uris":["http://www.mendeley.com/documents/?uuid=1e92fb62-4cbc-4184-9d43-ceacda0cf830"]}],"mendeley":{"formattedCitation":"(He &lt;i&gt;et al&lt;/i&gt;, 2015)","plainTextFormattedCitation":"(He et al, 2015)","previouslyFormattedCitation":"(He &lt;i&gt;et al&lt;/i&gt;, 2015)"},"properties":{"noteIndex":0},"schema":"https://github.com/citation-style-language/schema/raw/master/csl-citation.json"}</w:instrText>
      </w:r>
      <w:r w:rsidR="00FF5900" w:rsidRPr="00E97FC1">
        <w:rPr>
          <w:lang w:val="en-GB"/>
        </w:rPr>
        <w:fldChar w:fldCharType="separate"/>
      </w:r>
      <w:r w:rsidR="00E55873" w:rsidRPr="00E97FC1">
        <w:rPr>
          <w:noProof/>
          <w:lang w:val="en-GB"/>
        </w:rPr>
        <w:t xml:space="preserve">(He </w:t>
      </w:r>
      <w:r w:rsidR="00E55873" w:rsidRPr="00E97FC1">
        <w:rPr>
          <w:i/>
          <w:noProof/>
          <w:lang w:val="en-GB"/>
        </w:rPr>
        <w:t>et al</w:t>
      </w:r>
      <w:r w:rsidR="00E55873" w:rsidRPr="00E97FC1">
        <w:rPr>
          <w:noProof/>
          <w:lang w:val="en-GB"/>
        </w:rPr>
        <w:t>, 2015)</w:t>
      </w:r>
      <w:r w:rsidR="00FF5900" w:rsidRPr="00E97FC1">
        <w:rPr>
          <w:lang w:val="en-GB"/>
        </w:rPr>
        <w:fldChar w:fldCharType="end"/>
      </w:r>
      <w:r w:rsidR="00FF5900" w:rsidRPr="00E97FC1">
        <w:rPr>
          <w:lang w:val="en-GB"/>
        </w:rPr>
        <w:t xml:space="preserve">. </w:t>
      </w:r>
      <w:r w:rsidR="005A1615" w:rsidRPr="00E97FC1">
        <w:rPr>
          <w:lang w:val="en-GB"/>
        </w:rPr>
        <w:t xml:space="preserve">As Fd carries only one electron, two molecules are required for the reaction. </w:t>
      </w:r>
    </w:p>
    <w:p w14:paraId="66F146D7" w14:textId="77777777" w:rsidR="00B75B90" w:rsidRPr="00E97FC1" w:rsidRDefault="00B75B90" w:rsidP="00B75B90">
      <w:pPr>
        <w:rPr>
          <w:lang w:val="en-GB"/>
        </w:rPr>
      </w:pPr>
    </w:p>
    <w:p w14:paraId="51378257" w14:textId="77777777" w:rsidR="00B05504" w:rsidRPr="00E97FC1" w:rsidRDefault="007A2810" w:rsidP="004C1229">
      <w:pPr>
        <w:jc w:val="center"/>
        <w:rPr>
          <w:lang w:val="en-GB"/>
        </w:rPr>
      </w:pPr>
      <w:r>
        <w:rPr>
          <w:noProof/>
          <w:lang w:val="en-GB"/>
        </w:rPr>
        <w:lastRenderedPageBreak/>
        <w:pict w14:anchorId="51BE5CD9">
          <v:shape id="_x0000_i1026" type="#_x0000_t75" alt="NDH" style="width:389.25pt;height:252.75pt;mso-width-percent:0;mso-height-percent:0;mso-width-percent:0;mso-height-percent:0">
            <v:imagedata r:id="rId22" o:title="NDH"/>
          </v:shape>
        </w:pict>
      </w:r>
    </w:p>
    <w:p w14:paraId="59903472" w14:textId="1B0467C9" w:rsidR="000E2FB5" w:rsidRPr="00E97FC1" w:rsidRDefault="004C1229" w:rsidP="004C1229">
      <w:pPr>
        <w:pStyle w:val="Caption"/>
      </w:pPr>
      <w:bookmarkStart w:id="49" w:name="_Toc117077785"/>
      <w:bookmarkStart w:id="50" w:name="_Toc121834099"/>
      <w:bookmarkStart w:id="51" w:name="_Toc128136615"/>
      <w:r w:rsidRPr="00E97FC1">
        <w:t xml:space="preserve">Figure </w:t>
      </w:r>
      <w:r w:rsidR="00CC7652">
        <w:fldChar w:fldCharType="begin"/>
      </w:r>
      <w:r w:rsidR="00CC7652">
        <w:instrText xml:space="preserve"> STYLEREF 1 \s </w:instrText>
      </w:r>
      <w:r w:rsidR="00CC7652">
        <w:fldChar w:fldCharType="separate"/>
      </w:r>
      <w:r w:rsidR="00ED1816">
        <w:rPr>
          <w:noProof/>
        </w:rPr>
        <w:t>1</w:t>
      </w:r>
      <w:r w:rsidR="00CC7652">
        <w:fldChar w:fldCharType="end"/>
      </w:r>
      <w:r w:rsidR="00CC7652">
        <w:t>.</w:t>
      </w:r>
      <w:r w:rsidR="00CC7652">
        <w:fldChar w:fldCharType="begin"/>
      </w:r>
      <w:r w:rsidR="00CC7652">
        <w:instrText xml:space="preserve"> SEQ Figure \* ARABIC \s 1 </w:instrText>
      </w:r>
      <w:r w:rsidR="00CC7652">
        <w:fldChar w:fldCharType="separate"/>
      </w:r>
      <w:r w:rsidR="00ED1816">
        <w:rPr>
          <w:noProof/>
        </w:rPr>
        <w:t>9</w:t>
      </w:r>
      <w:r w:rsidR="00CC7652">
        <w:fldChar w:fldCharType="end"/>
      </w:r>
      <w:r w:rsidRPr="00E97FC1">
        <w:t xml:space="preserve"> Structure of cyanobacterial NDH</w:t>
      </w:r>
      <w:bookmarkEnd w:id="49"/>
      <w:r w:rsidR="000E2FB5" w:rsidRPr="00E97FC1">
        <w:t xml:space="preserve"> with bound Fd.</w:t>
      </w:r>
      <w:bookmarkEnd w:id="50"/>
      <w:bookmarkEnd w:id="51"/>
      <w:r w:rsidR="000E2FB5" w:rsidRPr="00E97FC1">
        <w:t xml:space="preserve"> </w:t>
      </w:r>
    </w:p>
    <w:p w14:paraId="0C38E863" w14:textId="638BCD8F" w:rsidR="00B05504" w:rsidRPr="00CF7C36" w:rsidRDefault="00580290" w:rsidP="004C1229">
      <w:pPr>
        <w:pStyle w:val="Caption"/>
      </w:pPr>
      <w:r w:rsidRPr="00CF7C36">
        <w:t xml:space="preserve">Subunits are coloured in different colours. </w:t>
      </w:r>
      <w:r w:rsidR="000E2FB5" w:rsidRPr="00CF7C36">
        <w:t>Figure ad</w:t>
      </w:r>
      <w:r w:rsidR="00D07557" w:rsidRPr="00CF7C36">
        <w:t>a</w:t>
      </w:r>
      <w:r w:rsidR="000E2FB5" w:rsidRPr="00CF7C36">
        <w:t xml:space="preserve">pted from </w:t>
      </w:r>
      <w:r w:rsidR="000E2FB5" w:rsidRPr="00CF7C36">
        <w:fldChar w:fldCharType="begin" w:fldLock="1"/>
      </w:r>
      <w:r w:rsidR="00776703" w:rsidRPr="00CF7C36">
        <w:instrText>ADDIN CSL_CITATION {"citationItems":[{"id":"ITEM-1","itemData":{"DOI":"10.1038/s41467-020-14456-0","ISSN":"2041-1723 (Electronic)","PMID":"32001694","abstract":"NAD(P)H dehydrogenase-like (NDH) complex NDH-1L of cyanobacteria plays a crucial  role in cyclic electron flow (CEF) around photosystem I and respiration processes. NDH-1L couples the electron transport from ferredoxin (Fd) to plastoquinone (PQ) and proton pumping from cytoplasm to the lumen that drives the ATP production. NDH-1L-dependent CEF increases the ATP/NADPH ratio, and is therefore pivotal for oxygenic phototrophs to function under stress. Here we report two structures of NDH-1L from Thermosynechococcus elongatus BP-1, in complex with one Fd and an endogenous PQ, respectively. Our structures represent the complete model of cyanobacterial NDH-1L, revealing the binding manner of NDH-1L with Fd and PQ, as well as the structural elements crucial for proper functioning of the NDH-1L complex. Together, our data provides deep insights into the electron transport from Fd to PQ, and its coupling with proton translocation in NDH-1L.","author":[{"dropping-particle":"","family":"Pan","given":"Xiaowei","non-dropping-particle":"","parse-names":false,"suffix":""},{"dropping-particle":"","family":"Cao","given":"Duanfang","non-dropping-particle":"","parse-names":false,"suffix":""},{"dropping-particle":"","family":"Xie","given":"Fen","non-dropping-particle":"","parse-names":false,"suffix":""},{"dropping-particle":"","family":"Xu","given":"Fang","non-dropping-particle":"","parse-names":false,"suffix":""},{"dropping-particle":"","family":"Su","given":"Xiaodong","non-dropping-particle":"","parse-names":false,"suffix":""},{"dropping-particle":"","family":"Mi","given":"Hualing","non-dropping-particle":"","parse-names":false,"suffix":""},{"dropping-particle":"","family":"Zhang","given":"Xinzheng","non-dropping-particle":"","parse-names":false,"suffix":""},{"dropping-particle":"","family":"Li","given":"Mei","non-dropping-particle":"","parse-names":false,"suffix":""}],"container-title":"Nature communications","id":"ITEM-1","issue":"1","issued":{"date-parts":[["2020","1"]]},"language":"eng","page":"610","title":"Structural basis for electron transport mechanism of complex I-like  photosynthetic NAD(P)H dehydrogenase.","type":"article-journal","volume":"11"},"uris":["http://www.mendeley.com/documents/?uuid=33e06fc5-9e3f-46f4-bffd-535aff5becc5"]}],"mendeley":{"formattedCitation":"(Pan &lt;i&gt;et al&lt;/i&gt;, 2020)","plainTextFormattedCitation":"(Pan et al, 2020)","previouslyFormattedCitation":"(Pan &lt;i&gt;et al&lt;/i&gt;, 2020)"},"properties":{"noteIndex":0},"schema":"https://github.com/citation-style-language/schema/raw/master/csl-citation.json"}</w:instrText>
      </w:r>
      <w:r w:rsidR="000E2FB5" w:rsidRPr="00CF7C36">
        <w:fldChar w:fldCharType="separate"/>
      </w:r>
      <w:r w:rsidR="00E55873" w:rsidRPr="00CF7C36">
        <w:rPr>
          <w:i w:val="0"/>
          <w:noProof/>
        </w:rPr>
        <w:t xml:space="preserve">(Pan </w:t>
      </w:r>
      <w:r w:rsidR="00E55873" w:rsidRPr="00CF7C36">
        <w:rPr>
          <w:noProof/>
        </w:rPr>
        <w:t>et al</w:t>
      </w:r>
      <w:r w:rsidR="00E55873" w:rsidRPr="00CF7C36">
        <w:rPr>
          <w:i w:val="0"/>
          <w:noProof/>
        </w:rPr>
        <w:t>, 2020)</w:t>
      </w:r>
      <w:r w:rsidR="000E2FB5" w:rsidRPr="00CF7C36">
        <w:fldChar w:fldCharType="end"/>
      </w:r>
      <w:r w:rsidRPr="00CF7C36">
        <w:t>, PDB id: 6KHI.</w:t>
      </w:r>
    </w:p>
    <w:p w14:paraId="7E37D1D0" w14:textId="77777777" w:rsidR="000E2FB5" w:rsidRPr="00E97FC1" w:rsidRDefault="000E2FB5" w:rsidP="000E2FB5">
      <w:pPr>
        <w:rPr>
          <w:lang w:val="en-GB"/>
        </w:rPr>
      </w:pPr>
    </w:p>
    <w:p w14:paraId="3E790D14" w14:textId="6E5CAEE2" w:rsidR="000E2FB5" w:rsidRPr="00E97FC1" w:rsidRDefault="000E2FB5" w:rsidP="000E2FB5">
      <w:pPr>
        <w:ind w:firstLine="720"/>
        <w:rPr>
          <w:lang w:val="en-GB"/>
        </w:rPr>
      </w:pPr>
      <w:r w:rsidRPr="00E97FC1">
        <w:rPr>
          <w:lang w:val="en-GB"/>
        </w:rPr>
        <w:t>Several structures of NDH, including Fd bound state (</w:t>
      </w:r>
      <w:r w:rsidRPr="00CC7652">
        <w:rPr>
          <w:lang w:val="en-GB"/>
        </w:rPr>
        <w:t>Figure 1.</w:t>
      </w:r>
      <w:r w:rsidR="000F12F2">
        <w:rPr>
          <w:lang w:val="en-GB"/>
        </w:rPr>
        <w:t>9</w:t>
      </w:r>
      <w:r w:rsidRPr="00E97FC1">
        <w:rPr>
          <w:lang w:val="en-GB"/>
        </w:rPr>
        <w:t xml:space="preserve">), have been resolved by Cryo-EM </w:t>
      </w:r>
      <w:r w:rsidRPr="00E97FC1">
        <w:rPr>
          <w:lang w:val="en-GB"/>
        </w:rPr>
        <w:fldChar w:fldCharType="begin" w:fldLock="1"/>
      </w:r>
      <w:r w:rsidR="00776703" w:rsidRPr="00E97FC1">
        <w:rPr>
          <w:lang w:val="en-GB"/>
        </w:rPr>
        <w:instrText>ADDIN CSL_CITATION {"citationItems":[{"id":"ITEM-1","itemData":{"DOI":"10.1126/science.aau3613","ISSN":"1095-9203 (Electronic)","PMID":"30573545","abstract":"Photosynthetic complex I enables cyclic electron flow around photosystem I, a regulatory mechanism for photosynthetic energy conversion. We report a 3.3-angstrom-resolution cryo-electron microscopy structure of photosynthetic complex I from the cyanobacterium Thermosynechococcus elongatus. The model reveals structural adaptations that facilitate binding and electron transfer from the photosynthetic electron carrier ferredoxin. By mimicking cyclic electron flow with isolated components in vitro, we demonstrate that ferredoxin directly mediates electron transfer between photosystem I and complex I, instead of using intermediates such as NADPH (the reduced form of nicotinamide adenine dinucleotide phosphate). A large rate constant for association of ferredoxin to complex I indicates efficient recognition, with the protein subunit NdhS being the key component in this process.","author":[{"dropping-particle":"","family":"Schuller","given":"Jan M","non-dropping-particle":"","parse-names":false,"suffix":""},{"dropping-particle":"","family":"Birrell","given":"James A","non-dropping-particle":"","parse-names":false,"suffix":""},{"dropping-particle":"","family":"Tanaka","given":"Hideaki","non-dropping-particle":"","parse-names":false,"suffix":""},{"dropping-particle":"","family":"Konuma","given":"Tsuyoshi","non-dropping-particle":"","parse-names":false,"suffix":""},{"dropping-particle":"","family":"Wulfhorst","given":"Hannes","non-dropping-particle":"","parse-names":false,"suffix":""},{"dropping-particle":"","family":"Cox","given":"Nicholas","non-dropping-particle":"","parse-names":false,"suffix":""},{"dropping-particle":"","family":"Schuller","given":"Sandra K","non-dropping-particle":"","parse-names":false,"suffix":""},{"dropping-particle":"","family":"Thiemann","given":"Jacqueline","non-dropping-particle":"","parse-names":false,"suffix":""},{"dropping-particle":"","family":"Lubitz","given":"Wolfgang","non-dropping-particle":"","parse-names":false,"suffix":""},{"dropping-particle":"","family":"Setif","given":"Pierre","non-dropping-particle":"","parse-names":false,"suffix":""},{"dropping-particle":"","family":"Ikegami","given":"Takahisa","non-dropping-particle":"","parse-names":false,"suffix":""},{"dropping-particle":"","family":"Engel","given":"Benjamin D","non-dropping-particle":"","parse-names":false,"suffix":""},{"dropping-particle":"","family":"Kurisu","given":"Genji","non-dropping-particle":"","parse-names":false,"suffix":""},{"dropping-particle":"","family":"Nowaczyk","given":"Marc M","non-dropping-particle":"","parse-names":false,"suffix":""}],"container-title":"Science (New York, N.Y.)","id":"ITEM-1","issue":"6424","issued":{"date-parts":[["2019","1"]]},"language":"eng","page":"257-260","publisher-place":"United States","title":"Structural adaptations of photosynthetic complex I enable ferredoxin-dependent electron transfer.","type":"article-journal","volume":"363"},"uris":["http://www.mendeley.com/documents/?uuid=e9af2d6b-88c0-4dd3-bef4-3ab2d63c2d96"]},{"id":"ITEM-2","itemData":{"DOI":"10.1038/s41467-020-14456-0","ISSN":"2041-1723 (Electronic)","PMID":"32001694","abstract":"NAD(P)H dehydrogenase-like (NDH) complex NDH-1L of cyanobacteria plays a crucial  role in cyclic electron flow (CEF) around photosystem I and respiration processes. NDH-1L couples the electron transport from ferredoxin (Fd) to plastoquinone (PQ) and proton pumping from cytoplasm to the lumen that drives the ATP production. NDH-1L-dependent CEF increases the ATP/NADPH ratio, and is therefore pivotal for oxygenic phototrophs to function under stress. Here we report two structures of NDH-1L from Thermosynechococcus elongatus BP-1, in complex with one Fd and an endogenous PQ, respectively. Our structures represent the complete model of cyanobacterial NDH-1L, revealing the binding manner of NDH-1L with Fd and PQ, as well as the structural elements crucial for proper functioning of the NDH-1L complex. Together, our data provides deep insights into the electron transport from Fd to PQ, and its coupling with proton translocation in NDH-1L.","author":[{"dropping-particle":"","family":"Pan","given":"Xiaowei","non-dropping-particle":"","parse-names":false,"suffix":""},{"dropping-particle":"","family":"Cao","given":"Duanfang","non-dropping-particle":"","parse-names":false,"suffix":""},{"dropping-particle":"","family":"Xie","given":"Fen","non-dropping-particle":"","parse-names":false,"suffix":""},{"dropping-particle":"","family":"Xu","given":"Fang","non-dropping-particle":"","parse-names":false,"suffix":""},{"dropping-particle":"","family":"Su","given":"Xiaodong","non-dropping-particle":"","parse-names":false,"suffix":""},{"dropping-particle":"","family":"Mi","given":"Hualing","non-dropping-particle":"","parse-names":false,"suffix":""},{"dropping-particle":"","family":"Zhang","given":"Xinzheng","non-dropping-particle":"","parse-names":false,"suffix":""},{"dropping-particle":"","family":"Li","given":"Mei","non-dropping-particle":"","parse-names":false,"suffix":""}],"container-title":"Nature communications","id":"ITEM-2","issue":"1","issued":{"date-parts":[["2020","1"]]},"language":"eng","page":"610","title":"Structural basis for electron transport mechanism of complex I-like  photosynthetic NAD(P)H dehydrogenase.","type":"article-journal","volume":"11"},"uris":["http://www.mendeley.com/documents/?uuid=33e06fc5-9e3f-46f4-bffd-535aff5becc5"]},{"id":"ITEM-3","itemData":{"DOI":"10.1038/s41467-020-14732-z","ISSN":"2041-1723 (Electronic)","PMID":"32060291","abstract":"NDH-1 is a key component of the cyclic-electron-transfer around photosystem I  (PSI CET) pathway, an important antioxidant mechanism for efficient photosynthesis. Here, we report a 3.2-Å-resolution cryo-EM structure of the ferredoxin (Fd)-NDH-1L complex from the cyanobacterium Thermosynechococcus elongatus. The structure reveals three β-carotene and fifteen lipid molecules in the membrane arm of NDH-1L. Regulatory oxygenic photosynthesis-specific (OPS) subunits NdhV, NdhS and NdhO are close to the Fd-binding site whilst NdhL is adjacent to the plastoquinone (PQ) cavity, and they play different roles in PSI CET under high-light stress. NdhV assists in the binding of Fd to NDH-1L and accelerates PSI CET in response to short-term high-light exposure. In contrast, prolonged high-light irradiation switches on the expression and assembly of the NDH-1MS complex, which likely contains no NdhO to further accelerate PSI CET and reduce ROS production. We propose that this hierarchical mechanism is necessary for the survival of cyanobacteria in an aerobic environment.","author":[{"dropping-particle":"","family":"Zhang","given":"Chunli","non-dropping-particle":"","parse-names":false,"suffix":""},{"dropping-particle":"","family":"Shuai","given":"Jin","non-dropping-particle":"","parse-names":false,"suffix":""},{"dropping-particle":"","family":"Ran","given":"Zhaoxing","non-dropping-particle":"","parse-names":false,"suffix":""},{"dropping-particle":"","family":"Zhao","given":"Jiaohong","non-dropping-particle":"","parse-names":false,"suffix":""},{"dropping-particle":"","family":"Wu","given":"Zhenfang","non-dropping-particle":"","parse-names":false,"suffix":""},{"dropping-particle":"","family":"Liao","given":"Rijing","non-dropping-particle":"","parse-names":false,"suffix":""},{"dropping-particle":"","family":"Wu","given":"Jian","non-dropping-particle":"","parse-names":false,"suffix":""},{"dropping-particle":"","family":"Ma","given":"Weimin","non-dropping-particle":"","parse-names":false,"suffix":""},{"dropping-particle":"","family":"Lei","given":"Ming","non-dropping-particle":"","parse-names":false,"suffix":""}],"container-title":"Nature communications","id":"ITEM-3","issue":"1","issued":{"date-parts":[["2020","2"]]},"language":"eng","page":"888","title":"Structural insights into NDH-1 mediated cyclic electron transfer.","type":"article-journal","volume":"11"},"uris":["http://www.mendeley.com/documents/?uuid=cbd5f7a7-a008-419f-afbf-a0cfe7efbed7"]}],"mendeley":{"formattedCitation":"(Schuller &lt;i&gt;et al&lt;/i&gt;, 2019; Pan &lt;i&gt;et al&lt;/i&gt;, 2020; Zhang &lt;i&gt;et al&lt;/i&gt;, 2020)","plainTextFormattedCitation":"(Schuller et al, 2019; Pan et al, 2020; Zhang et al, 2020)","previouslyFormattedCitation":"(Schuller &lt;i&gt;et al&lt;/i&gt;, 2019; Pan &lt;i&gt;et al&lt;/i&gt;, 2020; Zhang &lt;i&gt;et al&lt;/i&gt;, 2020)"},"properties":{"noteIndex":0},"schema":"https://github.com/citation-style-language/schema/raw/master/csl-citation.json"}</w:instrText>
      </w:r>
      <w:r w:rsidRPr="00E97FC1">
        <w:rPr>
          <w:lang w:val="en-GB"/>
        </w:rPr>
        <w:fldChar w:fldCharType="separate"/>
      </w:r>
      <w:r w:rsidR="00E55873" w:rsidRPr="00E97FC1">
        <w:rPr>
          <w:noProof/>
          <w:lang w:val="en-GB"/>
        </w:rPr>
        <w:t xml:space="preserve">(Schuller </w:t>
      </w:r>
      <w:r w:rsidR="00E55873" w:rsidRPr="00E97FC1">
        <w:rPr>
          <w:i/>
          <w:noProof/>
          <w:lang w:val="en-GB"/>
        </w:rPr>
        <w:t>et al</w:t>
      </w:r>
      <w:r w:rsidR="00E55873" w:rsidRPr="00E97FC1">
        <w:rPr>
          <w:noProof/>
          <w:lang w:val="en-GB"/>
        </w:rPr>
        <w:t xml:space="preserve">, 2019; Pan </w:t>
      </w:r>
      <w:r w:rsidR="00E55873" w:rsidRPr="00E97FC1">
        <w:rPr>
          <w:i/>
          <w:noProof/>
          <w:lang w:val="en-GB"/>
        </w:rPr>
        <w:t>et al</w:t>
      </w:r>
      <w:r w:rsidR="00E55873" w:rsidRPr="00E97FC1">
        <w:rPr>
          <w:noProof/>
          <w:lang w:val="en-GB"/>
        </w:rPr>
        <w:t xml:space="preserve">, 2020; Zhang </w:t>
      </w:r>
      <w:r w:rsidR="00E55873" w:rsidRPr="00E97FC1">
        <w:rPr>
          <w:i/>
          <w:noProof/>
          <w:lang w:val="en-GB"/>
        </w:rPr>
        <w:t>et al</w:t>
      </w:r>
      <w:r w:rsidR="00E55873" w:rsidRPr="00E97FC1">
        <w:rPr>
          <w:noProof/>
          <w:lang w:val="en-GB"/>
        </w:rPr>
        <w:t>, 2020)</w:t>
      </w:r>
      <w:r w:rsidRPr="00E97FC1">
        <w:rPr>
          <w:lang w:val="en-GB"/>
        </w:rPr>
        <w:fldChar w:fldCharType="end"/>
      </w:r>
      <w:r w:rsidRPr="00E97FC1">
        <w:rPr>
          <w:lang w:val="en-GB"/>
        </w:rPr>
        <w:t xml:space="preserve">. However, there is still lack of mechanistic understanding of the enzyme. </w:t>
      </w:r>
    </w:p>
    <w:p w14:paraId="44F77D20" w14:textId="77777777" w:rsidR="004C1229" w:rsidRPr="00E97FC1" w:rsidRDefault="004C1229" w:rsidP="00B05504">
      <w:pPr>
        <w:rPr>
          <w:lang w:val="en-GB"/>
        </w:rPr>
      </w:pPr>
    </w:p>
    <w:p w14:paraId="65880BB1" w14:textId="77777777" w:rsidR="00C017B5" w:rsidRPr="00E97FC1" w:rsidRDefault="00C017B5" w:rsidP="00C017B5">
      <w:pPr>
        <w:pStyle w:val="Heading3"/>
      </w:pPr>
      <w:bookmarkStart w:id="52" w:name="_Toc132639985"/>
      <w:r w:rsidRPr="00E97FC1">
        <w:t>Bacterial complex I as an important model</w:t>
      </w:r>
      <w:bookmarkEnd w:id="52"/>
    </w:p>
    <w:p w14:paraId="2F3561B0" w14:textId="6C7963AF" w:rsidR="000E2FB5" w:rsidRPr="00E97FC1" w:rsidRDefault="000E2FB5" w:rsidP="000E2FB5">
      <w:pPr>
        <w:ind w:firstLine="720"/>
        <w:rPr>
          <w:lang w:val="en-GB"/>
        </w:rPr>
      </w:pPr>
      <w:r w:rsidRPr="00E97FC1">
        <w:rPr>
          <w:lang w:val="en-GB"/>
        </w:rPr>
        <w:t xml:space="preserve">Despite the rapid progress made on complex I in the recent years, the mechanism of complex I is still hotly debated. </w:t>
      </w:r>
      <w:r w:rsidRPr="00E97FC1">
        <w:rPr>
          <w:i/>
          <w:lang w:val="en-GB"/>
        </w:rPr>
        <w:t>Ec</w:t>
      </w:r>
      <w:r w:rsidR="00E80E22" w:rsidRPr="00E97FC1">
        <w:rPr>
          <w:lang w:val="en-GB"/>
        </w:rPr>
        <w:t>C</w:t>
      </w:r>
      <w:r w:rsidRPr="00E97FC1">
        <w:rPr>
          <w:lang w:val="en-GB"/>
        </w:rPr>
        <w:t xml:space="preserve">I has been used for decades to reveal key features of complex I in general </w:t>
      </w:r>
      <w:r w:rsidRPr="00E97FC1">
        <w:rPr>
          <w:lang w:val="en-GB"/>
        </w:rPr>
        <w:fldChar w:fldCharType="begin" w:fldLock="1"/>
      </w:r>
      <w:r w:rsidR="00776703" w:rsidRPr="00E97FC1">
        <w:rPr>
          <w:lang w:val="en-GB"/>
        </w:rPr>
        <w:instrText>ADDIN CSL_CITATION {"citationItems":[{"id":"ITEM-1","itemData":{"DOI":"10.1515/hsz-2018-0164","ISSN":"1437-4315 (Electronic)","PMID":"30243012","abstract":"NADH-quinone oxidoreductase (complex I) is the largest and most complicated enzyme complex of the mitochondrial respiratory chain. It is the entry site into the respiratory chain for most of the reducing equivalents generated during metabolism, coupling electron transfer from NADH to quinone to proton translocation, which in turn drives ATP synthesis. Dysfunction of complex I is associated with neurodegenerative diseases such as Parkinson's and Alzheimer's, and it is proposed to be involved in aging. Complex I has one non-covalently bound FMN, eight to 10 iron-sulfur clusters, and protein-associated quinone molecules as electron transport components. Electron paramagnetic resonance (EPR) has previously been the most informative technique, especially in membrane in situ analysis. The structure of complex 1 has now been resolved from a number of species, but the mechanisms by which electron transfer is coupled to transmembrane proton pumping remains unresolved. Ubiquinone-10, the terminal electron acceptor of complex I, is detectable by EPR in its one electron reduced, semiquinone (SQ) state. In the aerobic steady state of respiration the semi-ubiquinone anion has been observed and studied in detail. Two distinct protein-associated fast and slow relaxing, SQ signals have been resolved which were designated SQNf and SQNs. This review covers a five decade personal journey through the field leading to a focus on the unresolved questions of the role of the SQ radicals and their possible part in proton pumping.","author":[{"dropping-particle":"","family":"Ohnishi","given":"Tomoko","non-dropping-particle":"","parse-names":false,"suffix":""},{"dropping-particle":"","family":"Ohnishi","given":"S Tsuyoshi","non-dropping-particle":"","parse-names":false,"suffix":""},{"dropping-particle":"","family":"Salerno","given":"John C","non-dropping-particle":"","parse-names":false,"suffix":""}],"container-title":"Biological chemistry","id":"ITEM-1","issue":"11","issued":{"date-parts":[["2018","10"]]},"language":"eng","page":"1249-1264","publisher-place":"Germany","title":"Five decades of research on mitochondrial NADH-quinone oxidoreductase (complex I).","type":"article-journal","volume":"399"},"uris":["http://www.mendeley.com/documents/?uuid=fbd4e9c1-65db-48d9-b8cf-a145749695ce"]}],"mendeley":{"formattedCitation":"(Ohnishi &lt;i&gt;et al&lt;/i&gt;, 2018)","plainTextFormattedCitation":"(Ohnishi et al, 2018)","previouslyFormattedCitation":"(Ohnishi &lt;i&gt;et al&lt;/i&gt;, 2018)"},"properties":{"noteIndex":0},"schema":"https://github.com/citation-style-language/schema/raw/master/csl-citation.json"}</w:instrText>
      </w:r>
      <w:r w:rsidRPr="00E97FC1">
        <w:rPr>
          <w:lang w:val="en-GB"/>
        </w:rPr>
        <w:fldChar w:fldCharType="separate"/>
      </w:r>
      <w:r w:rsidR="00E55873" w:rsidRPr="00E97FC1">
        <w:rPr>
          <w:noProof/>
          <w:lang w:val="en-GB"/>
        </w:rPr>
        <w:t xml:space="preserve">(Ohnishi </w:t>
      </w:r>
      <w:r w:rsidR="00E55873" w:rsidRPr="00E97FC1">
        <w:rPr>
          <w:i/>
          <w:noProof/>
          <w:lang w:val="en-GB"/>
        </w:rPr>
        <w:t>et al</w:t>
      </w:r>
      <w:r w:rsidR="00E55873" w:rsidRPr="00E97FC1">
        <w:rPr>
          <w:noProof/>
          <w:lang w:val="en-GB"/>
        </w:rPr>
        <w:t>, 2018)</w:t>
      </w:r>
      <w:r w:rsidRPr="00E97FC1">
        <w:rPr>
          <w:lang w:val="en-GB"/>
        </w:rPr>
        <w:fldChar w:fldCharType="end"/>
      </w:r>
      <w:r w:rsidRPr="00E97FC1">
        <w:rPr>
          <w:lang w:val="en-GB"/>
        </w:rPr>
        <w:t xml:space="preserve">. However, the structure of the entire complex is still unknown. So far, the gold standard model structure for interpreting experimental data was </w:t>
      </w:r>
      <w:r w:rsidRPr="00E97FC1">
        <w:rPr>
          <w:i/>
          <w:lang w:val="en-GB"/>
        </w:rPr>
        <w:t>Thermus thermophilus</w:t>
      </w:r>
      <w:r w:rsidRPr="00E97FC1">
        <w:rPr>
          <w:lang w:val="en-GB"/>
        </w:rPr>
        <w:t xml:space="preserve"> complex I, which enabled remarkable progress for enzyme understanding</w:t>
      </w:r>
      <w:r w:rsidR="005166F3" w:rsidRPr="00E97FC1">
        <w:rPr>
          <w:lang w:val="en-GB"/>
        </w:rPr>
        <w:t xml:space="preserve"> </w:t>
      </w:r>
      <w:r w:rsidR="005166F3" w:rsidRPr="00E97FC1">
        <w:rPr>
          <w:lang w:val="en-GB"/>
        </w:rPr>
        <w:fldChar w:fldCharType="begin" w:fldLock="1"/>
      </w:r>
      <w:r w:rsidR="00776703" w:rsidRPr="00E97FC1">
        <w:rPr>
          <w:lang w:val="en-GB"/>
        </w:rPr>
        <w:instrText>ADDIN CSL_CITATION {"citationItems":[{"id":"ITEM-1","itemData":{"author":[{"dropping-particle":"","family":"Baradaran","given":"Rozbeh","non-dropping-particle":"","parse-names":false,"suffix":""},{"dropping-particle":"","family":"Berrisford","given":"John M","non-dropping-particle":"","parse-names":false,"suffix":""},{"dropping-particle":"","family":"Minhas","given":"Gurdeep S","non-dropping-particle":"","parse-names":false,"suffix":""},{"dropping-particle":"","family":"Sazanov","given":"Leonid A","non-dropping-particle":"","parse-names":false,"suffix":""}],"container-title":"Nature","id":"ITEM-1","issued":{"date-parts":[["2013","2","17"]]},"page":"443","publisher":"Nature Publishing Group, a division of Macmillan Publishers Limited. All Rights Reserved.","title":"Crystal structure of the entire respiratory complex I","type":"article-journal","volume":"494"},"uris":["http://www.mendeley.com/documents/?uuid=b734c581-3eb2-4088-870d-6a27b0018ab2"]}],"mendeley":{"formattedCitation":"(Baradaran &lt;i&gt;et al&lt;/i&gt;, 2013)","plainTextFormattedCitation":"(Baradaran et al, 2013)","previouslyFormattedCitation":"(Baradaran &lt;i&gt;et al&lt;/i&gt;, 2013)"},"properties":{"noteIndex":0},"schema":"https://github.com/citation-style-language/schema/raw/master/csl-citation.json"}</w:instrText>
      </w:r>
      <w:r w:rsidR="005166F3" w:rsidRPr="00E97FC1">
        <w:rPr>
          <w:lang w:val="en-GB"/>
        </w:rPr>
        <w:fldChar w:fldCharType="separate"/>
      </w:r>
      <w:r w:rsidR="00E55873" w:rsidRPr="00E97FC1">
        <w:rPr>
          <w:noProof/>
          <w:lang w:val="en-GB"/>
        </w:rPr>
        <w:t xml:space="preserve">(Baradaran </w:t>
      </w:r>
      <w:r w:rsidR="00E55873" w:rsidRPr="00E97FC1">
        <w:rPr>
          <w:i/>
          <w:noProof/>
          <w:lang w:val="en-GB"/>
        </w:rPr>
        <w:t>et al</w:t>
      </w:r>
      <w:r w:rsidR="00E55873" w:rsidRPr="00E97FC1">
        <w:rPr>
          <w:noProof/>
          <w:lang w:val="en-GB"/>
        </w:rPr>
        <w:t>, 2013)</w:t>
      </w:r>
      <w:r w:rsidR="005166F3" w:rsidRPr="00E97FC1">
        <w:rPr>
          <w:lang w:val="en-GB"/>
        </w:rPr>
        <w:fldChar w:fldCharType="end"/>
      </w:r>
      <w:r w:rsidRPr="00E97FC1">
        <w:rPr>
          <w:lang w:val="en-GB"/>
        </w:rPr>
        <w:t xml:space="preserve">. However, this model system has some disadvantages (compared to </w:t>
      </w:r>
      <w:r w:rsidRPr="00E97FC1">
        <w:rPr>
          <w:i/>
          <w:lang w:val="en-GB"/>
        </w:rPr>
        <w:t>E. coli</w:t>
      </w:r>
      <w:r w:rsidRPr="00E97FC1">
        <w:rPr>
          <w:lang w:val="en-GB"/>
        </w:rPr>
        <w:t xml:space="preserve">) which hinders further research. </w:t>
      </w:r>
      <w:r w:rsidRPr="00E97FC1">
        <w:rPr>
          <w:i/>
          <w:lang w:val="en-GB"/>
        </w:rPr>
        <w:t>T. thermophilus</w:t>
      </w:r>
      <w:r w:rsidRPr="00E97FC1">
        <w:rPr>
          <w:lang w:val="en-GB"/>
        </w:rPr>
        <w:t xml:space="preserve"> is a thermophilic organism, enzymatic machinery of which is adapted to work at high temperatures and it uses exclusively menaquinone as a substrate. This makes it a somewhat specific model organism since adaptations might affect the structure. In this sense, </w:t>
      </w:r>
      <w:r w:rsidRPr="00E97FC1">
        <w:rPr>
          <w:i/>
          <w:lang w:val="en-GB"/>
        </w:rPr>
        <w:t>E. coli</w:t>
      </w:r>
      <w:r w:rsidRPr="00E97FC1">
        <w:rPr>
          <w:lang w:val="en-GB"/>
        </w:rPr>
        <w:t xml:space="preserve"> is a better candidate for research, as it is mesophilic and uses both menaquinone and ubiquinone, and the last is the substrate of mammalian complex I.</w:t>
      </w:r>
    </w:p>
    <w:p w14:paraId="2DF1755B" w14:textId="31AAD14A" w:rsidR="000E2FB5" w:rsidRPr="00E97FC1" w:rsidRDefault="000E2FB5" w:rsidP="000E2FB5">
      <w:pPr>
        <w:ind w:firstLine="720"/>
        <w:rPr>
          <w:lang w:val="en-GB"/>
        </w:rPr>
      </w:pPr>
      <w:r w:rsidRPr="00E97FC1">
        <w:rPr>
          <w:lang w:val="en-GB"/>
        </w:rPr>
        <w:lastRenderedPageBreak/>
        <w:t>Any mechanistic predictions should be ideally verified by site-directed mutagenesis. The availability of public libraries of mutants, as well as mutants prepared and p</w:t>
      </w:r>
      <w:r w:rsidR="005166F3" w:rsidRPr="00E97FC1">
        <w:rPr>
          <w:lang w:val="en-GB"/>
        </w:rPr>
        <w:t>urified in our lab</w:t>
      </w:r>
      <w:r w:rsidRPr="00E97FC1">
        <w:rPr>
          <w:lang w:val="en-GB"/>
        </w:rPr>
        <w:t xml:space="preserve">, make </w:t>
      </w:r>
      <w:r w:rsidRPr="00E97FC1">
        <w:rPr>
          <w:i/>
          <w:lang w:val="en-GB"/>
        </w:rPr>
        <w:t>E. coli</w:t>
      </w:r>
      <w:r w:rsidRPr="00E97FC1">
        <w:rPr>
          <w:lang w:val="en-GB"/>
        </w:rPr>
        <w:t xml:space="preserve"> the perfect model system. Solving structure of wild type </w:t>
      </w:r>
      <w:r w:rsidRPr="00E97FC1">
        <w:rPr>
          <w:i/>
          <w:lang w:val="en-GB"/>
        </w:rPr>
        <w:t>Ec</w:t>
      </w:r>
      <w:r w:rsidR="00E80E22" w:rsidRPr="00E97FC1">
        <w:rPr>
          <w:lang w:val="en-GB"/>
        </w:rPr>
        <w:t>C</w:t>
      </w:r>
      <w:r w:rsidR="005166F3" w:rsidRPr="00E97FC1">
        <w:rPr>
          <w:lang w:val="en-GB"/>
        </w:rPr>
        <w:t>I is</w:t>
      </w:r>
      <w:r w:rsidRPr="00E97FC1">
        <w:rPr>
          <w:lang w:val="en-GB"/>
        </w:rPr>
        <w:t xml:space="preserve"> the key to interpret already published mutations and the other experimental data. Moreover, it would allow to establish a robust protocol for solving structures of mutants and define new interesting key regions for mutations. Inactivating mutations may help to lock enzyme in particular intermediate steps of the catalytic cycle. Visualizing those “snapshots” would be crucial for understanding the general complex I mechanism.</w:t>
      </w:r>
    </w:p>
    <w:p w14:paraId="232FE46D" w14:textId="4493269C" w:rsidR="000E2FB5" w:rsidRPr="00E97FC1" w:rsidRDefault="000E2FB5" w:rsidP="000E2FB5">
      <w:pPr>
        <w:ind w:firstLine="720"/>
        <w:rPr>
          <w:lang w:val="en-GB"/>
        </w:rPr>
      </w:pPr>
      <w:r w:rsidRPr="00E97FC1">
        <w:rPr>
          <w:lang w:val="en-GB"/>
        </w:rPr>
        <w:t>Comparing complex I structures from different organisms is essential to reveal evolutionary traces and make general conclusions regarding the mechanism excluding species specific features. Structurally, the two bacterial systems</w:t>
      </w:r>
      <w:r w:rsidR="005166F3" w:rsidRPr="00E97FC1">
        <w:rPr>
          <w:lang w:val="en-GB"/>
        </w:rPr>
        <w:t xml:space="preserve"> (</w:t>
      </w:r>
      <w:r w:rsidR="005166F3" w:rsidRPr="00E97FC1">
        <w:rPr>
          <w:i/>
          <w:lang w:val="en-GB"/>
        </w:rPr>
        <w:t>Thermus</w:t>
      </w:r>
      <w:r w:rsidR="005166F3" w:rsidRPr="00E97FC1">
        <w:rPr>
          <w:lang w:val="en-GB"/>
        </w:rPr>
        <w:t xml:space="preserve"> and </w:t>
      </w:r>
      <w:r w:rsidR="005166F3" w:rsidRPr="00E97FC1">
        <w:rPr>
          <w:i/>
          <w:lang w:val="en-GB"/>
        </w:rPr>
        <w:t>E. coli</w:t>
      </w:r>
      <w:r w:rsidR="005166F3" w:rsidRPr="00E97FC1">
        <w:rPr>
          <w:lang w:val="en-GB"/>
        </w:rPr>
        <w:t>)</w:t>
      </w:r>
      <w:r w:rsidRPr="00E97FC1">
        <w:rPr>
          <w:lang w:val="en-GB"/>
        </w:rPr>
        <w:t xml:space="preserve"> are quite different,</w:t>
      </w:r>
      <w:r w:rsidR="005166F3" w:rsidRPr="00E97FC1">
        <w:rPr>
          <w:lang w:val="en-GB"/>
        </w:rPr>
        <w:t xml:space="preserve"> particularly in the peripheral arm</w:t>
      </w:r>
      <w:r w:rsidRPr="00E97FC1">
        <w:rPr>
          <w:lang w:val="en-GB"/>
        </w:rPr>
        <w:t xml:space="preserve">. The first and major difference is that </w:t>
      </w:r>
      <w:r w:rsidR="005166F3" w:rsidRPr="00E97FC1">
        <w:rPr>
          <w:lang w:val="en-GB"/>
        </w:rPr>
        <w:t xml:space="preserve">NuoC and D </w:t>
      </w:r>
      <w:r w:rsidRPr="00E97FC1">
        <w:rPr>
          <w:lang w:val="en-GB"/>
        </w:rPr>
        <w:t xml:space="preserve">subunits in are fused into the one single subunit (NuoCD) in </w:t>
      </w:r>
      <w:r w:rsidRPr="00E97FC1">
        <w:rPr>
          <w:i/>
          <w:lang w:val="en-GB"/>
        </w:rPr>
        <w:t>Ec</w:t>
      </w:r>
      <w:r w:rsidRPr="00E97FC1">
        <w:rPr>
          <w:lang w:val="en-GB"/>
        </w:rPr>
        <w:t xml:space="preserve">CI. Since NuoCD is part of the Q binding site, it is important to reveal the structural differences. Those differences might address the question why </w:t>
      </w:r>
      <w:r w:rsidRPr="00E97FC1">
        <w:rPr>
          <w:i/>
          <w:lang w:val="en-GB"/>
        </w:rPr>
        <w:t>Ec</w:t>
      </w:r>
      <w:r w:rsidR="00E80E22" w:rsidRPr="00E97FC1">
        <w:rPr>
          <w:lang w:val="en-GB"/>
        </w:rPr>
        <w:t>C</w:t>
      </w:r>
      <w:r w:rsidRPr="00E97FC1">
        <w:rPr>
          <w:lang w:val="en-GB"/>
        </w:rPr>
        <w:t>I is able to use both menaquinone and ubiquinone a</w:t>
      </w:r>
      <w:r w:rsidR="005166F3" w:rsidRPr="00E97FC1">
        <w:rPr>
          <w:lang w:val="en-GB"/>
        </w:rPr>
        <w:t>s substrates. Also, subunit NuoG</w:t>
      </w:r>
      <w:r w:rsidR="00E80E22" w:rsidRPr="00E97FC1">
        <w:rPr>
          <w:lang w:val="en-GB"/>
        </w:rPr>
        <w:t xml:space="preserve"> in EcC</w:t>
      </w:r>
      <w:r w:rsidRPr="00E97FC1">
        <w:rPr>
          <w:lang w:val="en-GB"/>
        </w:rPr>
        <w:t xml:space="preserve">I contains large C-terminal extension of unknown structure. Secondly, in contrast to </w:t>
      </w:r>
      <w:r w:rsidRPr="00E97FC1">
        <w:rPr>
          <w:i/>
          <w:lang w:val="en-GB"/>
        </w:rPr>
        <w:t>Tt</w:t>
      </w:r>
      <w:r w:rsidR="005166F3" w:rsidRPr="00E97FC1">
        <w:rPr>
          <w:lang w:val="en-GB"/>
        </w:rPr>
        <w:t>CI the distant N1a</w:t>
      </w:r>
      <w:r w:rsidRPr="00E97FC1">
        <w:rPr>
          <w:lang w:val="en-GB"/>
        </w:rPr>
        <w:t xml:space="preserve"> cluster can be reduced by NADH in </w:t>
      </w:r>
      <w:r w:rsidRPr="00E97FC1">
        <w:rPr>
          <w:i/>
          <w:lang w:val="en-GB"/>
        </w:rPr>
        <w:t>Ec</w:t>
      </w:r>
      <w:r w:rsidR="00E80E22" w:rsidRPr="00E97FC1">
        <w:rPr>
          <w:lang w:val="en-GB"/>
        </w:rPr>
        <w:t>C</w:t>
      </w:r>
      <w:r w:rsidRPr="00E97FC1">
        <w:rPr>
          <w:lang w:val="en-GB"/>
        </w:rPr>
        <w:t>I. Therefore, it would be interesting to investigate the cluster’s en</w:t>
      </w:r>
      <w:r w:rsidR="00E80E22" w:rsidRPr="00E97FC1">
        <w:rPr>
          <w:lang w:val="en-GB"/>
        </w:rPr>
        <w:t>vironment. Moreover, unlike TtC</w:t>
      </w:r>
      <w:r w:rsidRPr="00E97FC1">
        <w:rPr>
          <w:lang w:val="en-GB"/>
        </w:rPr>
        <w:t xml:space="preserve">I and mammalian enzyme, </w:t>
      </w:r>
      <w:r w:rsidRPr="00E97FC1">
        <w:rPr>
          <w:i/>
          <w:lang w:val="en-GB"/>
        </w:rPr>
        <w:t>Ec</w:t>
      </w:r>
      <w:r w:rsidR="00E80E22" w:rsidRPr="00E97FC1">
        <w:rPr>
          <w:lang w:val="en-GB"/>
        </w:rPr>
        <w:t>C</w:t>
      </w:r>
      <w:r w:rsidRPr="00E97FC1">
        <w:rPr>
          <w:lang w:val="en-GB"/>
        </w:rPr>
        <w:t xml:space="preserve">I upon purification retains one native bound Q molecule per complex (Anna Wojciechowska, Phd Thesis, MRC Cambridge, 2013), providing the possibility to visualize bound long-chain quinone. This has not been possible using </w:t>
      </w:r>
      <w:r w:rsidRPr="00E97FC1">
        <w:rPr>
          <w:i/>
          <w:lang w:val="en-GB"/>
        </w:rPr>
        <w:t>Tt</w:t>
      </w:r>
      <w:r w:rsidRPr="00E97FC1">
        <w:rPr>
          <w:lang w:val="en-GB"/>
        </w:rPr>
        <w:t>CI and externally added Q, as quinone is extremely hydrophobic in its native-like long-chain variants.</w:t>
      </w:r>
    </w:p>
    <w:p w14:paraId="7F5ADE32" w14:textId="5E6EAB81" w:rsidR="000E2FB5" w:rsidRPr="00E97FC1" w:rsidRDefault="00E80E22" w:rsidP="000E2FB5">
      <w:pPr>
        <w:ind w:firstLine="720"/>
        <w:rPr>
          <w:lang w:val="en-GB"/>
        </w:rPr>
      </w:pPr>
      <w:r w:rsidRPr="00E97FC1">
        <w:rPr>
          <w:lang w:val="en-GB"/>
        </w:rPr>
        <w:t>In summary, solving the EcC</w:t>
      </w:r>
      <w:r w:rsidR="000E2FB5" w:rsidRPr="00E97FC1">
        <w:rPr>
          <w:lang w:val="en-GB"/>
        </w:rPr>
        <w:t>I structure and complementing the functional results with structural studies will provide a high-impact contribution to the field of bioenergetics.</w:t>
      </w:r>
    </w:p>
    <w:p w14:paraId="5C0B11A2" w14:textId="77777777" w:rsidR="005166F3" w:rsidRPr="00E97FC1" w:rsidRDefault="005166F3" w:rsidP="000E2FB5">
      <w:pPr>
        <w:ind w:firstLine="720"/>
        <w:rPr>
          <w:lang w:val="en-GB"/>
        </w:rPr>
      </w:pPr>
    </w:p>
    <w:p w14:paraId="2FB05C3A" w14:textId="77777777" w:rsidR="00C017B5" w:rsidRPr="00E97FC1" w:rsidRDefault="00C017B5" w:rsidP="00F016AD">
      <w:pPr>
        <w:pStyle w:val="Heading2"/>
      </w:pPr>
      <w:bookmarkStart w:id="53" w:name="_Toc132639986"/>
      <w:r w:rsidRPr="00E97FC1">
        <w:t>Current structural and mechanistic understanding of complex I</w:t>
      </w:r>
      <w:bookmarkEnd w:id="53"/>
    </w:p>
    <w:p w14:paraId="1BCEF7E3" w14:textId="77777777" w:rsidR="00C017B5" w:rsidRPr="00E97FC1" w:rsidRDefault="00C017B5" w:rsidP="002730C3">
      <w:pPr>
        <w:pStyle w:val="Heading3"/>
      </w:pPr>
      <w:bookmarkStart w:id="54" w:name="_Toc132639987"/>
      <w:r w:rsidRPr="00E97FC1">
        <w:t>History of structure determination</w:t>
      </w:r>
      <w:bookmarkEnd w:id="54"/>
    </w:p>
    <w:p w14:paraId="6E0878A2" w14:textId="0F650124" w:rsidR="00EB6E7F" w:rsidRPr="00E97FC1" w:rsidRDefault="00EB6E7F" w:rsidP="00EB6E7F">
      <w:pPr>
        <w:ind w:firstLine="720"/>
        <w:rPr>
          <w:lang w:val="en-GB"/>
        </w:rPr>
      </w:pPr>
      <w:r w:rsidRPr="00E97FC1">
        <w:rPr>
          <w:lang w:val="en-GB"/>
        </w:rPr>
        <w:t>Complex I has been studied for</w:t>
      </w:r>
      <w:r w:rsidR="00EC19EA" w:rsidRPr="00E97FC1">
        <w:rPr>
          <w:lang w:val="en-GB"/>
        </w:rPr>
        <w:t xml:space="preserve"> decades, however, the majority of</w:t>
      </w:r>
      <w:r w:rsidRPr="00E97FC1">
        <w:rPr>
          <w:lang w:val="en-GB"/>
        </w:rPr>
        <w:t xml:space="preserve"> structural </w:t>
      </w:r>
      <w:r w:rsidR="00EC19EA" w:rsidRPr="00E97FC1">
        <w:rPr>
          <w:lang w:val="en-GB"/>
        </w:rPr>
        <w:t>data</w:t>
      </w:r>
      <w:r w:rsidRPr="00E97FC1">
        <w:rPr>
          <w:lang w:val="en-GB"/>
        </w:rPr>
        <w:t xml:space="preserve"> started to appear relatively recently with the development of cryo-EM method. </w:t>
      </w:r>
      <w:r w:rsidR="00EC19EA" w:rsidRPr="00E97FC1">
        <w:rPr>
          <w:lang w:val="en-GB"/>
        </w:rPr>
        <w:t>In early 2003</w:t>
      </w:r>
      <w:r w:rsidR="00EB35D5" w:rsidRPr="00E97FC1">
        <w:rPr>
          <w:lang w:val="en-GB"/>
        </w:rPr>
        <w:t>, for the first time, using EM imaging of negatively stained sample, L-sh</w:t>
      </w:r>
      <w:r w:rsidR="006324A2" w:rsidRPr="00E97FC1">
        <w:rPr>
          <w:lang w:val="en-GB"/>
        </w:rPr>
        <w:t>ape of the complex was revealed</w:t>
      </w:r>
      <w:r w:rsidR="00EB35D5" w:rsidRPr="00E97FC1">
        <w:rPr>
          <w:lang w:val="en-GB"/>
        </w:rPr>
        <w:t xml:space="preserve"> </w:t>
      </w:r>
      <w:r w:rsidR="00EB35D5" w:rsidRPr="00E97FC1">
        <w:rPr>
          <w:lang w:val="en-GB"/>
        </w:rPr>
        <w:fldChar w:fldCharType="begin" w:fldLock="1"/>
      </w:r>
      <w:r w:rsidR="00776703" w:rsidRPr="00E97FC1">
        <w:rPr>
          <w:lang w:val="en-GB"/>
        </w:rPr>
        <w:instrText>ADDIN CSL_CITATION {"citationItems":[{"id":"ITEM-1","itemData":{"DOI":"10.1074/jbc.M208959200","ISSN":"0021-9258 (Print)","PMID":"12637579","abstract":"NADH-ubiquinone oxidoreductase (complex I or NDH-1) was purified from the BL21 strain of Escherichia coli using an improved procedure. The complex was effectively stabilized by addition of divalent cations and lipids, making the preparation suitable for structural studies. The ubiquinone reductase activity of the enzyme was fully restored by addition of native E. coli lipids. Two different two-dimensional crystal forms, with p2 and p3 symmetry, were obtained using lipids containing native E. coli extracts. Analysis of the crystals showed that they are formed by fully intact complex I in an L-shaped conformation. Activity assays and single particle analysis indicated that complex I maintains this structure in detergent solution and does not adopt a different conformation in the active state. Thus, we provide the first experimental evidence that complex I from E. coli has an L-shape in a lipid bilayer and confirm that this is also the case for the active enzyme in solution. This suggests strongly that bacterial complex I exists in an L-shaped conformation in vivo. Our results also indicate that native lipids play an important role in the activation, stabilization and, as a consequence, crystallization of purified complex I from E. coli.","author":[{"dropping-particle":"","family":"Sazanov","given":"Leonid A","non-dropping-particle":"","parse-names":false,"suffix":""},{"dropping-particle":"","family":"Carroll","given":"Joe","non-dropping-particle":"","parse-names":false,"suffix":""},{"dropping-particle":"","family":"Holt","given":"Peter","non-dropping-particle":"","parse-names":false,"suffix":""},{"dropping-particle":"","family":"Toime","given":"Laurence","non-dropping-particle":"","parse-names":false,"suffix":""},{"dropping-particle":"","family":"Fearnley","given":"Ian M","non-dropping-particle":"","parse-names":false,"suffix":""}],"container-title":"The Journal of biological chemistry","id":"ITEM-1","issue":"21","issued":{"date-parts":[["2003","5"]]},"language":"eng","page":"19483-19491","publisher-place":"United States","title":"A role for native lipids in the stabilization and two-dimensional crystallization of the Escherichia coli NADH-ubiquinone oxidoreductase (complex I).","type":"article-journal","volume":"278"},"uris":["http://www.mendeley.com/documents/?uuid=9838cd68-3f4b-48c2-872e-0893d87a06b1"]}],"mendeley":{"formattedCitation":"(Sazanov &lt;i&gt;et al&lt;/i&gt;, 2003)","plainTextFormattedCitation":"(Sazanov et al, 2003)","previouslyFormattedCitation":"(Sazanov &lt;i&gt;et al&lt;/i&gt;, 2003)"},"properties":{"noteIndex":0},"schema":"https://github.com/citation-style-language/schema/raw/master/csl-citation.json"}</w:instrText>
      </w:r>
      <w:r w:rsidR="00EB35D5" w:rsidRPr="00E97FC1">
        <w:rPr>
          <w:lang w:val="en-GB"/>
        </w:rPr>
        <w:fldChar w:fldCharType="separate"/>
      </w:r>
      <w:r w:rsidR="00E55873" w:rsidRPr="00E97FC1">
        <w:rPr>
          <w:noProof/>
          <w:lang w:val="en-GB"/>
        </w:rPr>
        <w:t xml:space="preserve">(Sazanov </w:t>
      </w:r>
      <w:r w:rsidR="00E55873" w:rsidRPr="00E97FC1">
        <w:rPr>
          <w:i/>
          <w:noProof/>
          <w:lang w:val="en-GB"/>
        </w:rPr>
        <w:t>et al</w:t>
      </w:r>
      <w:r w:rsidR="00E55873" w:rsidRPr="00E97FC1">
        <w:rPr>
          <w:noProof/>
          <w:lang w:val="en-GB"/>
        </w:rPr>
        <w:t>, 2003)</w:t>
      </w:r>
      <w:r w:rsidR="00EB35D5" w:rsidRPr="00E97FC1">
        <w:rPr>
          <w:lang w:val="en-GB"/>
        </w:rPr>
        <w:fldChar w:fldCharType="end"/>
      </w:r>
      <w:r w:rsidR="00EB35D5" w:rsidRPr="00E97FC1">
        <w:rPr>
          <w:lang w:val="en-GB"/>
        </w:rPr>
        <w:t xml:space="preserve">. Due to the enzyme size and complexity, its complete structure was solved in parts. Firstly, the </w:t>
      </w:r>
      <w:r w:rsidR="00F44255" w:rsidRPr="00E97FC1">
        <w:rPr>
          <w:lang w:val="en-GB"/>
        </w:rPr>
        <w:t xml:space="preserve">X-ray </w:t>
      </w:r>
      <w:r w:rsidR="00EB35D5" w:rsidRPr="00E97FC1">
        <w:rPr>
          <w:lang w:val="en-GB"/>
        </w:rPr>
        <w:t xml:space="preserve">structure of the peripheral arm including cofactors of </w:t>
      </w:r>
      <w:r w:rsidR="00EB35D5" w:rsidRPr="00E97FC1">
        <w:rPr>
          <w:i/>
          <w:lang w:val="en-GB"/>
        </w:rPr>
        <w:t>Tt</w:t>
      </w:r>
      <w:r w:rsidR="00E80E22" w:rsidRPr="00E97FC1">
        <w:rPr>
          <w:lang w:val="en-GB"/>
        </w:rPr>
        <w:t>C</w:t>
      </w:r>
      <w:r w:rsidR="00EB35D5" w:rsidRPr="00E97FC1">
        <w:rPr>
          <w:lang w:val="en-GB"/>
        </w:rPr>
        <w:t xml:space="preserve">I was solved in 2006 </w:t>
      </w:r>
      <w:r w:rsidR="00EB35D5" w:rsidRPr="00E97FC1">
        <w:rPr>
          <w:lang w:val="en-GB"/>
        </w:rPr>
        <w:fldChar w:fldCharType="begin" w:fldLock="1"/>
      </w:r>
      <w:r w:rsidR="00E55873" w:rsidRPr="00E97FC1">
        <w:rPr>
          <w:lang w:val="en-GB"/>
        </w:rPr>
        <w:instrText>ADDIN CSL_CITATION {"citationItems":[{"id":"ITEM-1","itemData":{"DOI":"10.1126/science.1123809","ISSN":"1095-9203 (Electronic)","PMID":"16469879","abstract":"Respiratory complex I plays a central role in cellular energy production in bacteria and mitochondria. Its dysfunction is implicated in many human neurodegenerative diseases, as well as in aging. The crystal structure of the hydrophilic domain (peripheral arm) of complex I from Thermus thermophilus has been solved at 3.3 angstrom resolution. This subcomplex consists of eight subunits and contains all the redox centers of the enzyme, including nine iron-sulfur clusters. The primary electron acceptor, flavin-mononucleotide, is within electron transfer distance of cluster N3, leading to the main redox pathway, and of the distal cluster N1a, a possible antioxidant. The structure reveals new aspects of the mechanism and evolution of the enzyme. The terminal cluster N2 is coordinated, uniquely, by two consecutive cysteines. The novel subunit Nqo15 has a similar fold to the mitochondrial iron chaperone frataxin, and it may be involved in iron-sulfur cluster regeneration in the complex.","author":[{"dropping-particle":"","family":"Sazanov","given":"Leonid A","non-dropping-particle":"","parse-names":false,"suffix":""},{"dropping-particle":"","family":"Hinchliffe","given":"Philip","non-dropping-particle":"","parse-names":false,"suffix":""}],"container-title":"Science (New York, N.Y.)","id":"ITEM-1","issue":"5766","issued":{"date-parts":[["2006","3"]]},"language":"eng","page":"1430-1436","publisher-place":"United States","title":"Structure of the hydrophilic domain of respiratory complex I from Thermus thermophilus.","type":"article-journal","volume":"311"},"uris":["http://www.mendeley.com/documents/?uuid=fc6d09d9-f8e5-4219-b167-5e3785e11abe"]}],"mendeley":{"formattedCitation":"(Sazanov &amp; Hinchliffe, 2006)","plainTextFormattedCitation":"(Sazanov &amp; Hinchliffe, 2006)","previouslyFormattedCitation":"(Sazanov &amp; Hinchliffe, 2006)"},"properties":{"noteIndex":0},"schema":"https://github.com/citation-style-language/schema/raw/master/csl-citation.json"}</w:instrText>
      </w:r>
      <w:r w:rsidR="00EB35D5" w:rsidRPr="00E97FC1">
        <w:rPr>
          <w:lang w:val="en-GB"/>
        </w:rPr>
        <w:fldChar w:fldCharType="separate"/>
      </w:r>
      <w:r w:rsidR="00E55873" w:rsidRPr="00E97FC1">
        <w:rPr>
          <w:noProof/>
          <w:lang w:val="en-GB"/>
        </w:rPr>
        <w:t>(Sazanov &amp; Hinchliffe, 2006)</w:t>
      </w:r>
      <w:r w:rsidR="00EB35D5" w:rsidRPr="00E97FC1">
        <w:rPr>
          <w:lang w:val="en-GB"/>
        </w:rPr>
        <w:fldChar w:fldCharType="end"/>
      </w:r>
      <w:r w:rsidR="00EB35D5" w:rsidRPr="00E97FC1">
        <w:rPr>
          <w:lang w:val="en-GB"/>
        </w:rPr>
        <w:t xml:space="preserve">. It was followed by the </w:t>
      </w:r>
      <w:r w:rsidR="00F44255" w:rsidRPr="00E97FC1">
        <w:rPr>
          <w:lang w:val="en-GB"/>
        </w:rPr>
        <w:t xml:space="preserve">X-ray </w:t>
      </w:r>
      <w:r w:rsidR="00EB35D5" w:rsidRPr="00E97FC1">
        <w:rPr>
          <w:lang w:val="en-GB"/>
        </w:rPr>
        <w:t xml:space="preserve">structure </w:t>
      </w:r>
      <w:r w:rsidR="00EB35D5" w:rsidRPr="00E97FC1">
        <w:rPr>
          <w:lang w:val="en-GB"/>
        </w:rPr>
        <w:lastRenderedPageBreak/>
        <w:t xml:space="preserve">of the membrane domain of </w:t>
      </w:r>
      <w:r w:rsidR="00EB35D5" w:rsidRPr="00E97FC1">
        <w:rPr>
          <w:i/>
          <w:lang w:val="en-GB"/>
        </w:rPr>
        <w:t>Ec</w:t>
      </w:r>
      <w:r w:rsidR="00E80E22" w:rsidRPr="00E97FC1">
        <w:rPr>
          <w:lang w:val="en-GB"/>
        </w:rPr>
        <w:t>C</w:t>
      </w:r>
      <w:r w:rsidR="00EB35D5" w:rsidRPr="00E97FC1">
        <w:rPr>
          <w:lang w:val="en-GB"/>
        </w:rPr>
        <w:t>I in 2011</w:t>
      </w:r>
      <w:r w:rsidR="00C71A81" w:rsidRPr="00E97FC1">
        <w:rPr>
          <w:lang w:val="en-GB"/>
        </w:rPr>
        <w:t>, which revealed an unique fold and homology to antiporters</w:t>
      </w:r>
      <w:r w:rsidR="00EB35D5" w:rsidRPr="00E97FC1">
        <w:rPr>
          <w:lang w:val="en-GB"/>
        </w:rPr>
        <w:t xml:space="preserve"> </w:t>
      </w:r>
      <w:r w:rsidR="00EB35D5" w:rsidRPr="00E97FC1">
        <w:rPr>
          <w:lang w:val="en-GB"/>
        </w:rPr>
        <w:fldChar w:fldCharType="begin" w:fldLock="1"/>
      </w:r>
      <w:r w:rsidR="00E55873" w:rsidRPr="00E97FC1">
        <w:rPr>
          <w:lang w:val="en-GB"/>
        </w:rPr>
        <w:instrText>ADDIN CSL_CITATION {"citationItems":[{"id":"ITEM-1","itemData":{"DOI":"10.1038/nature10330","ISSN":"1476-4687 (Electronic)","PMID":"21822288","abstract":"Complex I is the first and largest enzyme of the respiratory chain, coupling electron transfer between NADH and ubiquinone to the translocation of four protons across the membrane. It has a central role in cellular energy production and has been implicated in many human neurodegenerative diseases. The L-shaped enzyme consists of hydrophilic and membrane domains. Previously, we determined the structure of the hydrophilic domain. Here we report the crystal structure of the Esherichia coli complex I membrane domain at 3.0 A resolution. It includes six subunits, NuoL, NuoM, NuoN, NuoA, NuoJ and NuoK, with 55 transmembrane helices. The fold of the homologous antiporter-like subunits L, M and N is novel, with two inverted structural repeats of five transmembrane helices arranged, unusually, face-to-back. Each repeat includes a discontinuous transmembrane helix and forms half of a channel across the membrane. A network of conserved polar residues connects the two half-channels, completing the proton translocation pathway. Unexpectedly, lysines rather than carboxylate residues act as the main elements of the proton pump in these subunits. The fourth probable proton-translocation channel is at the interface of subunits N, K, J and A. The structure indicates that proton translocation in complex I, uniquely, involves coordinated conformational changes in six symmetrical structural elements.","author":[{"dropping-particle":"","family":"Efremov","given":"Rouslan G","non-dropping-particle":"","parse-names":false,"suffix":""},{"dropping-particle":"","family":"Sazanov","given":"Leonid A","non-dropping-particle":"","parse-names":false,"suffix":""}],"container-title":"Nature","id":"ITEM-1","issue":"7361","issued":{"date-parts":[["2011","8"]]},"language":"eng","page":"414-420","publisher-place":"England","title":"Structure of the membrane domain of respiratory complex I.","type":"article-journal","volume":"476"},"uris":["http://www.mendeley.com/documents/?uuid=70e749ca-5ff6-4c28-b7a8-deff25e62773"]}],"mendeley":{"formattedCitation":"(Efremov &amp; Sazanov, 2011)","plainTextFormattedCitation":"(Efremov &amp; Sazanov, 2011)","previouslyFormattedCitation":"(Efremov &amp; Sazanov, 2011)"},"properties":{"noteIndex":0},"schema":"https://github.com/citation-style-language/schema/raw/master/csl-citation.json"}</w:instrText>
      </w:r>
      <w:r w:rsidR="00EB35D5" w:rsidRPr="00E97FC1">
        <w:rPr>
          <w:lang w:val="en-GB"/>
        </w:rPr>
        <w:fldChar w:fldCharType="separate"/>
      </w:r>
      <w:r w:rsidR="00E55873" w:rsidRPr="00E97FC1">
        <w:rPr>
          <w:noProof/>
          <w:lang w:val="en-GB"/>
        </w:rPr>
        <w:t>(Efremov &amp; Sazanov, 2011)</w:t>
      </w:r>
      <w:r w:rsidR="00EB35D5" w:rsidRPr="00E97FC1">
        <w:rPr>
          <w:lang w:val="en-GB"/>
        </w:rPr>
        <w:fldChar w:fldCharType="end"/>
      </w:r>
      <w:r w:rsidR="00EB35D5" w:rsidRPr="00E97FC1">
        <w:rPr>
          <w:lang w:val="en-GB"/>
        </w:rPr>
        <w:t xml:space="preserve">. </w:t>
      </w:r>
      <w:r w:rsidR="00C71A81" w:rsidRPr="00E97FC1">
        <w:rPr>
          <w:lang w:val="en-GB"/>
        </w:rPr>
        <w:t xml:space="preserve">The structure of membrane domain was incomplete due to the missing NuoH subunit, which is the key component of the PA-MA interface. Finally, in 2013 </w:t>
      </w:r>
      <w:r w:rsidR="00CA2ABE" w:rsidRPr="00E97FC1">
        <w:rPr>
          <w:lang w:val="en-GB"/>
        </w:rPr>
        <w:t xml:space="preserve">the structure of the entire </w:t>
      </w:r>
      <w:r w:rsidR="00CA2ABE" w:rsidRPr="00E97FC1">
        <w:rPr>
          <w:i/>
          <w:lang w:val="en-GB"/>
        </w:rPr>
        <w:t>Tt</w:t>
      </w:r>
      <w:r w:rsidR="00E80E22" w:rsidRPr="00E97FC1">
        <w:rPr>
          <w:lang w:val="en-GB"/>
        </w:rPr>
        <w:t>C</w:t>
      </w:r>
      <w:r w:rsidR="00CA2ABE" w:rsidRPr="00E97FC1">
        <w:rPr>
          <w:lang w:val="en-GB"/>
        </w:rPr>
        <w:t xml:space="preserve">I was solved, which gave insights into the interface interactions and quinone binding active site </w:t>
      </w:r>
      <w:r w:rsidR="00CA2ABE" w:rsidRPr="00E97FC1">
        <w:rPr>
          <w:lang w:val="en-GB"/>
        </w:rPr>
        <w:fldChar w:fldCharType="begin" w:fldLock="1"/>
      </w:r>
      <w:r w:rsidR="00776703" w:rsidRPr="00E97FC1">
        <w:rPr>
          <w:lang w:val="en-GB"/>
        </w:rPr>
        <w:instrText>ADDIN CSL_CITATION {"citationItems":[{"id":"ITEM-1","itemData":{"author":[{"dropping-particle":"","family":"Baradaran","given":"Rozbeh","non-dropping-particle":"","parse-names":false,"suffix":""},{"dropping-particle":"","family":"Berrisford","given":"John M","non-dropping-particle":"","parse-names":false,"suffix":""},{"dropping-particle":"","family":"Minhas","given":"Gurdeep S","non-dropping-particle":"","parse-names":false,"suffix":""},{"dropping-particle":"","family":"Sazanov","given":"Leonid A","non-dropping-particle":"","parse-names":false,"suffix":""}],"container-title":"Nature","id":"ITEM-1","issued":{"date-parts":[["2013","2","17"]]},"page":"443","publisher":"Nature Publishing Group, a division of Macmillan Publishers Limited. All Rights Reserved.","title":"Crystal structure of the entire respiratory complex I","type":"article-journal","volume":"494"},"uris":["http://www.mendeley.com/documents/?uuid=b734c581-3eb2-4088-870d-6a27b0018ab2"]}],"mendeley":{"formattedCitation":"(Baradaran &lt;i&gt;et al&lt;/i&gt;, 2013)","plainTextFormattedCitation":"(Baradaran et al, 2013)","previouslyFormattedCitation":"(Baradaran &lt;i&gt;et al&lt;/i&gt;, 2013)"},"properties":{"noteIndex":0},"schema":"https://github.com/citation-style-language/schema/raw/master/csl-citation.json"}</w:instrText>
      </w:r>
      <w:r w:rsidR="00CA2ABE" w:rsidRPr="00E97FC1">
        <w:rPr>
          <w:lang w:val="en-GB"/>
        </w:rPr>
        <w:fldChar w:fldCharType="separate"/>
      </w:r>
      <w:r w:rsidR="00E55873" w:rsidRPr="00E97FC1">
        <w:rPr>
          <w:noProof/>
          <w:lang w:val="en-GB"/>
        </w:rPr>
        <w:t xml:space="preserve">(Baradaran </w:t>
      </w:r>
      <w:r w:rsidR="00E55873" w:rsidRPr="00E97FC1">
        <w:rPr>
          <w:i/>
          <w:noProof/>
          <w:lang w:val="en-GB"/>
        </w:rPr>
        <w:t>et al</w:t>
      </w:r>
      <w:r w:rsidR="00E55873" w:rsidRPr="00E97FC1">
        <w:rPr>
          <w:noProof/>
          <w:lang w:val="en-GB"/>
        </w:rPr>
        <w:t>, 2013)</w:t>
      </w:r>
      <w:r w:rsidR="00CA2ABE" w:rsidRPr="00E97FC1">
        <w:rPr>
          <w:lang w:val="en-GB"/>
        </w:rPr>
        <w:fldChar w:fldCharType="end"/>
      </w:r>
      <w:r w:rsidR="00CA2ABE" w:rsidRPr="00E97FC1">
        <w:rPr>
          <w:lang w:val="en-GB"/>
        </w:rPr>
        <w:t xml:space="preserve">. </w:t>
      </w:r>
      <w:r w:rsidR="009F2C9F" w:rsidRPr="00E97FC1">
        <w:rPr>
          <w:lang w:val="en-GB"/>
        </w:rPr>
        <w:t xml:space="preserve">This was followed by the crystal structure of eukaryotic yeast complex I at 3.6-3.9 Å resolution in 2015 </w:t>
      </w:r>
      <w:r w:rsidR="009F2C9F" w:rsidRPr="00E97FC1">
        <w:rPr>
          <w:lang w:val="en-GB"/>
        </w:rPr>
        <w:fldChar w:fldCharType="begin" w:fldLock="1"/>
      </w:r>
      <w:r w:rsidR="00776703" w:rsidRPr="00E97FC1">
        <w:rPr>
          <w:lang w:val="en-GB"/>
        </w:rPr>
        <w:instrText>ADDIN CSL_CITATION {"citationItems":[{"id":"ITEM-1","itemData":{"DOI":"10.1126/science.1259859","ISSN":"1095-9203 (Electronic)","PMID":"25554780","abstract":"Proton-pumping complex I of the mitochondrial respiratory chain is among the largest and most complicated membrane protein complexes. The enzyme contributes substantially to oxidative energy conversion in eukaryotic cells. Its malfunctions are implicated in many hereditary and degenerative disorders. We report the x-ray structure of mitochondrial complex I at a resolution of 3.6 to 3.9 angstroms, describing in detail the central subunits that execute the bioenergetic function. A continuous axis of basic and acidic residues running centrally through the membrane arm connects the ubiquinone reduction site in the hydrophilic arm to four putative proton-pumping units. The binding position for a substrate analogous inhibitor and blockage of the predicted ubiquinone binding site provide a model for the \"deactive\" form of the enzyme. The proposed transition into the active form is based on a concerted structural rearrangement at the ubiquinone reduction site, providing support for a two-state stabilization-change mechanism of proton pumping.","author":[{"dropping-particle":"","family":"Zickermann","given":"Volker","non-dropping-particle":"","parse-names":false,"suffix":""},{"dropping-particle":"","family":"Wirth","given":"Christophe","non-dropping-particle":"","parse-names":false,"suffix":""},{"dropping-particle":"","family":"Nasiri","given":"Hamid","non-dropping-particle":"","parse-names":false,"suffix":""},{"dropping-particle":"","family":"Siegmund","given":"Karin","non-dropping-particle":"","parse-names":false,"suffix":""},{"dropping-particle":"","family":"Schwalbe","given":"Harald","non-dropping-particle":"","parse-names":false,"suffix":""},{"dropping-particle":"","family":"Hunte","given":"Carola","non-dropping-particle":"","parse-names":false,"suffix":""},{"dropping-particle":"","family":"Brandt","given":"Ulrich","non-dropping-particle":"","parse-names":false,"suffix":""}],"container-title":"Science (New York, N.Y.)","id":"ITEM-1","issue":"6217","issued":{"date-parts":[["2015","1"]]},"language":"eng","page":"44-49","publisher-place":"United States","title":"Structural biology. Mechanistic insight from the crystal structure of mitochondrial complex I.","type":"article-journal","volume":"347"},"uris":["http://www.mendeley.com/documents/?uuid=abcd37c0-870f-4f3e-a527-2f898f3d225c"]}],"mendeley":{"formattedCitation":"(Zickermann &lt;i&gt;et al&lt;/i&gt;, 2015)","plainTextFormattedCitation":"(Zickermann et al, 2015)","previouslyFormattedCitation":"(Zickermann &lt;i&gt;et al&lt;/i&gt;, 2015)"},"properties":{"noteIndex":0},"schema":"https://github.com/citation-style-language/schema/raw/master/csl-citation.json"}</w:instrText>
      </w:r>
      <w:r w:rsidR="009F2C9F" w:rsidRPr="00E97FC1">
        <w:rPr>
          <w:lang w:val="en-GB"/>
        </w:rPr>
        <w:fldChar w:fldCharType="separate"/>
      </w:r>
      <w:r w:rsidR="00E55873" w:rsidRPr="00E97FC1">
        <w:rPr>
          <w:noProof/>
          <w:lang w:val="en-GB"/>
        </w:rPr>
        <w:t xml:space="preserve">(Zickermann </w:t>
      </w:r>
      <w:r w:rsidR="00E55873" w:rsidRPr="00E97FC1">
        <w:rPr>
          <w:i/>
          <w:noProof/>
          <w:lang w:val="en-GB"/>
        </w:rPr>
        <w:t>et al</w:t>
      </w:r>
      <w:r w:rsidR="00E55873" w:rsidRPr="00E97FC1">
        <w:rPr>
          <w:noProof/>
          <w:lang w:val="en-GB"/>
        </w:rPr>
        <w:t>, 2015)</w:t>
      </w:r>
      <w:r w:rsidR="009F2C9F" w:rsidRPr="00E97FC1">
        <w:rPr>
          <w:lang w:val="en-GB"/>
        </w:rPr>
        <w:fldChar w:fldCharType="end"/>
      </w:r>
      <w:r w:rsidR="009F2C9F" w:rsidRPr="00E97FC1">
        <w:rPr>
          <w:lang w:val="en-GB"/>
        </w:rPr>
        <w:t xml:space="preserve">. </w:t>
      </w:r>
    </w:p>
    <w:p w14:paraId="5608CF65" w14:textId="28D691D6" w:rsidR="009F2C9F" w:rsidRPr="00E97FC1" w:rsidRDefault="009F2C9F" w:rsidP="00EB6E7F">
      <w:pPr>
        <w:ind w:firstLine="720"/>
        <w:rPr>
          <w:lang w:val="en-GB"/>
        </w:rPr>
      </w:pPr>
      <w:r w:rsidRPr="00E97FC1">
        <w:rPr>
          <w:lang w:val="en-GB"/>
        </w:rPr>
        <w:t>Later, with the emerging direct electron detectors for cryo-EM, it became easier to resolve structures of big molecules</w:t>
      </w:r>
      <w:r w:rsidR="00337638" w:rsidRPr="00E97FC1">
        <w:rPr>
          <w:lang w:val="en-GB"/>
        </w:rPr>
        <w:t xml:space="preserve"> </w:t>
      </w:r>
      <w:r w:rsidR="00337638" w:rsidRPr="00E97FC1">
        <w:rPr>
          <w:lang w:val="en-GB"/>
        </w:rPr>
        <w:fldChar w:fldCharType="begin" w:fldLock="1"/>
      </w:r>
      <w:r w:rsidR="00E55873" w:rsidRPr="00E97FC1">
        <w:rPr>
          <w:lang w:val="en-GB"/>
        </w:rPr>
        <w:instrText>ADDIN CSL_CITATION {"citationItems":[{"id":"ITEM-1","itemData":{"DOI":"10.1126/science.1251652","abstract":"Advances in detector technology and image processing are yielding high-resolution electron cryo-microscopy structures of biomolecules. [Also see Report by Amunts et al.] Precise knowledge of the structure of macromolecules in the cell is essential for understanding how they function. Structures of large macromolecules can now be obtained at near-atomic resolution by averaging thousands of electron microscope images recorded before radiation damage accumulates. This is what Amunts et al. have done in their research article on page 1485 of this issue (1), reporting the structure of the large subunit of the mitochondrial ribosome at 3.2 Å resolution by electron cryo-microscopy (cryo-EM). Together with other recent high-resolution cryo-EM structures (2?4) (see the figure), this achievement heralds the beginning of a new era in molecular biology, where structures at near-atomic resolution are no longer the prerogative of x-ray crystallography or nuclear magnetic resonance (NMR) spectroscopy.","author":[{"dropping-particle":"","family":"Kühlbrandt","given":"Werner","non-dropping-particle":"","parse-names":false,"suffix":""}],"container-title":"Science","id":"ITEM-1","issue":"6178","issued":{"date-parts":[["2014","3","28"]]},"note":"doi: 10.1126/science.1251652","page":"1443-1444","publisher":"American Association for the Advancement of Science","title":"The Resolution Revolution","type":"article-journal","volume":"343"},"uris":["http://www.mendeley.com/documents/?uuid=17f32498-8cba-4821-84d5-15afa19a64bd"]}],"mendeley":{"formattedCitation":"(Kühlbrandt, 2014)","plainTextFormattedCitation":"(Kühlbrandt, 2014)","previouslyFormattedCitation":"(Kühlbrandt, 2014)"},"properties":{"noteIndex":0},"schema":"https://github.com/citation-style-language/schema/raw/master/csl-citation.json"}</w:instrText>
      </w:r>
      <w:r w:rsidR="00337638" w:rsidRPr="00E97FC1">
        <w:rPr>
          <w:lang w:val="en-GB"/>
        </w:rPr>
        <w:fldChar w:fldCharType="separate"/>
      </w:r>
      <w:r w:rsidR="00E55873" w:rsidRPr="00E97FC1">
        <w:rPr>
          <w:noProof/>
          <w:lang w:val="en-GB"/>
        </w:rPr>
        <w:t>(Kühlbrandt, 2014)</w:t>
      </w:r>
      <w:r w:rsidR="00337638" w:rsidRPr="00E97FC1">
        <w:rPr>
          <w:lang w:val="en-GB"/>
        </w:rPr>
        <w:fldChar w:fldCharType="end"/>
      </w:r>
      <w:r w:rsidRPr="00E97FC1">
        <w:rPr>
          <w:lang w:val="en-GB"/>
        </w:rPr>
        <w:t xml:space="preserve">. The first </w:t>
      </w:r>
      <w:r w:rsidR="00AC2DE4" w:rsidRPr="00E97FC1">
        <w:rPr>
          <w:lang w:val="en-GB"/>
        </w:rPr>
        <w:t xml:space="preserve">high resolution structure of the entire mammalian complex was solved in 2016 </w:t>
      </w:r>
      <w:r w:rsidR="00AC2DE4" w:rsidRPr="00E97FC1">
        <w:rPr>
          <w:lang w:val="en-GB"/>
        </w:rPr>
        <w:fldChar w:fldCharType="begin" w:fldLock="1"/>
      </w:r>
      <w:r w:rsidR="00776703" w:rsidRPr="00E97FC1">
        <w:rPr>
          <w:lang w:val="en-GB"/>
        </w:rPr>
        <w:instrText>ADDIN CSL_CITATION {"citationItems":[{"id":"ITEM-1","itemData":{"ISSN":"1476-4687","author":[{"dropping-particle":"","family":"Fiedorczuk","given":"Karol","non-dropping-particle":"","parse-names":false,"suffix":""},{"dropping-particle":"","family":"Letts","given":"James A","non-dropping-particle":"","parse-names":false,"suffix":""},{"dropping-particle":"","family":"Degliesposti","given":"Gianluca","non-dropping-particle":"","parse-names":false,"suffix":""},{"dropping-particle":"","family":"Kaszuba","given":"Karol","non-dropping-particle":"","parse-names":false,"suffix":""},{"dropping-particle":"","family":"Skehel","given":"Mark","non-dropping-particle":"","parse-names":false,"suffix":""},{"dropping-particle":"","family":"Sazanov","given":"Leonid A","non-dropping-particle":"","parse-names":false,"suffix":""}],"container-title":"Nature","id":"ITEM-1","issue":"7625","issued":{"date-parts":[["2016"]]},"page":"406","publisher":"Nature Publishing Group","title":"Atomic structure of the entire mammalian mitochondrial complex I","type":"article-journal","volume":"538"},"uris":["http://www.mendeley.com/documents/?uuid=8b3dcc76-36b2-4f27-acff-eb0590adf89d"]}],"mendeley":{"formattedCitation":"(Fiedorczuk &lt;i&gt;et al&lt;/i&gt;, 2016)","plainTextFormattedCitation":"(Fiedorczuk et al, 2016)","previouslyFormattedCitation":"(Fiedorczuk &lt;i&gt;et al&lt;/i&gt;, 2016)"},"properties":{"noteIndex":0},"schema":"https://github.com/citation-style-language/schema/raw/master/csl-citation.json"}</w:instrText>
      </w:r>
      <w:r w:rsidR="00AC2DE4" w:rsidRPr="00E97FC1">
        <w:rPr>
          <w:lang w:val="en-GB"/>
        </w:rPr>
        <w:fldChar w:fldCharType="separate"/>
      </w:r>
      <w:r w:rsidR="00E55873" w:rsidRPr="00E97FC1">
        <w:rPr>
          <w:noProof/>
          <w:lang w:val="en-GB"/>
        </w:rPr>
        <w:t xml:space="preserve">(Fiedorczuk </w:t>
      </w:r>
      <w:r w:rsidR="00E55873" w:rsidRPr="00E97FC1">
        <w:rPr>
          <w:i/>
          <w:noProof/>
          <w:lang w:val="en-GB"/>
        </w:rPr>
        <w:t>et al</w:t>
      </w:r>
      <w:r w:rsidR="00E55873" w:rsidRPr="00E97FC1">
        <w:rPr>
          <w:noProof/>
          <w:lang w:val="en-GB"/>
        </w:rPr>
        <w:t>, 2016)</w:t>
      </w:r>
      <w:r w:rsidR="00AC2DE4" w:rsidRPr="00E97FC1">
        <w:rPr>
          <w:lang w:val="en-GB"/>
        </w:rPr>
        <w:fldChar w:fldCharType="end"/>
      </w:r>
      <w:r w:rsidR="00AC2DE4" w:rsidRPr="00E97FC1">
        <w:rPr>
          <w:lang w:val="en-GB"/>
        </w:rPr>
        <w:t xml:space="preserve">. This was followed by higher resolution structures including structures in different states </w:t>
      </w:r>
      <w:r w:rsidR="00AC2DE4" w:rsidRPr="00E97FC1">
        <w:rPr>
          <w:lang w:val="en-GB"/>
        </w:rPr>
        <w:fldChar w:fldCharType="begin" w:fldLock="1"/>
      </w:r>
      <w:r w:rsidR="00776703" w:rsidRPr="00E97FC1">
        <w:rPr>
          <w:lang w:val="en-GB"/>
        </w:rPr>
        <w:instrText>ADDIN CSL_CITATION {"citationItems":[{"id":"ITEM-1","itemData":{"DOI":"10.1126/science.abc4209","ISSN":"1095-9203 (Electronic)","PMID":"32972993","abstract":"Mitochondrial complex I couples NADH:ubiquinone oxidoreduction to proton pumping by  an unknown mechanism. Here, we present cryo-electron microscopy structures of ovine complex I in five different conditions, including turnover, at resolutions up to 2.3 to 2.5 angstroms. Resolved water molecules allowed us to experimentally define the proton translocation pathways. Quinone binds at three positions along the quinone cavity, as does the inhibitor rotenone that also binds within subunit ND4. Dramatic conformational changes around the quinone cavity couple the redox reaction to proton translocation during open-to-closed state transitions of the enzyme. In the induced deactive state, the open conformation is arrested by the ND6 subunit. We propose a detailed molecular coupling mechanism of complex I, which is an unexpected combination of conformational changes and electrostatic interactions.","author":[{"dropping-particle":"","family":"Kampjut","given":"Domen","non-dropping-particle":"","parse-names":false,"suffix":""},{"dropping-particle":"","family":"Sazanov","given":"Leonid A","non-dropping-particle":"","parse-names":false,"suffix":""}],"container-title":"Science (New York, N.Y.)","id":"ITEM-1","issue":"6516","issued":{"date-parts":[["2020","10"]]},"language":"eng","publisher-place":"United States","title":"The coupling mechanism of mammalian respiratory complex I.","type":"article-journal","volume":"370"},"uris":["http://www.mendeley.com/documents/?uuid=7ba13959-8c17-4313-8227-becdec77971c"]},{"id":"ITEM-2","itemData":{"DOI":"10.1038/s41594-020-0473-x","ISSN":"1545-9985 (Electronic)","PMID":"32747785","abstract":"Mitochondrial complex I powers ATP synthesis by oxidative phosphorylation,  exploiting the energy from ubiquinone reduction by NADH to drive protons across the energy-transducing inner membrane. Recent cryo-EM analyses of mammalian and yeast complex I have revolutionized structural and mechanistic knowledge and defined structures in different functional states. Here, we describe a 2.7-Å-resolution structure of the 42-subunit complex I from the yeast Yarrowia lipolytica containing 275 structured water molecules. We identify a proton-relay pathway for ubiquinone reduction and water molecules that connect mechanistically crucial elements and constitute proton-translocation pathways through the membrane. By comparison with known structures, we deconvolute structural changes governing the mammalian 'deactive transition' (relevant to ischemia-reperfusion injury) and their effects on the ubiquinone-binding site and a connected cavity in ND1. Our structure thus provides important insights into catalysis by this enigmatic respiratory machine.","author":[{"dropping-particle":"","family":"Grba","given":"Daniel N","non-dropping-particle":"","parse-names":false,"suffix":""},{"dropping-particle":"","family":"Hirst","given":"Judy","non-dropping-particle":"","parse-names":false,"suffix":""}],"container-title":"Nature structural &amp; molecular biology","id":"ITEM-2","issued":{"date-parts":[["2020","8"]]},"language":"eng","publisher-place":"United States","title":"Mitochondrial complex I structure reveals ordered water molecules for catalysis and  proton translocation.","type":"article-journal"},"uris":["http://www.mendeley.com/documents/?uuid=408ff879-464e-4956-a74e-90e080520fd2"]},{"id":"ITEM-3","itemData":{"DOI":"10.1126/sciadv.aax9484","ISSN":"2375-2548 (Electronic)","PMID":"31844670","abstract":"Respiratory complex I is a redox-driven proton pump, accounting for a large part of  the electrochemical gradient that powers mitochondrial adenosine triphosphate synthesis. Complex I dysfunction is associated with severe human diseases. Assembly of the one-megadalton complex I in the inner mitochondrial membrane requires assembly factors and chaperones. We have determined the structure of complex I from the aerobic yeast Yarrowia lipolytica by electron cryo-microscopy at 3.2-Å resolution. A ubiquinone molecule was identified in the access path to the active site. The electron cryo-microscopy structure indicated an unusual lipid-protein arrangement at the junction of membrane and matrix arms that was confirmed by molecular simulations. The structure of a complex I mutant and an assembly intermediate provide detailed molecular insights into the cause of a hereditary complex I-linked disease and complex I assembly in the inner mitochondrial membrane.","author":[{"dropping-particle":"","family":"Parey","given":"Kristian","non-dropping-particle":"","parse-names":false,"suffix":""},{"dropping-particle":"","family":"Haapanen","given":"Outi","non-dropping-particle":"","parse-names":false,"suffix":""},{"dropping-particle":"","family":"Sharma","given":"Vivek","non-dropping-particle":"","parse-names":false,"suffix":""},{"dropping-particle":"","family":"Köfeler","given":"Harald","non-dropping-particle":"","parse-names":false,"suffix":""},{"dropping-particle":"","family":"Züllig","given":"Thomas","non-dropping-particle":"","parse-names":false,"suffix":""},{"dropping-particle":"","family":"Prinz","given":"Simone","non-dropping-particle":"","parse-names":false,"suffix":""},{"dropping-particle":"","family":"Siegmund","given":"Karin","non-dropping-particle":"","parse-names":false,"suffix":""},{"dropping-particle":"","family":"Wittig","given":"Ilka","non-dropping-particle":"","parse-names":false,"suffix":""},{"dropping-particle":"","family":"Mills","given":"Deryck J","non-dropping-particle":"","parse-names":false,"suffix":""},{"dropping-particle":"","family":"Vonck","given":"Janet","non-dropping-particle":"","parse-names":false,"suffix":""},{"dropping-particle":"","family":"Kühlbrandt","given":"Werner","non-dropping-particle":"","parse-names":false,"suffix":""},{"dropping-particle":"","family":"Zickermann","given":"Volker","non-dropping-particle":"","parse-names":false,"suffix":""}],"container-title":"Science advances","id":"ITEM-3","issue":"12","issued":{"date-parts":[["2019","12"]]},"language":"eng","page":"eaax9484","title":"High-resolution cryo-EM structures of respiratory complex I: Mechanism, assembly,  and disease.","type":"article-journal","volume":"5"},"uris":["http://www.mendeley.com/documents/?uuid=709c02a5-2f50-4a90-89ee-535a31177d79"]}],"mendeley":{"formattedCitation":"(Kampjut &amp; Sazanov, 2020; Grba &amp; Hirst, 2020; Parey &lt;i&gt;et al&lt;/i&gt;, 2019)","plainTextFormattedCitation":"(Kampjut &amp; Sazanov, 2020; Grba &amp; Hirst, 2020; Parey et al, 2019)","previouslyFormattedCitation":"(Kampjut &amp; Sazanov, 2020; Grba &amp; Hirst, 2020; Parey &lt;i&gt;et al&lt;/i&gt;, 2019)"},"properties":{"noteIndex":0},"schema":"https://github.com/citation-style-language/schema/raw/master/csl-citation.json"}</w:instrText>
      </w:r>
      <w:r w:rsidR="00AC2DE4" w:rsidRPr="00E97FC1">
        <w:rPr>
          <w:lang w:val="en-GB"/>
        </w:rPr>
        <w:fldChar w:fldCharType="separate"/>
      </w:r>
      <w:r w:rsidR="00E55873" w:rsidRPr="00E97FC1">
        <w:rPr>
          <w:noProof/>
          <w:lang w:val="en-GB"/>
        </w:rPr>
        <w:t xml:space="preserve">(Kampjut &amp; Sazanov, 2020; Grba &amp; Hirst, 2020; Parey </w:t>
      </w:r>
      <w:r w:rsidR="00E55873" w:rsidRPr="00E97FC1">
        <w:rPr>
          <w:i/>
          <w:noProof/>
          <w:lang w:val="en-GB"/>
        </w:rPr>
        <w:t>et al</w:t>
      </w:r>
      <w:r w:rsidR="00E55873" w:rsidRPr="00E97FC1">
        <w:rPr>
          <w:noProof/>
          <w:lang w:val="en-GB"/>
        </w:rPr>
        <w:t>, 2019)</w:t>
      </w:r>
      <w:r w:rsidR="00AC2DE4" w:rsidRPr="00E97FC1">
        <w:rPr>
          <w:lang w:val="en-GB"/>
        </w:rPr>
        <w:fldChar w:fldCharType="end"/>
      </w:r>
      <w:r w:rsidR="00AC2DE4" w:rsidRPr="00E97FC1">
        <w:rPr>
          <w:lang w:val="en-GB"/>
        </w:rPr>
        <w:t>.</w:t>
      </w:r>
    </w:p>
    <w:p w14:paraId="2B0928F0" w14:textId="77777777" w:rsidR="00C017B5" w:rsidRPr="00E97FC1" w:rsidRDefault="00C017B5" w:rsidP="002730C3">
      <w:pPr>
        <w:pStyle w:val="Heading3"/>
      </w:pPr>
      <w:bookmarkStart w:id="55" w:name="_Toc132639988"/>
      <w:r w:rsidRPr="00E97FC1">
        <w:t>Structural states of complex I</w:t>
      </w:r>
      <w:bookmarkEnd w:id="55"/>
    </w:p>
    <w:p w14:paraId="19745176" w14:textId="6970CC0B" w:rsidR="0036464D" w:rsidRPr="00E97FC1" w:rsidRDefault="006324A2" w:rsidP="006324A2">
      <w:pPr>
        <w:pStyle w:val="ListParagraph"/>
        <w:spacing w:line="360" w:lineRule="auto"/>
        <w:ind w:left="0" w:firstLine="284"/>
      </w:pPr>
      <w:r w:rsidRPr="00E97FC1">
        <w:t>Structures of ovine CI (</w:t>
      </w:r>
      <w:r w:rsidRPr="00E97FC1">
        <w:rPr>
          <w:i/>
        </w:rPr>
        <w:t>Ov</w:t>
      </w:r>
      <w:r w:rsidRPr="00E97FC1">
        <w:t>CI)</w:t>
      </w:r>
      <w:r w:rsidR="00322C2A" w:rsidRPr="00E97FC1">
        <w:t xml:space="preserve"> were solved</w:t>
      </w:r>
      <w:r w:rsidRPr="00E97FC1">
        <w:t xml:space="preserve"> </w:t>
      </w:r>
      <w:r w:rsidR="00F44255" w:rsidRPr="00E97FC1">
        <w:t xml:space="preserve">at high resolution, visualising water molecules, and </w:t>
      </w:r>
      <w:r w:rsidRPr="00E97FC1">
        <w:t>in several redox states</w:t>
      </w:r>
      <w:r w:rsidR="00322C2A" w:rsidRPr="00E97FC1">
        <w:t xml:space="preserve"> including turnover, </w:t>
      </w:r>
      <w:r w:rsidR="00F44255" w:rsidRPr="00E97FC1">
        <w:t xml:space="preserve">which </w:t>
      </w:r>
      <w:r w:rsidR="00322C2A" w:rsidRPr="00E97FC1">
        <w:t>allowed</w:t>
      </w:r>
      <w:r w:rsidRPr="00E97FC1">
        <w:t xml:space="preserve"> </w:t>
      </w:r>
      <w:r w:rsidR="00E97FC1">
        <w:t xml:space="preserve">authors </w:t>
      </w:r>
      <w:r w:rsidRPr="00E97FC1">
        <w:t xml:space="preserve">to propose </w:t>
      </w:r>
      <w:r w:rsidR="00322C2A" w:rsidRPr="00E97FC1">
        <w:t>the</w:t>
      </w:r>
      <w:r w:rsidRPr="00E97FC1">
        <w:t xml:space="preserve"> mechanism of mammalian complex I involving cycling between the open and closed states</w:t>
      </w:r>
      <w:hyperlink w:anchor="_ENREF_1" w:tooltip="Kampjut, 2020 #1543" w:history="1"/>
      <w:r w:rsidR="00322C2A" w:rsidRPr="00E97FC1">
        <w:t xml:space="preserve"> </w:t>
      </w:r>
      <w:r w:rsidR="00322C2A" w:rsidRPr="00E97FC1">
        <w:fldChar w:fldCharType="begin" w:fldLock="1"/>
      </w:r>
      <w:r w:rsidR="00E55873" w:rsidRPr="00E97FC1">
        <w:instrText>ADDIN CSL_CITATION {"citationItems":[{"id":"ITEM-1","itemData":{"DOI":"10.1126/science.abc4209","ISSN":"1095-9203 (Electronic)","PMID":"32972993","abstract":"Mitochondrial complex I couples NADH:ubiquinone oxidoreduction to proton pumping by  an unknown mechanism. Here, we present cryo-electron microscopy structures of ovine complex I in five different conditions, including turnover, at resolutions up to 2.3 to 2.5 angstroms. Resolved water molecules allowed us to experimentally define the proton translocation pathways. Quinone binds at three positions along the quinone cavity, as does the inhibitor rotenone that also binds within subunit ND4. Dramatic conformational changes around the quinone cavity couple the redox reaction to proton translocation during open-to-closed state transitions of the enzyme. In the induced deactive state, the open conformation is arrested by the ND6 subunit. We propose a detailed molecular coupling mechanism of complex I, which is an unexpected combination of conformational changes and electrostatic interactions.","author":[{"dropping-particle":"","family":"Kampjut","given":"Domen","non-dropping-particle":"","parse-names":false,"suffix":""},{"dropping-particle":"","family":"Sazanov","given":"Leonid A","non-dropping-particle":"","parse-names":false,"suffix":""}],"container-title":"Science (New York, N.Y.)","id":"ITEM-1","issue":"6516","issued":{"date-parts":[["2020","10"]]},"language":"eng","publisher-place":"United States","title":"The coupling mechanism of mammalian respiratory complex I.","type":"article-journal","volume":"370"},"uris":["http://www.mendeley.com/documents/?uuid=7ba13959-8c17-4313-8227-becdec77971c"]}],"mendeley":{"formattedCitation":"(Kampjut &amp; Sazanov, 2020)","plainTextFormattedCitation":"(Kampjut &amp; Sazanov, 2020)","previouslyFormattedCitation":"(Kampjut &amp; Sazanov, 2020)"},"properties":{"noteIndex":0},"schema":"https://github.com/citation-style-language/schema/raw/master/csl-citation.json"}</w:instrText>
      </w:r>
      <w:r w:rsidR="00322C2A" w:rsidRPr="00E97FC1">
        <w:fldChar w:fldCharType="separate"/>
      </w:r>
      <w:r w:rsidR="00E55873" w:rsidRPr="00E97FC1">
        <w:rPr>
          <w:noProof/>
        </w:rPr>
        <w:t>(Kampjut &amp; Sazanov, 2020)</w:t>
      </w:r>
      <w:r w:rsidR="00322C2A" w:rsidRPr="00E97FC1">
        <w:fldChar w:fldCharType="end"/>
      </w:r>
      <w:r w:rsidRPr="00E97FC1">
        <w:t xml:space="preserve">. </w:t>
      </w:r>
    </w:p>
    <w:p w14:paraId="1E65E047" w14:textId="77777777" w:rsidR="0036464D" w:rsidRPr="00E97FC1" w:rsidRDefault="0036464D" w:rsidP="006324A2">
      <w:pPr>
        <w:pStyle w:val="ListParagraph"/>
        <w:spacing w:line="360" w:lineRule="auto"/>
        <w:ind w:left="0" w:firstLine="284"/>
      </w:pPr>
      <w:r w:rsidRPr="00E97FC1">
        <w:rPr>
          <w:noProof/>
          <w:lang w:val="en-US"/>
        </w:rPr>
        <w:drawing>
          <wp:inline distT="0" distB="0" distL="0" distR="0" wp14:anchorId="46A45572" wp14:editId="296EE1A3">
            <wp:extent cx="5731510" cy="3106532"/>
            <wp:effectExtent l="0" t="0" r="2540" b="0"/>
            <wp:docPr id="2" name="Picture 2" descr="C:\Users\vkravchu\Desktop\PhD thesis\Figs\Op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vkravchu\Desktop\PhD thesis\Figs\OpCl.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1510" cy="3106532"/>
                    </a:xfrm>
                    <a:prstGeom prst="rect">
                      <a:avLst/>
                    </a:prstGeom>
                    <a:noFill/>
                    <a:ln>
                      <a:noFill/>
                    </a:ln>
                  </pic:spPr>
                </pic:pic>
              </a:graphicData>
            </a:graphic>
          </wp:inline>
        </w:drawing>
      </w:r>
    </w:p>
    <w:p w14:paraId="4559D76A" w14:textId="4F7953C5" w:rsidR="0036464D" w:rsidRPr="00E97FC1" w:rsidRDefault="0036464D" w:rsidP="0036464D">
      <w:pPr>
        <w:pStyle w:val="Caption"/>
      </w:pPr>
      <w:bookmarkStart w:id="56" w:name="_Toc121834100"/>
      <w:bookmarkStart w:id="57" w:name="_Toc128136616"/>
      <w:r w:rsidRPr="00E97FC1">
        <w:t xml:space="preserve">Figure </w:t>
      </w:r>
      <w:r w:rsidR="00CC7652">
        <w:fldChar w:fldCharType="begin"/>
      </w:r>
      <w:r w:rsidR="00CC7652">
        <w:instrText xml:space="preserve"> STYLEREF 1 \s </w:instrText>
      </w:r>
      <w:r w:rsidR="00CC7652">
        <w:fldChar w:fldCharType="separate"/>
      </w:r>
      <w:r w:rsidR="00ED1816">
        <w:rPr>
          <w:noProof/>
        </w:rPr>
        <w:t>1</w:t>
      </w:r>
      <w:r w:rsidR="00CC7652">
        <w:fldChar w:fldCharType="end"/>
      </w:r>
      <w:r w:rsidR="00CC7652">
        <w:t>.</w:t>
      </w:r>
      <w:r w:rsidR="00CC7652">
        <w:fldChar w:fldCharType="begin"/>
      </w:r>
      <w:r w:rsidR="00CC7652">
        <w:instrText xml:space="preserve"> SEQ Figure \* ARABIC \s 1 </w:instrText>
      </w:r>
      <w:r w:rsidR="00CC7652">
        <w:fldChar w:fldCharType="separate"/>
      </w:r>
      <w:r w:rsidR="00ED1816">
        <w:rPr>
          <w:noProof/>
        </w:rPr>
        <w:t>10</w:t>
      </w:r>
      <w:r w:rsidR="00CC7652">
        <w:fldChar w:fldCharType="end"/>
      </w:r>
      <w:r w:rsidRPr="00E97FC1">
        <w:t xml:space="preserve"> Conformational dynamics of open-to-closed transitions in mammalian complex I</w:t>
      </w:r>
      <w:bookmarkEnd w:id="56"/>
      <w:bookmarkEnd w:id="57"/>
    </w:p>
    <w:p w14:paraId="22A9CC42" w14:textId="3876D63C" w:rsidR="00EF323C" w:rsidRPr="00E97FC1" w:rsidRDefault="00580290" w:rsidP="00EF323C">
      <w:pPr>
        <w:rPr>
          <w:i/>
          <w:sz w:val="20"/>
          <w:lang w:val="en-GB"/>
        </w:rPr>
      </w:pPr>
      <w:r>
        <w:rPr>
          <w:i/>
          <w:sz w:val="20"/>
          <w:lang w:val="en-GB"/>
        </w:rPr>
        <w:t>C</w:t>
      </w:r>
      <w:r w:rsidRPr="00580290">
        <w:rPr>
          <w:i/>
          <w:sz w:val="20"/>
          <w:lang w:val="en-GB"/>
        </w:rPr>
        <w:t>onformational dynamics of the</w:t>
      </w:r>
      <w:r w:rsidR="0024228F">
        <w:rPr>
          <w:i/>
          <w:sz w:val="20"/>
          <w:lang w:val="en-GB"/>
        </w:rPr>
        <w:t xml:space="preserve"> catalytic</w:t>
      </w:r>
      <w:r w:rsidRPr="00580290">
        <w:rPr>
          <w:i/>
          <w:sz w:val="20"/>
          <w:lang w:val="en-GB"/>
        </w:rPr>
        <w:t xml:space="preserve"> site loops. Loops</w:t>
      </w:r>
      <w:r w:rsidR="0024228F">
        <w:rPr>
          <w:i/>
          <w:sz w:val="20"/>
          <w:lang w:val="en-GB"/>
        </w:rPr>
        <w:t xml:space="preserve"> adopt different conformations upon complex I transition from open to closed state</w:t>
      </w:r>
      <w:r w:rsidRPr="00580290">
        <w:rPr>
          <w:i/>
          <w:sz w:val="20"/>
          <w:lang w:val="en-GB"/>
        </w:rPr>
        <w:t>. Residue numbers indicate the start</w:t>
      </w:r>
      <w:r w:rsidR="0024228F">
        <w:rPr>
          <w:i/>
          <w:sz w:val="20"/>
          <w:lang w:val="en-GB"/>
        </w:rPr>
        <w:t xml:space="preserve"> and end of the loops. The terminal N2 and the rest</w:t>
      </w:r>
      <w:r w:rsidRPr="00580290">
        <w:rPr>
          <w:i/>
          <w:sz w:val="20"/>
          <w:lang w:val="en-GB"/>
        </w:rPr>
        <w:t xml:space="preserve"> iron-sulfur cluster</w:t>
      </w:r>
      <w:r w:rsidR="0024228F">
        <w:rPr>
          <w:i/>
          <w:sz w:val="20"/>
          <w:lang w:val="en-GB"/>
        </w:rPr>
        <w:t>s</w:t>
      </w:r>
      <w:r w:rsidRPr="00580290">
        <w:rPr>
          <w:i/>
          <w:sz w:val="20"/>
          <w:lang w:val="en-GB"/>
        </w:rPr>
        <w:t xml:space="preserve"> sho</w:t>
      </w:r>
      <w:r w:rsidR="0024228F">
        <w:rPr>
          <w:i/>
          <w:sz w:val="20"/>
          <w:lang w:val="en-GB"/>
        </w:rPr>
        <w:t>wn as orange and yellow spheres</w:t>
      </w:r>
      <w:r w:rsidRPr="00580290">
        <w:rPr>
          <w:i/>
          <w:sz w:val="20"/>
          <w:lang w:val="en-GB"/>
        </w:rPr>
        <w:t>.</w:t>
      </w:r>
      <w:r w:rsidR="0024228F">
        <w:rPr>
          <w:i/>
          <w:sz w:val="20"/>
          <w:lang w:val="en-GB"/>
        </w:rPr>
        <w:t xml:space="preserve"> </w:t>
      </w:r>
      <w:r w:rsidR="00EF323C" w:rsidRPr="00E97FC1">
        <w:rPr>
          <w:i/>
          <w:sz w:val="20"/>
          <w:lang w:val="en-GB"/>
        </w:rPr>
        <w:t>Figure ad</w:t>
      </w:r>
      <w:r w:rsidR="00D07557" w:rsidRPr="00E97FC1">
        <w:rPr>
          <w:i/>
          <w:sz w:val="20"/>
          <w:lang w:val="en-GB"/>
        </w:rPr>
        <w:t>a</w:t>
      </w:r>
      <w:r w:rsidR="00EF323C" w:rsidRPr="00E97FC1">
        <w:rPr>
          <w:i/>
          <w:sz w:val="20"/>
          <w:lang w:val="en-GB"/>
        </w:rPr>
        <w:t xml:space="preserve">pted from </w:t>
      </w:r>
      <w:r w:rsidR="00EF323C" w:rsidRPr="00E97FC1">
        <w:rPr>
          <w:i/>
          <w:sz w:val="20"/>
          <w:lang w:val="en-GB"/>
        </w:rPr>
        <w:fldChar w:fldCharType="begin" w:fldLock="1"/>
      </w:r>
      <w:r w:rsidR="00E55873" w:rsidRPr="00E97FC1">
        <w:rPr>
          <w:i/>
          <w:sz w:val="20"/>
          <w:lang w:val="en-GB"/>
        </w:rPr>
        <w:instrText>ADDIN CSL_CITATION {"citationItems":[{"id":"ITEM-1","itemData":{"DOI":"10.1126/science.abc4209","ISSN":"1095-9203 (Electronic)","PMID":"32972993","abstract":"Mitochondrial complex I couples NADH:ubiquinone oxidoreduction to proton pumping by  an unknown mechanism. Here, we present cryo-electron microscopy structures of ovine complex I in five different conditions, including turnover, at resolutions up to 2.3 to 2.5 angstroms. Resolved water molecules allowed us to experimentally define the proton translocation pathways. Quinone binds at three positions along the quinone cavity, as does the inhibitor rotenone that also binds within subunit ND4. Dramatic conformational changes around the quinone cavity couple the redox reaction to proton translocation during open-to-closed state transitions of the enzyme. In the induced deactive state, the open conformation is arrested by the ND6 subunit. We propose a detailed molecular coupling mechanism of complex I, which is an unexpected combination of conformational changes and electrostatic interactions.","author":[{"dropping-particle":"","family":"Kampjut","given":"Domen","non-dropping-particle":"","parse-names":false,"suffix":""},{"dropping-particle":"","family":"Sazanov","given":"Leonid A","non-dropping-particle":"","parse-names":false,"suffix":""}],"container-title":"Science (New York, N.Y.)","id":"ITEM-1","issue":"6516","issued":{"date-parts":[["2020","10"]]},"language":"eng","publisher-place":"United States","title":"The coupling mechanism of mammalian respiratory complex I.","type":"article-journal","volume":"370"},"uris":["http://www.mendeley.com/documents/?uuid=7ba13959-8c17-4313-8227-becdec77971c"]}],"mendeley":{"formattedCitation":"(Kampjut &amp; Sazanov, 2020)","plainTextFormattedCitation":"(Kampjut &amp; Sazanov, 2020)","previouslyFormattedCitation":"(Kampjut &amp; Sazanov, 2020)"},"properties":{"noteIndex":0},"schema":"https://github.com/citation-style-language/schema/raw/master/csl-citation.json"}</w:instrText>
      </w:r>
      <w:r w:rsidR="00EF323C" w:rsidRPr="00E97FC1">
        <w:rPr>
          <w:i/>
          <w:sz w:val="20"/>
          <w:lang w:val="en-GB"/>
        </w:rPr>
        <w:fldChar w:fldCharType="separate"/>
      </w:r>
      <w:r w:rsidR="00E55873" w:rsidRPr="00E97FC1">
        <w:rPr>
          <w:noProof/>
          <w:sz w:val="20"/>
          <w:lang w:val="en-GB"/>
        </w:rPr>
        <w:t>(Kampjut &amp; Sazanov, 2020)</w:t>
      </w:r>
      <w:r w:rsidR="00EF323C" w:rsidRPr="00E97FC1">
        <w:rPr>
          <w:i/>
          <w:sz w:val="20"/>
          <w:lang w:val="en-GB"/>
        </w:rPr>
        <w:fldChar w:fldCharType="end"/>
      </w:r>
    </w:p>
    <w:p w14:paraId="670DD624" w14:textId="77777777" w:rsidR="00EF323C" w:rsidRPr="00E97FC1" w:rsidRDefault="00EF323C" w:rsidP="00EF323C">
      <w:pPr>
        <w:rPr>
          <w:i/>
          <w:sz w:val="20"/>
          <w:lang w:val="en-GB"/>
        </w:rPr>
      </w:pPr>
    </w:p>
    <w:p w14:paraId="18DD1EF0" w14:textId="3D0451C0" w:rsidR="006324A2" w:rsidRPr="00E97FC1" w:rsidRDefault="006324A2" w:rsidP="006324A2">
      <w:pPr>
        <w:pStyle w:val="ListParagraph"/>
        <w:spacing w:line="360" w:lineRule="auto"/>
        <w:ind w:left="0" w:firstLine="284"/>
      </w:pPr>
      <w:r w:rsidRPr="00E97FC1">
        <w:t>The opening comprises unfolding of key conserved loops around Q cavity, including NuoCD</w:t>
      </w:r>
      <w:r w:rsidR="0036464D" w:rsidRPr="00E97FC1">
        <w:t xml:space="preserve"> (49kDa)</w:t>
      </w:r>
      <w:r w:rsidRPr="00E97FC1">
        <w:t xml:space="preserve"> 220-230 β1-β2 loop, NuoB</w:t>
      </w:r>
      <w:r w:rsidR="0036464D" w:rsidRPr="00E97FC1">
        <w:t xml:space="preserve"> (PSST)</w:t>
      </w:r>
      <w:r w:rsidRPr="00E97FC1">
        <w:t xml:space="preserve"> 83-90 loop and NuoH</w:t>
      </w:r>
      <w:r w:rsidR="0036464D" w:rsidRPr="00E97FC1">
        <w:t xml:space="preserve"> (ND1)</w:t>
      </w:r>
      <w:r w:rsidRPr="00E97FC1">
        <w:t xml:space="preserve"> 208-230 TM5-6 loop, as well as PA/MA interface-flanking NuoA</w:t>
      </w:r>
      <w:r w:rsidR="0036464D" w:rsidRPr="00E97FC1">
        <w:t xml:space="preserve"> (ND3)</w:t>
      </w:r>
      <w:r w:rsidRPr="00E97FC1">
        <w:t xml:space="preserve"> 41-62 TM1-2 loop</w:t>
      </w:r>
      <w:r w:rsidR="0036464D" w:rsidRPr="00E97FC1">
        <w:t xml:space="preserve"> (</w:t>
      </w:r>
      <w:r w:rsidR="0036464D" w:rsidRPr="00CC7652">
        <w:t>Figure 1.</w:t>
      </w:r>
      <w:r w:rsidR="00F44255" w:rsidRPr="00CC7652">
        <w:t>10</w:t>
      </w:r>
      <w:r w:rsidR="0036464D" w:rsidRPr="00E97FC1">
        <w:t>)</w:t>
      </w:r>
      <w:r w:rsidRPr="00E97FC1">
        <w:t xml:space="preserve">. Quinone binds in the open state, where expanded Q cavity facilitates quinone movement, but the reduction of quinone happens only in the closed state, when the cavity tightly engulfs the quinone. The transition to the closed state involves the striking rotation of the key </w:t>
      </w:r>
      <w:r w:rsidRPr="00E97FC1">
        <w:rPr>
          <w:vertAlign w:val="subscript"/>
        </w:rPr>
        <w:t>J</w:t>
      </w:r>
      <w:r w:rsidRPr="00E97FC1">
        <w:t>TM3 (prefix indicates</w:t>
      </w:r>
      <w:r w:rsidR="00F44255" w:rsidRPr="00E97FC1">
        <w:t>, for simplicity,</w:t>
      </w:r>
      <w:r w:rsidRPr="00E97FC1">
        <w:t xml:space="preserve"> </w:t>
      </w:r>
      <w:r w:rsidRPr="00E97FC1">
        <w:rPr>
          <w:i/>
        </w:rPr>
        <w:t>E. coli</w:t>
      </w:r>
      <w:r w:rsidRPr="00E97FC1">
        <w:t xml:space="preserve"> </w:t>
      </w:r>
      <w:r w:rsidR="00F44255" w:rsidRPr="00E97FC1">
        <w:t xml:space="preserve">nomenclature </w:t>
      </w:r>
      <w:r w:rsidRPr="00E97FC1">
        <w:t xml:space="preserve">subunit), so that its </w:t>
      </w:r>
      <w:r w:rsidRPr="00E97FC1">
        <w:rPr>
          <w:rFonts w:ascii="Symbol" w:hAnsi="Symbol"/>
        </w:rPr>
        <w:t></w:t>
      </w:r>
      <w:r w:rsidRPr="00E97FC1">
        <w:t>-bulge disappears. This leads to the formation of water wire from the Q site towards</w:t>
      </w:r>
      <w:r w:rsidR="00AD2FCD" w:rsidRPr="00E97FC1">
        <w:t xml:space="preserve"> antiporter-like subunits</w:t>
      </w:r>
      <w:r w:rsidRPr="00E97FC1">
        <w:t xml:space="preserve"> </w:t>
      </w:r>
      <w:r w:rsidR="00AD2FCD" w:rsidRPr="00E97FC1">
        <w:t>(</w:t>
      </w:r>
      <w:r w:rsidRPr="00E97FC1">
        <w:t>ALS</w:t>
      </w:r>
      <w:r w:rsidR="00AD2FCD" w:rsidRPr="00E97FC1">
        <w:t>)</w:t>
      </w:r>
      <w:r w:rsidRPr="00E97FC1">
        <w:t xml:space="preserve"> so that the protons for Q reduction come from the central axis. This brings redox “charge action” into ALS, initiating proton pumping, driven purely electrostatically</w:t>
      </w:r>
      <w:r w:rsidR="007F36C4" w:rsidRPr="00E97FC1">
        <w:t xml:space="preserve"> since </w:t>
      </w:r>
      <w:r w:rsidR="00F44255" w:rsidRPr="00E97FC1">
        <w:t>no</w:t>
      </w:r>
      <w:r w:rsidRPr="00E97FC1">
        <w:t xml:space="preserve"> conformational changes </w:t>
      </w:r>
      <w:r w:rsidR="00F44255" w:rsidRPr="00E97FC1">
        <w:t xml:space="preserve">were observed </w:t>
      </w:r>
      <w:r w:rsidRPr="00E97FC1">
        <w:t xml:space="preserve">within ALS. </w:t>
      </w:r>
      <w:r w:rsidR="00F44255" w:rsidRPr="00E97FC1">
        <w:t>It was also</w:t>
      </w:r>
      <w:r w:rsidRPr="00E97FC1">
        <w:t xml:space="preserve"> tentatively suggested</w:t>
      </w:r>
      <w:r w:rsidR="00F44255" w:rsidRPr="00E97FC1">
        <w:t>, on the basis of water molecules distribution,</w:t>
      </w:r>
      <w:r w:rsidRPr="00E97FC1">
        <w:t xml:space="preserve"> that a proton pathway to the periplasm is formed only in the distal ALS NuoL. </w:t>
      </w:r>
    </w:p>
    <w:p w14:paraId="75F89A53" w14:textId="359322B3" w:rsidR="006324A2" w:rsidRPr="00E97FC1" w:rsidRDefault="006324A2" w:rsidP="006324A2">
      <w:pPr>
        <w:pStyle w:val="ListParagraph"/>
        <w:spacing w:line="360" w:lineRule="auto"/>
        <w:ind w:left="0" w:firstLine="284"/>
      </w:pPr>
      <w:r w:rsidRPr="00E97FC1">
        <w:t>This radically novel mechanism raised debates and a prolif</w:t>
      </w:r>
      <w:r w:rsidR="00322C2A" w:rsidRPr="00E97FC1">
        <w:t xml:space="preserve">eration of alternative proposals   </w:t>
      </w:r>
      <w:r w:rsidR="00942501" w:rsidRPr="00E97FC1">
        <w:fldChar w:fldCharType="begin" w:fldLock="1"/>
      </w:r>
      <w:r w:rsidR="00776703" w:rsidRPr="00E97FC1">
        <w:instrText>ADDIN CSL_CITATION {"citationItems":[{"id":"ITEM-1","itemData":{"DOI":"10.1038/s41594-020-0473-x","ISSN":"1545-9985 (Electronic)","PMID":"32747785","abstract":"Mitochondrial complex I powers ATP synthesis by oxidative phosphorylation,  exploiting the energy from ubiquinone reduction by NADH to drive protons across the energy-transducing inner membrane. Recent cryo-EM analyses of mammalian and yeast complex I have revolutionized structural and mechanistic knowledge and defined structures in different functional states. Here, we describe a 2.7-Å-resolution structure of the 42-subunit complex I from the yeast Yarrowia lipolytica containing 275 structured water molecules. We identify a proton-relay pathway for ubiquinone reduction and water molecules that connect mechanistically crucial elements and constitute proton-translocation pathways through the membrane. By comparison with known structures, we deconvolute structural changes governing the mammalian 'deactive transition' (relevant to ischemia-reperfusion injury) and their effects on the ubiquinone-binding site and a connected cavity in ND1. Our structure thus provides important insights into catalysis by this enigmatic respiratory machine.","author":[{"dropping-particle":"","family":"Grba","given":"Daniel N","non-dropping-particle":"","parse-names":false,"suffix":""},{"dropping-particle":"","family":"Hirst","given":"Judy","non-dropping-particle":"","parse-names":false,"suffix":""}],"container-title":"Nature structural &amp; molecular biology","id":"ITEM-1","issued":{"date-parts":[["2020","8"]]},"language":"eng","publisher-place":"United States","title":"Mitochondrial complex I structure reveals ordered water molecules for catalysis and  proton translocation.","type":"article-journal"},"uris":["http://www.mendeley.com/documents/?uuid=408ff879-464e-4956-a74e-90e080520fd2"]},{"id":"ITEM-2","itemData":{"DOI":"10.7554/eLife.68710","ISSN":"2050-084X (Electronic)","PMID":"34308841","abstract":"Respiratory complex I is a multi-subunit membrane protein complex that reversibly  couples NADH oxidation and ubiquinone reduction with proton translocation against transmembrane potential. Complex I from Escherichia coli is among the best functionally characterized complexes, but its structure remains unknown, hindering further studies to understand the enzyme coupling mechanism. Here, we describe the single particle cryo-electron microscopy (cryo-EM) structure of the entire catalytically active E. coli complex I reconstituted into lipid nanodiscs. The structure of this mesophilic bacterial complex I displays highly dynamic connection between the peripheral and membrane domains. The peripheral domain assembly is stabilized by unique terminal extensions and an insertion loop. The membrane domain structure reveals novel dynamic features. Unusual conformation of the conserved interface between the peripheral and membrane domains suggests an uncoupled conformation of the complex. Considering constraints imposed by the structural data, we suggest a new simple hypothetical coupling mechanism for the molecular machine.","author":[{"dropping-particle":"","family":"Kolata","given":"Piotr","non-dropping-particle":"","parse-names":false,"suffix":""},{"dropping-particle":"","family":"Efremov","given":"Rouslan G","non-dropping-particle":"","parse-names":false,"suffix":""}],"container-title":"eLife","id":"ITEM-2","issued":{"date-parts":[["2021","7"]]},"language":"eng","title":"Structure of Escherichia coli respiratory complex I reconstituted into lipid  nanodiscs reveals an uncoupled conformation.","type":"article-journal","volume":"10"},"uris":["http://www.mendeley.com/documents/?uuid=b2dea1c2-29b2-4330-b6f9-9a089036b1f1"]},{"id":"ITEM-3","itemData":{"DOI":"10.1021/jacs.0c02789","ISSN":"1520-5126 (Electronic)","PMID":"32643371","abstract":"The respiratory complex I transduces redox energy into an electrochemical proton  gradient in aerobic respiratory chains, powering energy-requiring processes in the cell. However, despite recently resolved molecular structures, the mechanism of this gigantic enzyme remains poorly understood. By combining large-scale quantum and classical simulations with site-directed mutagenesis and biophysical experiments, we show here how the conformational state of buried ion-pairs and water molecules control the protonation dynamics in the membrane domain of complex I and establish evolutionary conserved long-range coupling elements. We suggest that an electrostatic wave propagates in forward and reverse directions across the 200 Å long membrane domain during enzyme turnover, without significant dissipation of energy. Our findings demonstrate molecular principles that enable efficient long-range proton-electron coupling (PCET) and how perturbation of this PCET machinery may lead to development of mitochondrial disease.","author":[{"dropping-particle":"","family":"Mühlbauer","given":"Max E","non-dropping-particle":"","parse-names":false,"suffix":""},{"dropping-particle":"","family":"Saura","given":"Patricia","non-dropping-particle":"","parse-names":false,"suffix":""},{"dropping-particle":"","family":"Nuber","given":"Franziska","non-dropping-particle":"","parse-names":false,"suffix":""},{"dropping-particle":"","family":"Luca","given":"Andrea","non-dropping-particle":"Di","parse-names":false,"suffix":""},{"dropping-particle":"","family":"Friedrich","given":"Thorsten","non-dropping-particle":"","parse-names":false,"suffix":""},{"dropping-particle":"","family":"Kaila","given":"Ville R I","non-dropping-particle":"","parse-names":false,"suffix":""}],"container-title":"Journal of the American Chemical Society","id":"ITEM-3","issue":"32","issued":{"date-parts":[["2020","8"]]},"language":"eng","page":"13718-13728","publisher-place":"United States","title":"Water-Gated Proton Transfer Dynamics in Respiratory Complex I.","type":"article-journal","volume":"142"},"uris":["http://www.mendeley.com/documents/?uuid=956184aa-289f-4d83-85dc-7a47abd53d33"]},{"id":"ITEM-4","itemData":{"DOI":"10.1038/s41467-020-19778-7","ISSN":"2041-1723 (Electronic)","PMID":"33243981","abstract":"Respiratory complex I catalyzes electron transfer from NADH to ubiquinone (Q)  coupled to vectorial proton translocation across the inner mitochondrial membrane. Despite recent progress in structure determination of this very large membrane protein complex, the coupling mechanism is a matter of ongoing debate and the function of accessory subunits surrounding the canonical core subunits is essentially unknown. Concerted rearrangements within a cluster of conserved loops of central subunits NDUFS2 (β1-β2(S2) loop), ND1 (TMH5-6(ND1) loop) and ND3 (TMH1-2(ND3) loop) were suggested to be critical for its proton pumping mechanism. Here, we show that stabilization of the TMH1-2(ND3) loop by accessory subunit LYRM6 (NDUFA6) is pivotal for energy conversion by mitochondrial complex I. We determined the high-resolution structure of inactive mutant F89A(LYRM6) of eukaryotic complex I from the yeast Yarrowia lipolytica and found long-range structural changes affecting the entire loop cluster. In atomistic molecular dynamics simulations of the mutant, we observed conformational transitions in the loop cluster that disrupted a putative pathway for delivery of substrate protons required in Q redox chemistry. Our results elucidate in detail the essential role of accessory subunit LYRM6 for the function of eukaryotic complex I and offer clues on its redox-linked proton pumping mechanism.","author":[{"dropping-particle":"","family":"Galemou Yoga","given":"Etienne","non-dropping-particle":"","parse-names":false,"suffix":""},{"dropping-particle":"","family":"Parey","given":"Kristian","non-dropping-particle":"","parse-names":false,"suffix":""},{"dropping-particle":"","family":"Djurabekova","given":"Amina","non-dropping-particle":"","parse-names":false,"suffix":""},{"dropping-particle":"","family":"Haapanen","given":"Outi","non-dropping-particle":"","parse-names":false,"suffix":""},{"dropping-particle":"","family":"Siegmund","given":"Karin","non-dropping-particle":"","parse-names":false,"suffix":""},{"dropping-particle":"","family":"Zwicker","given":"Klaus","non-dropping-particle":"","parse-names":false,"suffix":""},{"dropping-particle":"","family":"Sharma","given":"Vivek","non-dropping-particle":"","parse-names":false,"suffix":""},{"dropping-particle":"","family":"Zickermann","given":"Volker","non-dropping-particle":"","parse-names":false,"suffix":""},{"dropping-particle":"","family":"Angerer","given":"Heike","non-dropping-particle":"","parse-names":false,"suffix":""}],"container-title":"Nature communications","id":"ITEM-4","issue":"1","issued":{"date-parts":[["2020","11"]]},"language":"eng","page":"6008","title":"Essential role of accessory subunit LYRM6 in the mechanism of mitochondrial  complex I.","type":"article-journal","volume":"11"},"uris":["http://www.mendeley.com/documents/?uuid=94f02561-57c6-4ea1-9b59-884cd4625b81"]}],"mendeley":{"formattedCitation":"(Grba &amp; Hirst, 2020; Kolata &amp; Efremov, 2021; Mühlbauer &lt;i&gt;et al&lt;/i&gt;, 2020; Galemou Yoga &lt;i&gt;et al&lt;/i&gt;, 2020)","plainTextFormattedCitation":"(Grba &amp; Hirst, 2020; Kolata &amp; Efremov, 2021; Mühlbauer et al, 2020; Galemou Yoga et al, 2020)","previouslyFormattedCitation":"(Grba &amp; Hirst, 2020; Kolata &amp; Efremov, 2021; Mühlbauer &lt;i&gt;et al&lt;/i&gt;, 2020; Galemou Yoga &lt;i&gt;et al&lt;/i&gt;, 2020)"},"properties":{"noteIndex":0},"schema":"https://github.com/citation-style-language/schema/raw/master/csl-citation.json"}</w:instrText>
      </w:r>
      <w:r w:rsidR="00942501" w:rsidRPr="00E97FC1">
        <w:fldChar w:fldCharType="separate"/>
      </w:r>
      <w:r w:rsidR="00E55873" w:rsidRPr="00E97FC1">
        <w:rPr>
          <w:noProof/>
        </w:rPr>
        <w:t xml:space="preserve">(Grba &amp; Hirst, 2020; Kolata &amp; Efremov, 2021; Mühlbauer </w:t>
      </w:r>
      <w:r w:rsidR="00E55873" w:rsidRPr="00E97FC1">
        <w:rPr>
          <w:i/>
          <w:noProof/>
        </w:rPr>
        <w:t>et al</w:t>
      </w:r>
      <w:r w:rsidR="00E55873" w:rsidRPr="00E97FC1">
        <w:rPr>
          <w:noProof/>
        </w:rPr>
        <w:t xml:space="preserve">, 2020; Galemou Yoga </w:t>
      </w:r>
      <w:r w:rsidR="00E55873" w:rsidRPr="00E97FC1">
        <w:rPr>
          <w:i/>
          <w:noProof/>
        </w:rPr>
        <w:t>et al</w:t>
      </w:r>
      <w:r w:rsidR="00E55873" w:rsidRPr="00E97FC1">
        <w:rPr>
          <w:noProof/>
        </w:rPr>
        <w:t>, 2020)</w:t>
      </w:r>
      <w:r w:rsidR="00942501" w:rsidRPr="00E97FC1">
        <w:fldChar w:fldCharType="end"/>
      </w:r>
      <w:r w:rsidRPr="00E97FC1">
        <w:t xml:space="preserve">. Only mammalian enzyme was observed so far in closed and open states. All other CI structures – from </w:t>
      </w:r>
      <w:r w:rsidRPr="00E97FC1">
        <w:rPr>
          <w:i/>
        </w:rPr>
        <w:t>T. thermophilus</w:t>
      </w:r>
      <w:r w:rsidR="00942501" w:rsidRPr="00E97FC1">
        <w:rPr>
          <w:i/>
        </w:rPr>
        <w:t xml:space="preserve"> </w:t>
      </w:r>
      <w:r w:rsidR="00C56511" w:rsidRPr="00E97FC1">
        <w:rPr>
          <w:i/>
        </w:rPr>
        <w:fldChar w:fldCharType="begin" w:fldLock="1"/>
      </w:r>
      <w:r w:rsidR="00776703" w:rsidRPr="00E97FC1">
        <w:rPr>
          <w:i/>
        </w:rPr>
        <w:instrText>ADDIN CSL_CITATION {"citationItems":[{"id":"ITEM-1","itemData":{"DOI":"10.1038/s41467-020-17957-0","ISSN":"2041-1723","abstract":"Complex I is the first and the largest enzyme of respiratory chains in bacteria and mitochondria. The mechanism which couples spatially separated transfer of electrons to proton translocation in complex I is not known. Here we report five crystal structures of T. thermophilus enzyme in complex with NADH or quinone-like compounds. We also determined cryo-EM structures of major and minor native states of the complex, differing in the position of the peripheral arm. Crystal structures show that binding of quinone-like compounds (but not of NADH) leads to a related global conformational change, accompanied by local re-arrangements propagating from the quinone site to the nearest proton channel. Normal mode and molecular dynamics analyses indicate that these are likely to represent the first steps in the proton translocation mechanism. Our results suggest that quinone binding and chemistry play a key role in the coupling mechanism of complex I.","author":[{"dropping-particle":"","family":"Gutiérrez-Fernández","given":"Javier","non-dropping-particle":"","parse-names":false,"suffix":""},{"dropping-particle":"","family":"Kaszuba","given":"Karol","non-dropping-particle":"","parse-names":false,"suffix":""},{"dropping-particle":"","family":"Minhas","given":"Gurdeep S","non-dropping-particle":"","parse-names":false,"suffix":""},{"dropping-particle":"","family":"Baradaran","given":"Rozbeh","non-dropping-particle":"","parse-names":false,"suffix":""},{"dropping-particle":"","family":"Tambalo","given":"Margherita","non-dropping-particle":"","parse-names":false,"suffix":""},{"dropping-particle":"","family":"Gallagher","given":"David T","non-dropping-particle":"","parse-names":false,"suffix":""},{"dropping-particle":"","family":"Sazanov","given":"Leonid A","non-dropping-particle":"","parse-names":false,"suffix":""}],"container-title":"Nature Communications","id":"ITEM-1","issue":"1","issued":{"date-parts":[["2020"]]},"page":"4135","title":"Key role of quinone in the mechanism of respiratory complex I","type":"article-journal","volume":"11"},"uris":["http://www.mendeley.com/documents/?uuid=678d2db4-e0e0-488c-81b1-5ddcf177ba24"]}],"mendeley":{"formattedCitation":"(Gutiérrez-Fernández &lt;i&gt;et al&lt;/i&gt;, 2020)","plainTextFormattedCitation":"(Gutiérrez-Fernández et al, 2020)","previouslyFormattedCitation":"(Gutiérrez-Fernández &lt;i&gt;et al&lt;/i&gt;, 2020)"},"properties":{"noteIndex":0},"schema":"https://github.com/citation-style-language/schema/raw/master/csl-citation.json"}</w:instrText>
      </w:r>
      <w:r w:rsidR="00C56511" w:rsidRPr="00E97FC1">
        <w:rPr>
          <w:i/>
        </w:rPr>
        <w:fldChar w:fldCharType="separate"/>
      </w:r>
      <w:r w:rsidR="00E55873" w:rsidRPr="00E97FC1">
        <w:rPr>
          <w:noProof/>
        </w:rPr>
        <w:t xml:space="preserve">(Gutiérrez-Fernández </w:t>
      </w:r>
      <w:r w:rsidR="00E55873" w:rsidRPr="00E97FC1">
        <w:rPr>
          <w:i/>
          <w:noProof/>
        </w:rPr>
        <w:t>et al</w:t>
      </w:r>
      <w:r w:rsidR="00E55873" w:rsidRPr="00E97FC1">
        <w:rPr>
          <w:noProof/>
        </w:rPr>
        <w:t>, 2020)</w:t>
      </w:r>
      <w:r w:rsidR="00C56511" w:rsidRPr="00E97FC1">
        <w:rPr>
          <w:i/>
        </w:rPr>
        <w:fldChar w:fldCharType="end"/>
      </w:r>
      <w:r w:rsidRPr="00E97FC1">
        <w:t xml:space="preserve">, </w:t>
      </w:r>
      <w:r w:rsidRPr="00E97FC1">
        <w:rPr>
          <w:i/>
        </w:rPr>
        <w:t>E. coli</w:t>
      </w:r>
      <w:r w:rsidR="00C56511" w:rsidRPr="00E97FC1">
        <w:rPr>
          <w:i/>
        </w:rPr>
        <w:t xml:space="preserve"> </w:t>
      </w:r>
      <w:r w:rsidR="00C56511" w:rsidRPr="00E97FC1">
        <w:rPr>
          <w:i/>
        </w:rPr>
        <w:fldChar w:fldCharType="begin" w:fldLock="1"/>
      </w:r>
      <w:r w:rsidR="00E55873" w:rsidRPr="00E97FC1">
        <w:rPr>
          <w:i/>
        </w:rPr>
        <w:instrText>ADDIN CSL_CITATION {"citationItems":[{"id":"ITEM-1","itemData":{"DOI":"10.7554/eLife.68710","ISSN":"2050-084X (Electronic)","PMID":"34308841","abstract":"Respiratory complex I is a multi-subunit membrane protein complex that reversibly  couples NADH oxidation and ubiquinone reduction with proton translocation against transmembrane potential. Complex I from Escherichia coli is among the best functionally characterized complexes, but its structure remains unknown, hindering further studies to understand the enzyme coupling mechanism. Here, we describe the single particle cryo-electron microscopy (cryo-EM) structure of the entire catalytically active E. coli complex I reconstituted into lipid nanodiscs. The structure of this mesophilic bacterial complex I displays highly dynamic connection between the peripheral and membrane domains. The peripheral domain assembly is stabilized by unique terminal extensions and an insertion loop. The membrane domain structure reveals novel dynamic features. Unusual conformation of the conserved interface between the peripheral and membrane domains suggests an uncoupled conformation of the complex. Considering constraints imposed by the structural data, we suggest a new simple hypothetical coupling mechanism for the molecular machine.","author":[{"dropping-particle":"","family":"Kolata","given":"Piotr","non-dropping-particle":"","parse-names":false,"suffix":""},{"dropping-particle":"","family":"Efremov","given":"Rouslan G","non-dropping-particle":"","parse-names":false,"suffix":""}],"container-title":"eLife","id":"ITEM-1","issued":{"date-parts":[["2021","7"]]},"language":"eng","title":"Structure of Escherichia coli respiratory complex I reconstituted into lipid  nanodiscs reveals an uncoupled conformation.","type":"article-journal","volume":"10"},"uris":["http://www.mendeley.com/documents/?uuid=b2dea1c2-29b2-4330-b6f9-9a089036b1f1"]}],"mendeley":{"formattedCitation":"(Kolata &amp; Efremov, 2021)","plainTextFormattedCitation":"(Kolata &amp; Efremov, 2021)","previouslyFormattedCitation":"(Kolata &amp; Efremov, 2021)"},"properties":{"noteIndex":0},"schema":"https://github.com/citation-style-language/schema/raw/master/csl-citation.json"}</w:instrText>
      </w:r>
      <w:r w:rsidR="00C56511" w:rsidRPr="00E97FC1">
        <w:rPr>
          <w:i/>
        </w:rPr>
        <w:fldChar w:fldCharType="separate"/>
      </w:r>
      <w:r w:rsidR="00E55873" w:rsidRPr="00E97FC1">
        <w:rPr>
          <w:noProof/>
        </w:rPr>
        <w:t>(Kolata &amp; Efremov, 2021)</w:t>
      </w:r>
      <w:r w:rsidR="00C56511" w:rsidRPr="00E97FC1">
        <w:rPr>
          <w:i/>
        </w:rPr>
        <w:fldChar w:fldCharType="end"/>
      </w:r>
      <w:r w:rsidRPr="00E97FC1">
        <w:t xml:space="preserve">, </w:t>
      </w:r>
      <w:r w:rsidRPr="00E97FC1">
        <w:rPr>
          <w:i/>
        </w:rPr>
        <w:t>Y. lipolytica</w:t>
      </w:r>
      <w:r w:rsidR="00C56511" w:rsidRPr="00E97FC1">
        <w:rPr>
          <w:i/>
        </w:rPr>
        <w:t xml:space="preserve"> </w:t>
      </w:r>
      <w:r w:rsidR="00C56511" w:rsidRPr="00E97FC1">
        <w:rPr>
          <w:i/>
        </w:rPr>
        <w:fldChar w:fldCharType="begin" w:fldLock="1"/>
      </w:r>
      <w:r w:rsidR="00776703" w:rsidRPr="00E97FC1">
        <w:rPr>
          <w:i/>
        </w:rPr>
        <w:instrText>ADDIN CSL_CITATION {"citationItems":[{"id":"ITEM-1","itemData":{"DOI":"10.1126/sciadv.abj3221","ISSN":"2375-2548 (Electronic)","PMID":"34767441","abstract":"Mitochondrial NADH:ubiquinone oxidoreductase (complex I) is a 1-MDa membrane  protein complex with a central role in energy metabolism. Redox-driven proton translocation by complex I contributes substantially to the proton motive force that drives ATP synthase. Several structures of complex I from bacteria and mitochondria have been determined, but its catalytic mechanism has remained controversial. We here present the cryo-EM structure of complex I from Yarrowia lipolytica at 2.1-Å resolution, which reveals the positions of more than 1600 protein-bound water molecules, of which ~100 are located in putative proton translocation pathways. Another structure of the same complex under steady-state activity conditions at 3.4-Å resolution indicates conformational transitions that we associate with proton injection into the central hydrophilic axis. By combining high-resolution structural data with site-directed mutagenesis and large-scale molecular dynamic simulations, we define details of the proton translocation pathways and offer insights into the redox-coupled proton pumping mechanism of complex I.","author":[{"dropping-particle":"","family":"Parey","given":"Kristian","non-dropping-particle":"","parse-names":false,"suffix":""},{"dropping-particle":"","family":"Lasham","given":"Jonathan","non-dropping-particle":"","parse-names":false,"suffix":""},{"dropping-particle":"","family":"Mills","given":"Deryck J","non-dropping-particle":"","parse-names":false,"suffix":""},{"dropping-particle":"","family":"Djurabekova","given":"Amina","non-dropping-particle":"","parse-names":false,"suffix":""},{"dropping-particle":"","family":"Haapanen","given":"Outi","non-dropping-particle":"","parse-names":false,"suffix":""},{"dropping-particle":"","family":"Yoga","given":"Etienne Galemou","non-dropping-particle":"","parse-names":false,"suffix":""},{"dropping-particle":"","family":"Xie","given":"Hao","non-dropping-particle":"","parse-names":false,"suffix":""},{"dropping-particle":"","family":"Kühlbrandt","given":"Werner","non-dropping-particle":"","parse-names":false,"suffix":""},{"dropping-particle":"","family":"Sharma","given":"Vivek","non-dropping-particle":"","parse-names":false,"suffix":""},{"dropping-particle":"","family":"Vonck","given":"Janet","non-dropping-particle":"","parse-names":false,"suffix":""},{"dropping-particle":"","family":"Zickermann","given":"Volker","non-dropping-particle":"","parse-names":false,"suffix":""}],"container-title":"Science advances","id":"ITEM-1","issue":"46","issued":{"date-parts":[["2021","11"]]},"language":"eng","page":"eabj3221","title":"High-resolution structure and dynamics of mitochondrial complex I-Insights into  the proton pumping mechanism.","type":"article-journal","volume":"7"},"uris":["http://www.mendeley.com/documents/?uuid=09f1fb2e-6eb4-4a01-b6ed-da596d507f4a"]}],"mendeley":{"formattedCitation":"(Parey &lt;i&gt;et al&lt;/i&gt;, 2021)","plainTextFormattedCitation":"(Parey et al, 2021)","previouslyFormattedCitation":"(Parey &lt;i&gt;et al&lt;/i&gt;, 2021)"},"properties":{"noteIndex":0},"schema":"https://github.com/citation-style-language/schema/raw/master/csl-citation.json"}</w:instrText>
      </w:r>
      <w:r w:rsidR="00C56511" w:rsidRPr="00E97FC1">
        <w:rPr>
          <w:i/>
        </w:rPr>
        <w:fldChar w:fldCharType="separate"/>
      </w:r>
      <w:r w:rsidR="00E55873" w:rsidRPr="00E97FC1">
        <w:rPr>
          <w:noProof/>
        </w:rPr>
        <w:t xml:space="preserve">(Parey </w:t>
      </w:r>
      <w:r w:rsidR="00E55873" w:rsidRPr="00E97FC1">
        <w:rPr>
          <w:i/>
          <w:noProof/>
        </w:rPr>
        <w:t>et al</w:t>
      </w:r>
      <w:r w:rsidR="00E55873" w:rsidRPr="00E97FC1">
        <w:rPr>
          <w:noProof/>
        </w:rPr>
        <w:t>, 2021)</w:t>
      </w:r>
      <w:r w:rsidR="00C56511" w:rsidRPr="00E97FC1">
        <w:rPr>
          <w:i/>
        </w:rPr>
        <w:fldChar w:fldCharType="end"/>
      </w:r>
      <w:r w:rsidRPr="00E97FC1">
        <w:t>, plant mitochondrial</w:t>
      </w:r>
      <w:r w:rsidR="00C56511" w:rsidRPr="00E97FC1">
        <w:t xml:space="preserve"> </w:t>
      </w:r>
      <w:r w:rsidR="00C56511" w:rsidRPr="00E97FC1">
        <w:fldChar w:fldCharType="begin" w:fldLock="1"/>
      </w:r>
      <w:r w:rsidR="00776703" w:rsidRPr="00E97FC1">
        <w:instrText>ADDIN CSL_CITATION {"citationItems":[{"id":"ITEM-1","itemData":{"DOI":"10.1093/plcell/koab092","ISSN":"1532-298X (Electronic)","PMID":"33768254","abstract":"Mitochondrial complex I is the main site for electron transfer to the respiratory  chain and generates much of the proton gradient across the inner mitochondrial membrane. Complex I is composed of two arms, which form a conserved L-shape. We report the structures of the intact, 47-subunit mitochondrial complex I from Arabidopsis thaliana and the 51-subunit complex I from the green alga Polytomella sp., both at around 2.9 Å resolution. In both complexes, a heterotrimeric γ-carbonic anhydrase domain is attached to the membrane arm on the matrix side. Two states are resolved in A. thaliana complex I, with different angles between the two arms and different conformations of the ND1 (NADH dehydrogenase subunit 1) loop near the quinol binding site. The angle appears to depend on a bridge domain, which links the peripheral arm to the membrane arm and includes an unusual ferredoxin. We propose that the bridge domain participates in regulating the activity of plant complex I.","author":[{"dropping-particle":"","family":"Klusch","given":"Niklas","non-dropping-particle":"","parse-names":false,"suffix":""},{"dropping-particle":"","family":"Senkler","given":"Jennifer","non-dropping-particle":"","parse-names":false,"suffix":""},{"dropping-particle":"","family":"Yildiz","given":"Özkan","non-dropping-particle":"","parse-names":false,"suffix":""},{"dropping-particle":"","family":"Kühlbrandt","given":"Werner","non-dropping-particle":"","parse-names":false,"suffix":""},{"dropping-particle":"","family":"Braun","given":"Hans-Peter","non-dropping-particle":"","parse-names":false,"suffix":""}],"container-title":"The Plant cell","id":"ITEM-1","issue":"6","issued":{"date-parts":[["2021","7"]]},"language":"eng","page":"2072-2091","title":"A ferredoxin bridge connects the two arms of plant mitochondrial complex I.","type":"article-journal","volume":"33"},"uris":["http://www.mendeley.com/documents/?uuid=15e5d359-743b-42e9-abca-f85eb704b599"]}],"mendeley":{"formattedCitation":"(Klusch &lt;i&gt;et al&lt;/i&gt;, 2021)","plainTextFormattedCitation":"(Klusch et al, 2021)","previouslyFormattedCitation":"(Klusch &lt;i&gt;et al&lt;/i&gt;, 2021)"},"properties":{"noteIndex":0},"schema":"https://github.com/citation-style-language/schema/raw/master/csl-citation.json"}</w:instrText>
      </w:r>
      <w:r w:rsidR="00C56511" w:rsidRPr="00E97FC1">
        <w:fldChar w:fldCharType="separate"/>
      </w:r>
      <w:r w:rsidR="00E55873" w:rsidRPr="00E97FC1">
        <w:rPr>
          <w:noProof/>
        </w:rPr>
        <w:t xml:space="preserve">(Klusch </w:t>
      </w:r>
      <w:r w:rsidR="00E55873" w:rsidRPr="00E97FC1">
        <w:rPr>
          <w:i/>
          <w:noProof/>
        </w:rPr>
        <w:t>et al</w:t>
      </w:r>
      <w:r w:rsidR="00E55873" w:rsidRPr="00E97FC1">
        <w:rPr>
          <w:noProof/>
        </w:rPr>
        <w:t>, 2021)</w:t>
      </w:r>
      <w:r w:rsidR="00C56511" w:rsidRPr="00E97FC1">
        <w:fldChar w:fldCharType="end"/>
      </w:r>
      <w:r w:rsidRPr="00E97FC1">
        <w:t>, complex</w:t>
      </w:r>
      <w:r w:rsidR="00CE1EFF" w:rsidRPr="00E97FC1">
        <w:t xml:space="preserve"> I homologue </w:t>
      </w:r>
      <w:r w:rsidRPr="00E97FC1">
        <w:t>NDH</w:t>
      </w:r>
      <w:r w:rsidR="00CE1EFF" w:rsidRPr="00E97FC1">
        <w:t xml:space="preserve"> </w:t>
      </w:r>
      <w:r w:rsidR="00CE1EFF" w:rsidRPr="00E97FC1">
        <w:fldChar w:fldCharType="begin" w:fldLock="1"/>
      </w:r>
      <w:r w:rsidR="00776703" w:rsidRPr="00E97FC1">
        <w:instrText>ADDIN CSL_CITATION {"citationItems":[{"id":"ITEM-1","itemData":{"DOI":"10.1126/science.aau3613","ISSN":"1095-9203 (Electronic)","PMID":"30573545","abstract":"Photosynthetic complex I enables cyclic electron flow around photosystem I, a regulatory mechanism for photosynthetic energy conversion. We report a 3.3-angstrom-resolution cryo-electron microscopy structure of photosynthetic complex I from the cyanobacterium Thermosynechococcus elongatus. The model reveals structural adaptations that facilitate binding and electron transfer from the photosynthetic electron carrier ferredoxin. By mimicking cyclic electron flow with isolated components in vitro, we demonstrate that ferredoxin directly mediates electron transfer between photosystem I and complex I, instead of using intermediates such as NADPH (the reduced form of nicotinamide adenine dinucleotide phosphate). A large rate constant for association of ferredoxin to complex I indicates efficient recognition, with the protein subunit NdhS being the key component in this process.","author":[{"dropping-particle":"","family":"Schuller","given":"Jan M","non-dropping-particle":"","parse-names":false,"suffix":""},{"dropping-particle":"","family":"Birrell","given":"James A","non-dropping-particle":"","parse-names":false,"suffix":""},{"dropping-particle":"","family":"Tanaka","given":"Hideaki","non-dropping-particle":"","parse-names":false,"suffix":""},{"dropping-particle":"","family":"Konuma","given":"Tsuyoshi","non-dropping-particle":"","parse-names":false,"suffix":""},{"dropping-particle":"","family":"Wulfhorst","given":"Hannes","non-dropping-particle":"","parse-names":false,"suffix":""},{"dropping-particle":"","family":"Cox","given":"Nicholas","non-dropping-particle":"","parse-names":false,"suffix":""},{"dropping-particle":"","family":"Schuller","given":"Sandra K","non-dropping-particle":"","parse-names":false,"suffix":""},{"dropping-particle":"","family":"Thiemann","given":"Jacqueline","non-dropping-particle":"","parse-names":false,"suffix":""},{"dropping-particle":"","family":"Lubitz","given":"Wolfgang","non-dropping-particle":"","parse-names":false,"suffix":""},{"dropping-particle":"","family":"Setif","given":"Pierre","non-dropping-particle":"","parse-names":false,"suffix":""},{"dropping-particle":"","family":"Ikegami","given":"Takahisa","non-dropping-particle":"","parse-names":false,"suffix":""},{"dropping-particle":"","family":"Engel","given":"Benjamin D","non-dropping-particle":"","parse-names":false,"suffix":""},{"dropping-particle":"","family":"Kurisu","given":"Genji","non-dropping-particle":"","parse-names":false,"suffix":""},{"dropping-particle":"","family":"Nowaczyk","given":"Marc M","non-dropping-particle":"","parse-names":false,"suffix":""}],"container-title":"Science (New York, N.Y.)","id":"ITEM-1","issue":"6424","issued":{"date-parts":[["2019","1"]]},"language":"eng","page":"257-260","publisher-place":"United States","title":"Structural adaptations of photosynthetic complex I enable ferredoxin-dependent electron transfer.","type":"article-journal","volume":"363"},"uris":["http://www.mendeley.com/documents/?uuid=e9af2d6b-88c0-4dd3-bef4-3ab2d63c2d96"]}],"mendeley":{"formattedCitation":"(Schuller &lt;i&gt;et al&lt;/i&gt;, 2019)","plainTextFormattedCitation":"(Schuller et al, 2019)","previouslyFormattedCitation":"(Schuller &lt;i&gt;et al&lt;/i&gt;, 2019)"},"properties":{"noteIndex":0},"schema":"https://github.com/citation-style-language/schema/raw/master/csl-citation.json"}</w:instrText>
      </w:r>
      <w:r w:rsidR="00CE1EFF" w:rsidRPr="00E97FC1">
        <w:fldChar w:fldCharType="separate"/>
      </w:r>
      <w:r w:rsidR="00E55873" w:rsidRPr="00E97FC1">
        <w:rPr>
          <w:noProof/>
        </w:rPr>
        <w:t xml:space="preserve">(Schuller </w:t>
      </w:r>
      <w:r w:rsidR="00E55873" w:rsidRPr="00E97FC1">
        <w:rPr>
          <w:i/>
          <w:noProof/>
        </w:rPr>
        <w:t>et al</w:t>
      </w:r>
      <w:r w:rsidR="00E55873" w:rsidRPr="00E97FC1">
        <w:rPr>
          <w:noProof/>
        </w:rPr>
        <w:t>, 2019)</w:t>
      </w:r>
      <w:r w:rsidR="00CE1EFF" w:rsidRPr="00E97FC1">
        <w:fldChar w:fldCharType="end"/>
      </w:r>
      <w:r w:rsidRPr="00E97FC1">
        <w:t xml:space="preserve"> show </w:t>
      </w:r>
      <w:r w:rsidRPr="00E97FC1">
        <w:rPr>
          <w:rFonts w:ascii="Symbol" w:hAnsi="Symbol"/>
        </w:rPr>
        <w:t></w:t>
      </w:r>
      <w:r w:rsidRPr="00E97FC1">
        <w:t xml:space="preserve">-bulge conformation of </w:t>
      </w:r>
      <w:r w:rsidRPr="00E97FC1">
        <w:rPr>
          <w:vertAlign w:val="subscript"/>
        </w:rPr>
        <w:t>J</w:t>
      </w:r>
      <w:r w:rsidRPr="00E97FC1">
        <w:t>TM3, i.e. open-like state, even though the degree of order of Q site loops varies. Therefore the validity of open-closed transition as part of catalytic cycle is questioned. Importantly, mammalian enzyme differs from other species by showing active/deactive (A/D) transition</w:t>
      </w:r>
      <w:r w:rsidR="00322C2A" w:rsidRPr="00E97FC1">
        <w:t xml:space="preserve"> </w:t>
      </w:r>
      <w:r w:rsidR="00CE1EFF" w:rsidRPr="00E97FC1">
        <w:fldChar w:fldCharType="begin" w:fldLock="1"/>
      </w:r>
      <w:r w:rsidR="00E55873" w:rsidRPr="00E97FC1">
        <w:instrText>ADDIN CSL_CITATION {"citationItems":[{"id":"ITEM-1","itemData":{"DOI":"10.1016/0005-2728(90)90137-s","ISSN":"0006-3002 (Print)","PMID":"2119805","abstract":"NADH-ubiquinone reductase of bovine heart submitochondrial particles as prepared  is unable to catalyze either the direct or reverse electron transfer from NADH to ubiquinone. The deactivated state of the enzyme in coupled particles was revealed as: (i) the absence of the rotenone-sensitive, delta mu H(+)-dependent succinate-ferricyanide reductase activity; (ii) a prominent lag in the aerobic succinate-supported, delta mu H(+)-dependent NAD+ reduction; and (iii) a lag in the rotenone-sensitive NADH-ubiquinone reductase or NADH oxidase activities. Being inactive as NADH-ubiquinone reductase (direct or reverse), the enzyme is fully active as rotenone-insensitive NADH-ferricyanide reductase. The enzyme can be activated by preincubation with substrates (NADH or NADPH) only under the conditions where the turnover of the NADH-ubiquinone reductase reaction (but not in the NADH-ferricyanide reductase) occurs. Partial activation of the enzyme was observed when the particles were preincubated with rotenone. Neither NADH under the conditions when the ubiquinone pool was reduced nor succinate plus delta mu H+ or dithionite were able to activate the enzyme. Once activated, the enzyme remains in the active state for quite a long time (more than 5 h at 0 degree C). The deactivation rate is extremely temperature-dependent, being insensitive to NAD+, ferricyanide or succinate. A comparison of the enzyme activation/deactivation kinetics showed that the same mechanism is involved in the slow activation of the direct and reverse electron transfer from NADH to ubiquinone. Activated particles catalyze the aerobic delta mu H(+)-dependent succinate-supported reverse electron transfer in the absence of ATP at a rate comparable with that of NADH-ubiquinone reductase.","author":[{"dropping-particle":"","family":"Kotlyar","given":"A B","non-dropping-particle":"","parse-names":false,"suffix":""},{"dropping-particle":"","family":"Vinogradov","given":"A D","non-dropping-particle":"","parse-names":false,"suffix":""}],"container-title":"Biochimica et biophysica acta","id":"ITEM-1","issue":"2","issued":{"date-parts":[["1990","8"]]},"language":"eng","page":"151-158","publisher-place":"Netherlands","title":"Slow active/inactive transition of the mitochondrial NADH-ubiquinone reductase.","type":"article-journal","volume":"1019"},"uris":["http://www.mendeley.com/documents/?uuid=3a12d506-0324-4de4-b68c-37234df2aa4a"]}],"mendeley":{"formattedCitation":"(Kotlyar &amp; Vinogradov, 1990)","plainTextFormattedCitation":"(Kotlyar &amp; Vinogradov, 1990)","previouslyFormattedCitation":"(Kotlyar &amp; Vinogradov, 1990)"},"properties":{"noteIndex":0},"schema":"https://github.com/citation-style-language/schema/raw/master/csl-citation.json"}</w:instrText>
      </w:r>
      <w:r w:rsidR="00CE1EFF" w:rsidRPr="00E97FC1">
        <w:fldChar w:fldCharType="separate"/>
      </w:r>
      <w:r w:rsidR="00E55873" w:rsidRPr="00E97FC1">
        <w:rPr>
          <w:noProof/>
        </w:rPr>
        <w:t>(Kotlyar &amp; Vinogradov, 1990)</w:t>
      </w:r>
      <w:r w:rsidR="00CE1EFF" w:rsidRPr="00E97FC1">
        <w:fldChar w:fldCharType="end"/>
      </w:r>
      <w:hyperlink w:anchor="_ENREF_35" w:tooltip="Kotlyar, 1990 #1253" w:history="1"/>
      <w:r w:rsidRPr="00E97FC1">
        <w:t>, suggesting the presence of high-energy barriers between different states, so that c</w:t>
      </w:r>
      <w:r w:rsidR="00CE1EFF" w:rsidRPr="00E97FC1">
        <w:t>losed apo state can be observed</w:t>
      </w:r>
      <w:r w:rsidRPr="00E97FC1">
        <w:t>. The deactive state resembles the open state by the conformation</w:t>
      </w:r>
      <w:r w:rsidRPr="00E97FC1">
        <w:rPr>
          <w:vertAlign w:val="subscript"/>
        </w:rPr>
        <w:t xml:space="preserve"> </w:t>
      </w:r>
      <w:r w:rsidRPr="00E97FC1">
        <w:t xml:space="preserve">of </w:t>
      </w:r>
      <w:r w:rsidRPr="00E97FC1">
        <w:rPr>
          <w:vertAlign w:val="subscript"/>
        </w:rPr>
        <w:t>J</w:t>
      </w:r>
      <w:r w:rsidRPr="00E97FC1">
        <w:t>TM3 and Q loops</w:t>
      </w:r>
      <w:r w:rsidR="00322C2A" w:rsidRPr="00E97FC1">
        <w:t xml:space="preserve"> </w:t>
      </w:r>
      <w:r w:rsidR="00CE1EFF" w:rsidRPr="00E97FC1">
        <w:fldChar w:fldCharType="begin" w:fldLock="1"/>
      </w:r>
      <w:r w:rsidR="00776703" w:rsidRPr="00E97FC1">
        <w:instrText>ADDIN CSL_CITATION {"citationItems":[{"id":"ITEM-1","itemData":{"DOI":"10.1038/s41594-018-0073-1","ISSN":"1545-9985 (Electronic)","PMID":"29915388","abstract":"Complex I (NADH:ubiquinone oxidoreductase) uses the reducing potential of NADH to drive protons across the energy-transducing inner membrane and power oxidative phosphorylation in mammalian mitochondria. Recent cryo-EM analyses have produced near-complete models of all 45 subunits in the bovine, ovine and porcine complexes and have identified two states relevant to complex I in ischemia-reperfusion injury. Here, we describe the 3.3-A structure of complex I from mouse heart mitochondria, a biomedically relevant model system, in the 'active' state. We reveal a nucleotide bound in subunit NDUFA10, a nucleoside kinase homolog, and define mechanistically critical elements in the mammalian enzyme. By comparisons with a 3.9-A structure of the 'deactive' state and with known bacterial structures, we identify differences in helical geometry in the membrane domain that occur upon activation or that alter the positions of catalytically important charged residues. Our results demonstrate the capability of cryo-EM analyses to challenge and develop mechanistic models for mammalian complex I.","author":[{"dropping-particle":"","family":"Agip","given":"Ahmed-Noor A","non-dropping-particle":"","parse-names":false,"suffix":""},{"dropping-particle":"","family":"Blaza","given":"James N","non-dropping-particle":"","parse-names":false,"suffix":""},{"dropping-particle":"","family":"Bridges","given":"Hannah R","non-dropping-particle":"","parse-names":false,"suffix":""},{"dropping-particle":"","family":"Viscomi","given":"Carlo","non-dropping-particle":"","parse-names":false,"suffix":""},{"dropping-particle":"","family":"Rawson","given":"Shaun","non-dropping-particle":"","parse-names":false,"suffix":""},{"dropping-particle":"","family":"Muench","given":"Stephen P","non-dropping-particle":"","parse-names":false,"suffix":""},{"dropping-particle":"","family":"Hirst","given":"Judy","non-dropping-particle":"","parse-names":false,"suffix":""}],"container-title":"Nature structural &amp; molecular biology","id":"ITEM-1","issue":"7","issued":{"date-parts":[["2018","7"]]},"language":"eng","page":"548-556","publisher-place":"United States","title":"Cryo-EM structures of complex I from mouse heart mitochondria in two biochemically defined states.","type":"article-journal","volume":"25"},"uris":["http://www.mendeley.com/documents/?uuid=8a57dedd-29b1-4546-8c4c-de3ab7db1163"]}],"mendeley":{"formattedCitation":"(Agip &lt;i&gt;et al&lt;/i&gt;, 2018)","plainTextFormattedCitation":"(Agip et al, 2018)","previouslyFormattedCitation":"(Agip &lt;i&gt;et al&lt;/i&gt;, 2018)"},"properties":{"noteIndex":0},"schema":"https://github.com/citation-style-language/schema/raw/master/csl-citation.json"}</w:instrText>
      </w:r>
      <w:r w:rsidR="00CE1EFF" w:rsidRPr="00E97FC1">
        <w:fldChar w:fldCharType="separate"/>
      </w:r>
      <w:r w:rsidR="00E55873" w:rsidRPr="00E97FC1">
        <w:rPr>
          <w:noProof/>
        </w:rPr>
        <w:t xml:space="preserve">(Agip </w:t>
      </w:r>
      <w:r w:rsidR="00E55873" w:rsidRPr="00E97FC1">
        <w:rPr>
          <w:i/>
          <w:noProof/>
        </w:rPr>
        <w:t>et al</w:t>
      </w:r>
      <w:r w:rsidR="00E55873" w:rsidRPr="00E97FC1">
        <w:rPr>
          <w:noProof/>
        </w:rPr>
        <w:t>, 2018)</w:t>
      </w:r>
      <w:r w:rsidR="00CE1EFF" w:rsidRPr="00E97FC1">
        <w:fldChar w:fldCharType="end"/>
      </w:r>
      <w:r w:rsidR="00322C2A" w:rsidRPr="00E97FC1">
        <w:t xml:space="preserve"> ,</w:t>
      </w:r>
      <w:r w:rsidRPr="00E97FC1">
        <w:t xml:space="preserve"> but is distinct due to relocation of </w:t>
      </w:r>
      <w:r w:rsidRPr="00E97FC1">
        <w:rPr>
          <w:vertAlign w:val="subscript"/>
        </w:rPr>
        <w:t>J</w:t>
      </w:r>
      <w:r w:rsidRPr="00E97FC1">
        <w:t>TM4. Nevertheless, this similarity, along with the fact that closed/open ratio did not change under different conditions</w:t>
      </w:r>
      <w:r w:rsidR="00322C2A" w:rsidRPr="00E97FC1">
        <w:t xml:space="preserve"> </w:t>
      </w:r>
      <w:r w:rsidR="00DF463D" w:rsidRPr="00E97FC1">
        <w:fldChar w:fldCharType="begin" w:fldLock="1"/>
      </w:r>
      <w:r w:rsidR="00E55873" w:rsidRPr="00E97FC1">
        <w:instrText>ADDIN CSL_CITATION {"citationItems":[{"id":"ITEM-1","itemData":{"DOI":"10.1126/science.abc4209","ISSN":"1095-9203 (Electronic)","PMID":"32972993","abstract":"Mitochondrial complex I couples NADH:ubiquinone oxidoreduction to proton pumping by  an unknown mechanism. Here, we present cryo-electron microscopy structures of ovine complex I in five different conditions, including turnover, at resolutions up to 2.3 to 2.5 angstroms. Resolved water molecules allowed us to experimentally define the proton translocation pathways. Quinone binds at three positions along the quinone cavity, as does the inhibitor rotenone that also binds within subunit ND4. Dramatic conformational changes around the quinone cavity couple the redox reaction to proton translocation during open-to-closed state transitions of the enzyme. In the induced deactive state, the open conformation is arrested by the ND6 subunit. We propose a detailed molecular coupling mechanism of complex I, which is an unexpected combination of conformational changes and electrostatic interactions.","author":[{"dropping-particle":"","family":"Kampjut","given":"Domen","non-dropping-particle":"","parse-names":false,"suffix":""},{"dropping-particle":"","family":"Sazanov","given":"Leonid A","non-dropping-particle":"","parse-names":false,"suffix":""}],"container-title":"Science (New York, N.Y.)","id":"ITEM-1","issue":"6516","issued":{"date-parts":[["2020","10"]]},"language":"eng","publisher-place":"United States","title":"The coupling mechanism of mammalian respiratory complex I.","type":"article-journal","volume":"370"},"uris":["http://www.mendeley.com/documents/?uuid=7ba13959-8c17-4313-8227-becdec77971c"]}],"mendeley":{"formattedCitation":"(Kampjut &amp; Sazanov, 2020)","plainTextFormattedCitation":"(Kampjut &amp; Sazanov, 2020)","previouslyFormattedCitation":"(Kampjut &amp; Sazanov, 2020)"},"properties":{"noteIndex":0},"schema":"https://github.com/citation-style-language/schema/raw/master/csl-citation.json"}</w:instrText>
      </w:r>
      <w:r w:rsidR="00DF463D" w:rsidRPr="00E97FC1">
        <w:fldChar w:fldCharType="separate"/>
      </w:r>
      <w:r w:rsidR="00E55873" w:rsidRPr="00E97FC1">
        <w:rPr>
          <w:noProof/>
        </w:rPr>
        <w:t>(Kampjut &amp; Sazanov, 2020)</w:t>
      </w:r>
      <w:r w:rsidR="00DF463D" w:rsidRPr="00E97FC1">
        <w:fldChar w:fldCharType="end"/>
      </w:r>
      <w:r w:rsidR="00322C2A" w:rsidRPr="00E97FC1">
        <w:t xml:space="preserve"> </w:t>
      </w:r>
      <w:hyperlink w:anchor="_ENREF_1" w:tooltip="Kampjut, 2020 #1543" w:history="1"/>
      <w:r w:rsidRPr="00E97FC1">
        <w:t xml:space="preserve">, lead to suggestions that closed/open states of mammalian enzyme should </w:t>
      </w:r>
      <w:r w:rsidR="00DF463D" w:rsidRPr="00E97FC1">
        <w:t>be considered as active/deactive.</w:t>
      </w:r>
      <w:r w:rsidRPr="00E97FC1">
        <w:t xml:space="preserve"> Additionally, it is not clear how functionally important for the open state is the disorder of Q loops and how to explain the putative ND5-only proton ejection. </w:t>
      </w:r>
    </w:p>
    <w:p w14:paraId="5D456ABF" w14:textId="77777777" w:rsidR="00460DF8" w:rsidRPr="00E97FC1" w:rsidRDefault="00460DF8" w:rsidP="00460DF8">
      <w:pPr>
        <w:rPr>
          <w:lang w:val="en-GB"/>
        </w:rPr>
      </w:pPr>
    </w:p>
    <w:p w14:paraId="4B1D0052" w14:textId="77777777" w:rsidR="00C017B5" w:rsidRPr="00E97FC1" w:rsidRDefault="00C017B5" w:rsidP="002730C3">
      <w:pPr>
        <w:pStyle w:val="Heading3"/>
      </w:pPr>
      <w:bookmarkStart w:id="58" w:name="_Toc132639989"/>
      <w:r w:rsidRPr="00E97FC1">
        <w:lastRenderedPageBreak/>
        <w:t>Coupling mechanism in complex I</w:t>
      </w:r>
      <w:bookmarkEnd w:id="58"/>
      <w:r w:rsidR="00460DF8" w:rsidRPr="00E97FC1">
        <w:t xml:space="preserve"> </w:t>
      </w:r>
    </w:p>
    <w:p w14:paraId="32A228F3" w14:textId="2B6FCB81" w:rsidR="008B6CFE" w:rsidRPr="00E97FC1" w:rsidRDefault="008B6CFE" w:rsidP="007F65A7">
      <w:pPr>
        <w:ind w:firstLine="720"/>
        <w:rPr>
          <w:lang w:val="en-GB"/>
        </w:rPr>
      </w:pPr>
      <w:r w:rsidRPr="00E97FC1">
        <w:rPr>
          <w:lang w:val="en-GB"/>
        </w:rPr>
        <w:t xml:space="preserve">The coupling mechanism between electron transfer and proton translocation is one of the biggest enigma in bioenergetics and structural biology </w:t>
      </w:r>
      <w:r w:rsidRPr="00E97FC1">
        <w:rPr>
          <w:lang w:val="en-GB"/>
        </w:rPr>
        <w:fldChar w:fldCharType="begin" w:fldLock="1"/>
      </w:r>
      <w:r w:rsidR="00776703" w:rsidRPr="00E97FC1">
        <w:rPr>
          <w:lang w:val="en-GB"/>
        </w:rPr>
        <w:instrText>ADDIN CSL_CITATION {"citationItems":[{"id":"ITEM-1","itemData":{"DOI":"10.1038/nrm3997","ISSN":"1471-0080 (Electronic)","PMID":"25991374","abstract":"The mitochondrial respiratory chain, also known as the electron transport chain (ETC), is crucial to life, and energy production in the form of ATP is the main mitochondrial function. Three proton-translocating enzymes of the ETC, namely complexes I, III and IV, generate proton motive force, which in turn drives ATP synthase (complex V). The atomic structures and basic mechanisms of most respiratory complexes have previously been established, with the exception of complex I, the largest complex in the ETC. Recently, the crystal structure of the entire complex I was solved using a bacterial enzyme. The structure provided novel insights into the core architecture of the complex, the electron transfer and proton translocation pathways, as well as the mechanism that couples these two processes.","author":[{"dropping-particle":"","family":"Sazanov","given":"Leonid A","non-dropping-particle":"","parse-names":false,"suffix":""}],"container-title":"Nature reviews. Molecular cell biology","id":"ITEM-1","issue":"6","issued":{"date-parts":[["2015","6"]]},"language":"eng","page":"375-388","publisher-place":"England","title":"A giant molecular proton pump: structure and mechanism of respiratory complex I.","type":"article-journal","volume":"16"},"uris":["http://www.mendeley.com/documents/?uuid=eb1c233c-5b99-49e9-9cae-a9faf55685b9"]},{"id":"ITEM-2","itemData":{"DOI":"10.1126/science.1259859","ISSN":"1095-9203 (Electronic)","PMID":"25554780","abstract":"Proton-pumping complex I of the mitochondrial respiratory chain is among the largest and most complicated membrane protein complexes. The enzyme contributes substantially to oxidative energy conversion in eukaryotic cells. Its malfunctions are implicated in many hereditary and degenerative disorders. We report the x-ray structure of mitochondrial complex I at a resolution of 3.6 to 3.9 angstroms, describing in detail the central subunits that execute the bioenergetic function. A continuous axis of basic and acidic residues running centrally through the membrane arm connects the ubiquinone reduction site in the hydrophilic arm to four putative proton-pumping units. The binding position for a substrate analogous inhibitor and blockage of the predicted ubiquinone binding site provide a model for the \"deactive\" form of the enzyme. The proposed transition into the active form is based on a concerted structural rearrangement at the ubiquinone reduction site, providing support for a two-state stabilization-change mechanism of proton pumping.","author":[{"dropping-particle":"","family":"Zickermann","given":"Volker","non-dropping-particle":"","parse-names":false,"suffix":""},{"dropping-particle":"","family":"Wirth","given":"Christophe","non-dropping-particle":"","parse-names":false,"suffix":""},{"dropping-particle":"","family":"Nasiri","given":"Hamid","non-dropping-particle":"","parse-names":false,"suffix":""},{"dropping-particle":"","family":"Siegmund","given":"Karin","non-dropping-particle":"","parse-names":false,"suffix":""},{"dropping-particle":"","family":"Schwalbe","given":"Harald","non-dropping-particle":"","parse-names":false,"suffix":""},{"dropping-particle":"","family":"Hunte","given":"Carola","non-dropping-particle":"","parse-names":false,"suffix":""},{"dropping-particle":"","family":"Brandt","given":"Ulrich","non-dropping-particle":"","parse-names":false,"suffix":""}],"container-title":"Science (New York, N.Y.)","id":"ITEM-2","issue":"6217","issued":{"date-parts":[["2015","1"]]},"language":"eng","page":"44-49","publisher-place":"United States","title":"Structural biology. Mechanistic insight from the crystal structure of mitochondrial complex I.","type":"article-journal","volume":"347"},"uris":["http://www.mendeley.com/documents/?uuid=abcd37c0-870f-4f3e-a527-2f898f3d225c"]},{"id":"ITEM-3","itemData":{"DOI":"10.1146/annurev-biochem-070511-103700","ISSN":"1545-4509 (Electronic)","PMID":"23527692","abstract":"Complex I (NADH:ubiquinone oxidoreductase) is crucial for respiration in many aerobic organisms. In mitochondria, it oxidizes NADH from the tricarboxylic acid cycle and beta-oxidation, reduces ubiquinone, and transports protons across the inner membrane, contributing to the proton-motive force. It is also a major contributor to cellular production of reactive oxygen species. The redox reaction of complex I is catalyzed in the hydrophilic domain; it comprises NADH oxidation by a flavin mononucleotide, intramolecular electron transfer along a chain of iron-sulfur clusters, and ubiquinone reduction. Redox-coupled proton translocation in the membrane domain requires long-range energy transfer through the protein complex, and the molecular mechanisms that couple the redox and proton-transfer half-reactions are currently unknown. This review evaluates extant data on the mechanisms of energy transduction and superoxide production by complex I, discusses contemporary mechanistic models, and explores how mechanistic studies may contribute to understanding the roles of complex I dysfunctions in human diseases.","author":[{"dropping-particle":"","family":"Hirst","given":"Judy","non-dropping-particle":"","parse-names":false,"suffix":""}],"container-title":"Annual review of biochemistry","id":"ITEM-3","issued":{"date-parts":[["2013"]]},"language":"eng","page":"551-575","publisher-place":"United States","title":"Mitochondrial complex I.","type":"article-journal","volume":"82"},"uris":["http://www.mendeley.com/documents/?uuid=d1513a74-0f04-4347-bc9c-011be78005f3"]},{"id":"ITEM-4","itemData":{"DOI":"10.1098/rsif.2017.0916","ISSN":"1742-5662 (Electronic)","PMID":"29643224","abstract":"Biological energy conversion is driven by efficient enzymes that capture, store and transfer protons and electrons across large distances. Recent advances in structural biology have provided atomic-scale blueprints of these types of remarkable molecular machinery, which together with biochemical, biophysical and computational experiments allow us to derive detailed energy transduction mechanisms for the first time. Here, I present one of the most intricate and least understood types of biological energy conversion machinery, the respiratory complex I, and how its redox-driven proton-pump catalyses charge transfer across approximately 300 A distances. After discussing the functional elements of complex I, a putative mechanistic model for its action-at-a-distance effect is presented, and functional parallels are drawn to other redox- and light-driven ion pumps.","author":[{"dropping-particle":"","family":"Kaila","given":"Ville R I","non-dropping-particle":"","parse-names":false,"suffix":""}],"container-title":"Journal of the Royal Society, Interface","id":"ITEM-4","issue":"141","issued":{"date-parts":[["2018","4"]]},"language":"eng","publisher-place":"England","title":"Long-range proton-coupled electron transfer in biological energy conversion: towards mechanistic understanding of respiratory complex I.","type":"article-journal","volume":"15"},"uris":["http://www.mendeley.com/documents/?uuid=2e4b12a6-b7ff-4b4d-92cc-c9328f406764"]},{"id":"ITEM-5","itemData":{"DOI":"10.1126/science.abc4209","ISSN":"1095-9203 (Electronic)","PMID":"32972993","abstract":"Mitochondrial complex I couples NADH:ubiquinone oxidoreduction to proton pumping by  an unknown mechanism. Here, we present cryo-electron microscopy structures of ovine complex I in five different conditions, including turnover, at resolutions up to 2.3 to 2.5 angstroms. Resolved water molecules allowed us to experimentally define the proton translocation pathways. Quinone binds at three positions along the quinone cavity, as does the inhibitor rotenone that also binds within subunit ND4. Dramatic conformational changes around the quinone cavity couple the redox reaction to proton translocation during open-to-closed state transitions of the enzyme. In the induced deactive state, the open conformation is arrested by the ND6 subunit. We propose a detailed molecular coupling mechanism of complex I, which is an unexpected combination of conformational changes and electrostatic interactions.","author":[{"dropping-particle":"","family":"Kampjut","given":"Domen","non-dropping-particle":"","parse-names":false,"suffix":""},{"dropping-particle":"","family":"Sazanov","given":"Leonid A","non-dropping-particle":"","parse-names":false,"suffix":""}],"container-title":"Science (New York, N.Y.)","id":"ITEM-5","issue":"6516","issued":{"date-parts":[["2020","10"]]},"language":"eng","publisher-place":"United States","title":"The coupling mechanism of mammalian respiratory complex I.","type":"article-journal","volume":"370"},"uris":["http://www.mendeley.com/documents/?uuid=7ba13959-8c17-4313-8227-becdec77971c"]},{"id":"ITEM-6","itemData":{"DOI":"10.1016/j.sbi.2022.102350","ISSN":"1879-033X (Electronic)","PMID":"35316665","abstract":"Complex I is one of the major respiratory complexes, conserved from bacteria to  mammals. It oxidises NADH, reduces quinone and pumps protons across the membrane, thus playing a central role in the oxidative energy metabolism. In this review we discuss our current state of understanding the structure of complex I from various species of mammals, plants, fungi, and bacteria, as well as of several complex I-related proteins. By comparing the structural evidence from these systems in different redox states and data from mutagenesis and molecular simulations, we formulate the mechanisms of electron transfer and proton pumping and explain how they are conformationally and electrostatically coupled. Finally, we discuss the structural basis of the deactivation phenomenon in mammalian complex I.","author":[{"dropping-particle":"","family":"Kampjut","given":"Domen","non-dropping-particle":"","parse-names":false,"suffix":""},{"dropping-particle":"","family":"Sazanov","given":"Leonid A","non-dropping-particle":"","parse-names":false,"suffix":""}],"container-title":"Current opinion in structural biology","id":"ITEM-6","issued":{"date-parts":[["2022","6"]]},"language":"eng","page":"102350","title":"Structure of respiratory complex I - An emerging blueprint for the mechanism.","type":"article-journal","volume":"74"},"uris":["http://www.mendeley.com/documents/?uuid=62bbf93d-401e-40b0-b06d-3ce69cc203a7"]}],"mendeley":{"formattedCitation":"(Sazanov, 2015; Zickermann &lt;i&gt;et al&lt;/i&gt;, 2015; Hirst, 2013; Kaila, 2018; Kampjut &amp; Sazanov, 2020, 2022)","plainTextFormattedCitation":"(Sazanov, 2015; Zickermann et al, 2015; Hirst, 2013; Kaila, 2018; Kampjut &amp; Sazanov, 2020, 2022)","previouslyFormattedCitation":"(Sazanov, 2015; Zickermann &lt;i&gt;et al&lt;/i&gt;, 2015; Hirst, 2013; Kaila, 2018; Kampjut &amp; Sazanov, 2020, 2022)"},"properties":{"noteIndex":0},"schema":"https://github.com/citation-style-language/schema/raw/master/csl-citation.json"}</w:instrText>
      </w:r>
      <w:r w:rsidRPr="00E97FC1">
        <w:rPr>
          <w:lang w:val="en-GB"/>
        </w:rPr>
        <w:fldChar w:fldCharType="separate"/>
      </w:r>
      <w:r w:rsidR="00E55873" w:rsidRPr="00E97FC1">
        <w:rPr>
          <w:noProof/>
          <w:lang w:val="en-GB"/>
        </w:rPr>
        <w:t xml:space="preserve">(Sazanov, 2015; Zickermann </w:t>
      </w:r>
      <w:r w:rsidR="00E55873" w:rsidRPr="00E97FC1">
        <w:rPr>
          <w:i/>
          <w:noProof/>
          <w:lang w:val="en-GB"/>
        </w:rPr>
        <w:t>et al</w:t>
      </w:r>
      <w:r w:rsidR="00E55873" w:rsidRPr="00E97FC1">
        <w:rPr>
          <w:noProof/>
          <w:lang w:val="en-GB"/>
        </w:rPr>
        <w:t>, 2015; Hirst, 2013; Kaila, 2018; Kampjut &amp; Sazanov, 2020, 2022)</w:t>
      </w:r>
      <w:r w:rsidRPr="00E97FC1">
        <w:rPr>
          <w:lang w:val="en-GB"/>
        </w:rPr>
        <w:fldChar w:fldCharType="end"/>
      </w:r>
      <w:r w:rsidRPr="00E97FC1">
        <w:rPr>
          <w:lang w:val="en-GB"/>
        </w:rPr>
        <w:t>.</w:t>
      </w:r>
    </w:p>
    <w:p w14:paraId="1209BFFB" w14:textId="4BD62107" w:rsidR="007F65A7" w:rsidRPr="00E97FC1" w:rsidRDefault="008B6CFE" w:rsidP="007F65A7">
      <w:pPr>
        <w:ind w:firstLine="720"/>
        <w:rPr>
          <w:lang w:val="en-GB"/>
        </w:rPr>
      </w:pPr>
      <w:r w:rsidRPr="00E97FC1">
        <w:rPr>
          <w:lang w:val="en-GB"/>
        </w:rPr>
        <w:t xml:space="preserve">Recently, the coupling mechanism for the mammalian complex I has been proposed </w:t>
      </w:r>
      <w:r w:rsidRPr="00E97FC1">
        <w:rPr>
          <w:lang w:val="en-GB"/>
        </w:rPr>
        <w:fldChar w:fldCharType="begin" w:fldLock="1"/>
      </w:r>
      <w:r w:rsidR="00E55873" w:rsidRPr="00E97FC1">
        <w:rPr>
          <w:lang w:val="en-GB"/>
        </w:rPr>
        <w:instrText>ADDIN CSL_CITATION {"citationItems":[{"id":"ITEM-1","itemData":{"DOI":"10.1126/science.abc4209","ISSN":"1095-9203 (Electronic)","PMID":"32972993","abstract":"Mitochondrial complex I couples NADH:ubiquinone oxidoreduction to proton pumping by  an unknown mechanism. Here, we present cryo-electron microscopy structures of ovine complex I in five different conditions, including turnover, at resolutions up to 2.3 to 2.5 angstroms. Resolved water molecules allowed us to experimentally define the proton translocation pathways. Quinone binds at three positions along the quinone cavity, as does the inhibitor rotenone that also binds within subunit ND4. Dramatic conformational changes around the quinone cavity couple the redox reaction to proton translocation during open-to-closed state transitions of the enzyme. In the induced deactive state, the open conformation is arrested by the ND6 subunit. We propose a detailed molecular coupling mechanism of complex I, which is an unexpected combination of conformational changes and electrostatic interactions.","author":[{"dropping-particle":"","family":"Kampjut","given":"Domen","non-dropping-particle":"","parse-names":false,"suffix":""},{"dropping-particle":"","family":"Sazanov","given":"Leonid A","non-dropping-particle":"","parse-names":false,"suffix":""}],"container-title":"Science (New York, N.Y.)","id":"ITEM-1","issue":"6516","issued":{"date-parts":[["2020","10"]]},"language":"eng","publisher-place":"United States","title":"The coupling mechanism of mammalian respiratory complex I.","type":"article-journal","volume":"370"},"uris":["http://www.mendeley.com/documents/?uuid=7ba13959-8c17-4313-8227-becdec77971c"]}],"mendeley":{"formattedCitation":"(Kampjut &amp; Sazanov, 2020)","plainTextFormattedCitation":"(Kampjut &amp; Sazanov, 2020)","previouslyFormattedCitation":"(Kampjut &amp; Sazanov, 2020)"},"properties":{"noteIndex":0},"schema":"https://github.com/citation-style-language/schema/raw/master/csl-citation.json"}</w:instrText>
      </w:r>
      <w:r w:rsidRPr="00E97FC1">
        <w:rPr>
          <w:lang w:val="en-GB"/>
        </w:rPr>
        <w:fldChar w:fldCharType="separate"/>
      </w:r>
      <w:r w:rsidR="00E55873" w:rsidRPr="00E97FC1">
        <w:rPr>
          <w:noProof/>
          <w:lang w:val="en-GB"/>
        </w:rPr>
        <w:t>(Kampjut &amp; Sazanov, 2020)</w:t>
      </w:r>
      <w:r w:rsidRPr="00E97FC1">
        <w:rPr>
          <w:lang w:val="en-GB"/>
        </w:rPr>
        <w:fldChar w:fldCharType="end"/>
      </w:r>
      <w:r w:rsidR="0060541F" w:rsidRPr="00E97FC1">
        <w:rPr>
          <w:lang w:val="en-GB"/>
        </w:rPr>
        <w:t>. The mechanism comprises conformational changes between open and closed states and long-range electrostatic interactions (</w:t>
      </w:r>
      <w:r w:rsidR="0060541F" w:rsidRPr="00CC7652">
        <w:rPr>
          <w:lang w:val="en-GB"/>
        </w:rPr>
        <w:t>Figure 1.</w:t>
      </w:r>
      <w:r w:rsidR="00F44255" w:rsidRPr="00CC7652">
        <w:rPr>
          <w:lang w:val="en-GB"/>
        </w:rPr>
        <w:t>1</w:t>
      </w:r>
      <w:r w:rsidR="00E97FC1" w:rsidRPr="00CC7652">
        <w:rPr>
          <w:lang w:val="en-GB"/>
        </w:rPr>
        <w:t>1</w:t>
      </w:r>
      <w:r w:rsidR="0060541F" w:rsidRPr="00E97FC1">
        <w:rPr>
          <w:lang w:val="en-GB"/>
        </w:rPr>
        <w:t>). The key to the mechanism is the negative charge on quinone molecule, which form</w:t>
      </w:r>
      <w:r w:rsidR="003D545A" w:rsidRPr="00E97FC1">
        <w:rPr>
          <w:lang w:val="en-GB"/>
        </w:rPr>
        <w:t>s</w:t>
      </w:r>
      <w:r w:rsidR="0060541F" w:rsidRPr="00E97FC1">
        <w:rPr>
          <w:lang w:val="en-GB"/>
        </w:rPr>
        <w:t xml:space="preserve"> after </w:t>
      </w:r>
      <w:r w:rsidR="003D545A" w:rsidRPr="00E97FC1">
        <w:rPr>
          <w:lang w:val="en-GB"/>
        </w:rPr>
        <w:t xml:space="preserve">accepting </w:t>
      </w:r>
      <w:r w:rsidR="0060541F" w:rsidRPr="00E97FC1">
        <w:rPr>
          <w:lang w:val="en-GB"/>
        </w:rPr>
        <w:t xml:space="preserve">the electrons; the negative charge pulls protons from the MA for the complete reduction and henceforth shifting the entire charge along MA. This allows protons to redistribute and </w:t>
      </w:r>
      <w:r w:rsidR="002962AA" w:rsidRPr="00E97FC1">
        <w:rPr>
          <w:lang w:val="en-GB"/>
        </w:rPr>
        <w:t xml:space="preserve">eventually </w:t>
      </w:r>
      <w:r w:rsidR="0060541F" w:rsidRPr="00E97FC1">
        <w:rPr>
          <w:lang w:val="en-GB"/>
        </w:rPr>
        <w:t xml:space="preserve">leave MA </w:t>
      </w:r>
      <w:r w:rsidR="002962AA" w:rsidRPr="00E97FC1">
        <w:rPr>
          <w:lang w:val="en-GB"/>
        </w:rPr>
        <w:t xml:space="preserve">on </w:t>
      </w:r>
      <w:r w:rsidR="0060541F" w:rsidRPr="00E97FC1">
        <w:rPr>
          <w:lang w:val="en-GB"/>
        </w:rPr>
        <w:t xml:space="preserve">the other side. </w:t>
      </w:r>
      <w:r w:rsidR="007F65A7" w:rsidRPr="00E97FC1">
        <w:rPr>
          <w:lang w:val="en-GB"/>
        </w:rPr>
        <w:t xml:space="preserve">Other possibilities include two-state stabilization mechanism and electrostatically driven “wave-spring” model. The two-state stabilization-change mechanism suggests that stabilization of negatively charged quinone intermediates drives a conformational changes in two “strokes” (quinone/semiquinone and semiquinone/quinol transitions), thereby transmitting energy to the membrane arm to drive proton pumping </w:t>
      </w:r>
      <w:r w:rsidR="007F65A7" w:rsidRPr="00E97FC1">
        <w:rPr>
          <w:lang w:val="en-GB"/>
        </w:rPr>
        <w:fldChar w:fldCharType="begin" w:fldLock="1"/>
      </w:r>
      <w:r w:rsidR="00776703" w:rsidRPr="00E97FC1">
        <w:rPr>
          <w:lang w:val="en-GB"/>
        </w:rPr>
        <w:instrText>ADDIN CSL_CITATION {"citationItems":[{"id":"ITEM-1","itemData":{"DOI":"10.1016/j.bbabio.2011.04.006","ISSN":"0006-3002 (Print)","PMID":"21565159","abstract":"Despite its central function in oxidative phosphorylation, the molecular mechanism of proton pumping respiratory complex I is still elusive. In recent years, considerable progress has been made towards understanding structure/function relationships in this very large and complicated membrane protein complex. Last year X-ray crystallographic analysis of bacterial and mitochondrial complex I provided important insights into its molecular architecture. Based on this evidence, here a hypothetical molecular mechanism for redox-driven proton pumping of complex I is proposed. According to this mechanism, two pump modules are driven by two conformational strokes that are generated by stabilization of the anionic forms of semiquinone and ubiquinol that are formed in the peripheral arm of complex I during turnover. This results in the experimentally determined pumping stoichiometry of 4 H(+)/2e(-). In the two-state model, electron transfer from iron-sulfur cluster N2 is allowed only in the 'E-state,' while protonation of the substrate is only possible in the stabilizing 'P-state.' In the membrane arm, transition from the E- to the P-state drives the two pump modules via long range conformational energy transfer through the recently discovered helical transmission element connecting them. The proposed two-state stabilization-change mechanism is fully reversible and thus inherently explains the operation of complex I in forward and reverse mode. This article is part of a Special Issue entitled Allosteric cooperativity in respiratory proteins.","author":[{"dropping-particle":"","family":"Brandt","given":"Ulrich","non-dropping-particle":"","parse-names":false,"suffix":""}],"container-title":"Biochimica et biophysica acta","id":"ITEM-1","issue":"10","issued":{"date-parts":[["2011","10"]]},"language":"eng","page":"1364-1369","publisher-place":"Netherlands","title":"A two-state stabilization-change mechanism for proton-pumping complex I.","type":"article-journal","volume":"1807"},"uris":["http://www.mendeley.com/documents/?uuid=218e2fbf-e5b4-4f0b-a885-6892d4aa73bf"]},{"id":"ITEM-2","itemData":{"DOI":"10.1126/science.1259859","ISSN":"1095-9203 (Electronic)","PMID":"25554780","abstract":"Proton-pumping complex I of the mitochondrial respiratory chain is among the largest and most complicated membrane protein complexes. The enzyme contributes substantially to oxidative energy conversion in eukaryotic cells. Its malfunctions are implicated in many hereditary and degenerative disorders. We report the x-ray structure of mitochondrial complex I at a resolution of 3.6 to 3.9 angstroms, describing in detail the central subunits that execute the bioenergetic function. A continuous axis of basic and acidic residues running centrally through the membrane arm connects the ubiquinone reduction site in the hydrophilic arm to four putative proton-pumping units. The binding position for a substrate analogous inhibitor and blockage of the predicted ubiquinone binding site provide a model for the \"deactive\" form of the enzyme. The proposed transition into the active form is based on a concerted structural rearrangement at the ubiquinone reduction site, providing support for a two-state stabilization-change mechanism of proton pumping.","author":[{"dropping-particle":"","family":"Zickermann","given":"Volker","non-dropping-particle":"","parse-names":false,"suffix":""},{"dropping-particle":"","family":"Wirth","given":"Christophe","non-dropping-particle":"","parse-names":false,"suffix":""},{"dropping-particle":"","family":"Nasiri","given":"Hamid","non-dropping-particle":"","parse-names":false,"suffix":""},{"dropping-particle":"","family":"Siegmund","given":"Karin","non-dropping-particle":"","parse-names":false,"suffix":""},{"dropping-particle":"","family":"Schwalbe","given":"Harald","non-dropping-particle":"","parse-names":false,"suffix":""},{"dropping-particle":"","family":"Hunte","given":"Carola","non-dropping-particle":"","parse-names":false,"suffix":""},{"dropping-particle":"","family":"Brandt","given":"Ulrich","non-dropping-particle":"","parse-names":false,"suffix":""}],"container-title":"Science (New York, N.Y.)","id":"ITEM-2","issue":"6217","issued":{"date-parts":[["2015","1"]]},"language":"eng","page":"44-49","publisher-place":"United States","title":"Structural biology. Mechanistic insight from the crystal structure of mitochondrial complex I.","type":"article-journal","volume":"347"},"uris":["http://www.mendeley.com/documents/?uuid=abcd37c0-870f-4f3e-a527-2f898f3d225c"]}],"mendeley":{"formattedCitation":"(Brandt, 2011; Zickermann &lt;i&gt;et al&lt;/i&gt;, 2015)","plainTextFormattedCitation":"(Brandt, 2011; Zickermann et al, 2015)","previouslyFormattedCitation":"(Brandt, 2011; Zickermann &lt;i&gt;et al&lt;/i&gt;, 2015)"},"properties":{"noteIndex":0},"schema":"https://github.com/citation-style-language/schema/raw/master/csl-citation.json"}</w:instrText>
      </w:r>
      <w:r w:rsidR="007F65A7" w:rsidRPr="00E97FC1">
        <w:rPr>
          <w:lang w:val="en-GB"/>
        </w:rPr>
        <w:fldChar w:fldCharType="separate"/>
      </w:r>
      <w:r w:rsidR="00E55873" w:rsidRPr="00E97FC1">
        <w:rPr>
          <w:noProof/>
          <w:lang w:val="en-GB"/>
        </w:rPr>
        <w:t xml:space="preserve">(Brandt, 2011; Zickermann </w:t>
      </w:r>
      <w:r w:rsidR="00E55873" w:rsidRPr="00E97FC1">
        <w:rPr>
          <w:i/>
          <w:noProof/>
          <w:lang w:val="en-GB"/>
        </w:rPr>
        <w:t>et al</w:t>
      </w:r>
      <w:r w:rsidR="00E55873" w:rsidRPr="00E97FC1">
        <w:rPr>
          <w:noProof/>
          <w:lang w:val="en-GB"/>
        </w:rPr>
        <w:t>, 2015)</w:t>
      </w:r>
      <w:r w:rsidR="007F65A7" w:rsidRPr="00E97FC1">
        <w:rPr>
          <w:lang w:val="en-GB"/>
        </w:rPr>
        <w:fldChar w:fldCharType="end"/>
      </w:r>
      <w:r w:rsidR="007F65A7" w:rsidRPr="00E97FC1">
        <w:rPr>
          <w:lang w:val="en-GB"/>
        </w:rPr>
        <w:t xml:space="preserve">. The electrostatic “wave-spring” model suggests that the negative charge on the quinone molecule drives an electrostatic wave of interactions between charged residues within the membrane, which results in one (or two) protons release. Subsequently, neutralization and relaxation of the molecule drives the reverse wave with two proton translocation </w:t>
      </w:r>
      <w:r w:rsidR="007F65A7" w:rsidRPr="00E97FC1">
        <w:rPr>
          <w:lang w:val="en-GB"/>
        </w:rPr>
        <w:fldChar w:fldCharType="begin" w:fldLock="1"/>
      </w:r>
      <w:r w:rsidR="00776703" w:rsidRPr="00E97FC1">
        <w:rPr>
          <w:lang w:val="en-GB"/>
        </w:rPr>
        <w:instrText>ADDIN CSL_CITATION {"citationItems":[{"id":"ITEM-1","itemData":{"DOI":"10.1016/j.biocel.2012.08.024","ISSN":"1878-5875 (Electronic)","PMID":"22982742","abstract":"In respiring organisms the major energy transduction flux employs the transmembrane electrochemical proton gradient as a physical link between exergonic redox reactions and endergonic ADP phosphorylation. Establishing the gradient involves electrogenic, transmembrane H(+) translocation by the membrane-embedded respiratory complexes. Among others, Complex I (NADH:ubiquinone oxidoreductase) is the most structurally complex and functionally enigmatic respiratory enzyme; its molecular mechanism is as yet unknown. Here we highlight recent progress and discuss the catalytic events during Complex I turnover in relation to their role in energy conversion and to the enzyme structure.","author":[{"dropping-particle":"","family":"Verkhovskaya","given":"Marina","non-dropping-particle":"","parse-names":false,"suffix":""},{"dropping-particle":"","family":"Bloch","given":"Dmitry A","non-dropping-particle":"","parse-names":false,"suffix":""}],"container-title":"The international journal of biochemistry &amp; cell biology","id":"ITEM-1","issue":"2","issued":{"date-parts":[["2013","2"]]},"language":"eng","page":"491-511","publisher-place":"Netherlands","title":"Energy-converting respiratory Complex I: on the way to the molecular mechanism of the proton pump.","type":"article-journal","volume":"45"},"uris":["http://www.mendeley.com/documents/?uuid=32150496-49fc-4501-b49c-30bd672f6eca"]}],"mendeley":{"formattedCitation":"(Verkhovskaya &amp; Bloch, 2013)","plainTextFormattedCitation":"(Verkhovskaya &amp; Bloch, 2013)","previouslyFormattedCitation":"(Verkhovskaya &amp; Bloch, 2013)"},"properties":{"noteIndex":0},"schema":"https://github.com/citation-style-language/schema/raw/master/csl-citation.json"}</w:instrText>
      </w:r>
      <w:r w:rsidR="007F65A7" w:rsidRPr="00E97FC1">
        <w:rPr>
          <w:lang w:val="en-GB"/>
        </w:rPr>
        <w:fldChar w:fldCharType="separate"/>
      </w:r>
      <w:r w:rsidR="00E55873" w:rsidRPr="00E97FC1">
        <w:rPr>
          <w:noProof/>
          <w:lang w:val="en-GB"/>
        </w:rPr>
        <w:t>(Verkhovskaya &amp; Bloch, 2013)</w:t>
      </w:r>
      <w:r w:rsidR="007F65A7" w:rsidRPr="00E97FC1">
        <w:rPr>
          <w:lang w:val="en-GB"/>
        </w:rPr>
        <w:fldChar w:fldCharType="end"/>
      </w:r>
      <w:r w:rsidR="007F65A7" w:rsidRPr="00E97FC1">
        <w:rPr>
          <w:lang w:val="en-GB"/>
        </w:rPr>
        <w:t>.</w:t>
      </w:r>
    </w:p>
    <w:p w14:paraId="1B16C186" w14:textId="77777777" w:rsidR="007F65A7" w:rsidRPr="00E97FC1" w:rsidRDefault="007F65A7" w:rsidP="007F65A7">
      <w:pPr>
        <w:ind w:firstLine="720"/>
        <w:jc w:val="center"/>
        <w:rPr>
          <w:lang w:val="en-GB"/>
        </w:rPr>
      </w:pPr>
      <w:r w:rsidRPr="00E97FC1">
        <w:rPr>
          <w:noProof/>
        </w:rPr>
        <w:drawing>
          <wp:inline distT="0" distB="0" distL="0" distR="0" wp14:anchorId="1DD30149" wp14:editId="42E5038B">
            <wp:extent cx="3847795" cy="2939945"/>
            <wp:effectExtent l="0" t="0" r="635" b="0"/>
            <wp:docPr id="6" name="Picture 6" descr="C:\Users\vkravchu\Desktop\PhD thesis\Figs\me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kravchu\Desktop\PhD thesis\Figs\mech.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57664" cy="2947485"/>
                    </a:xfrm>
                    <a:prstGeom prst="rect">
                      <a:avLst/>
                    </a:prstGeom>
                    <a:noFill/>
                    <a:ln>
                      <a:noFill/>
                    </a:ln>
                  </pic:spPr>
                </pic:pic>
              </a:graphicData>
            </a:graphic>
          </wp:inline>
        </w:drawing>
      </w:r>
    </w:p>
    <w:p w14:paraId="530AF424" w14:textId="16528D66" w:rsidR="007F65A7" w:rsidRPr="00E97FC1" w:rsidRDefault="007F65A7" w:rsidP="007F65A7">
      <w:pPr>
        <w:pStyle w:val="Caption"/>
      </w:pPr>
      <w:bookmarkStart w:id="59" w:name="_Toc128136617"/>
      <w:bookmarkStart w:id="60" w:name="_Toc121834101"/>
      <w:r w:rsidRPr="00E97FC1">
        <w:t xml:space="preserve">Figure </w:t>
      </w:r>
      <w:r w:rsidR="00CC7652">
        <w:fldChar w:fldCharType="begin"/>
      </w:r>
      <w:r w:rsidR="00CC7652">
        <w:instrText xml:space="preserve"> STYLEREF 1 \s </w:instrText>
      </w:r>
      <w:r w:rsidR="00CC7652">
        <w:fldChar w:fldCharType="separate"/>
      </w:r>
      <w:r w:rsidR="00ED1816">
        <w:rPr>
          <w:noProof/>
        </w:rPr>
        <w:t>1</w:t>
      </w:r>
      <w:r w:rsidR="00CC7652">
        <w:fldChar w:fldCharType="end"/>
      </w:r>
      <w:r w:rsidR="00CC7652">
        <w:t>.</w:t>
      </w:r>
      <w:r w:rsidR="00CC7652">
        <w:fldChar w:fldCharType="begin"/>
      </w:r>
      <w:r w:rsidR="00CC7652">
        <w:instrText xml:space="preserve"> SEQ Figure \* ARABIC \s 1 </w:instrText>
      </w:r>
      <w:r w:rsidR="00CC7652">
        <w:fldChar w:fldCharType="separate"/>
      </w:r>
      <w:r w:rsidR="00ED1816">
        <w:rPr>
          <w:noProof/>
        </w:rPr>
        <w:t>11</w:t>
      </w:r>
      <w:r w:rsidR="00CC7652">
        <w:fldChar w:fldCharType="end"/>
      </w:r>
      <w:r w:rsidRPr="00E97FC1">
        <w:t xml:space="preserve"> Schematic representation of the coupling mechanism proposed </w:t>
      </w:r>
      <w:r w:rsidRPr="00470DF8">
        <w:t xml:space="preserve">by </w:t>
      </w:r>
      <w:r w:rsidRPr="00470DF8">
        <w:fldChar w:fldCharType="begin" w:fldLock="1"/>
      </w:r>
      <w:r w:rsidR="00E55873" w:rsidRPr="00470DF8">
        <w:instrText>ADDIN CSL_CITATION {"citationItems":[{"id":"ITEM-1","itemData":{"DOI":"10.1126/science.abc4209","ISSN":"1095-9203 (Electronic)","PMID":"32972993","abstract":"Mitochondrial complex I couples NADH:ubiquinone oxidoreduction to proton pumping by  an unknown mechanism. Here, we present cryo-electron microscopy structures of ovine complex I in five different conditions, including turnover, at resolutions up to 2.3 to 2.5 angstroms. Resolved water molecules allowed us to experimentally define the proton translocation pathways. Quinone binds at three positions along the quinone cavity, as does the inhibitor rotenone that also binds within subunit ND4. Dramatic conformational changes around the quinone cavity couple the redox reaction to proton translocation during open-to-closed state transitions of the enzyme. In the induced deactive state, the open conformation is arrested by the ND6 subunit. We propose a detailed molecular coupling mechanism of complex I, which is an unexpected combination of conformational changes and electrostatic interactions.","author":[{"dropping-particle":"","family":"Kampjut","given":"Domen","non-dropping-particle":"","parse-names":false,"suffix":""},{"dropping-particle":"","family":"Sazanov","given":"Leonid A","non-dropping-particle":"","parse-names":false,"suffix":""}],"container-title":"Science (New York, N.Y.)","id":"ITEM-1","issue":"6516","issued":{"date-parts":[["2020","10"]]},"language":"eng","publisher-place":"United States","title":"The coupling mechanism of mammalian respiratory complex I.","type":"article-journal","volume":"370"},"uris":["http://www.mendeley.com/documents/?uuid=7ba13959-8c17-4313-8227-becdec77971c"]}],"mendeley":{"formattedCitation":"(Kampjut &amp; Sazanov, 2020)","plainTextFormattedCitation":"(Kampjut &amp; Sazanov, 2020)","previouslyFormattedCitation":"(Kampjut &amp; Sazanov, 2020)"},"properties":{"noteIndex":0},"schema":"https://github.com/citation-style-language/schema/raw/master/csl-citation.json"}</w:instrText>
      </w:r>
      <w:r w:rsidRPr="00470DF8">
        <w:fldChar w:fldCharType="separate"/>
      </w:r>
      <w:bookmarkEnd w:id="60"/>
      <w:r w:rsidR="00E55873" w:rsidRPr="00470DF8">
        <w:rPr>
          <w:i w:val="0"/>
          <w:noProof/>
        </w:rPr>
        <w:t>(Kampjut &amp; Sazanov, 2020)</w:t>
      </w:r>
      <w:bookmarkEnd w:id="59"/>
      <w:r w:rsidRPr="00470DF8">
        <w:fldChar w:fldCharType="end"/>
      </w:r>
      <w:r w:rsidRPr="00E97FC1">
        <w:t xml:space="preserve"> </w:t>
      </w:r>
    </w:p>
    <w:p w14:paraId="6644E756" w14:textId="186B9074" w:rsidR="007F65A7" w:rsidRPr="00CF7C36" w:rsidRDefault="007F65A7" w:rsidP="007F65A7">
      <w:pPr>
        <w:pStyle w:val="Caption"/>
      </w:pPr>
      <w:r w:rsidRPr="00CF7C36">
        <w:t xml:space="preserve">Charge distribution of the proton pumping residues differs between the open and the closed states. Colored circles correspond to glutamate/aspartate (red), lysine (blue) or histidine (cyan). Full circles represent charged residues </w:t>
      </w:r>
      <w:r w:rsidRPr="00CF7C36">
        <w:lastRenderedPageBreak/>
        <w:t>and empty circles are neutral (state of histidines is not clear), black dots in the closed state represent water molecules. Arrows show proton movements to achieve the charge distribution as depicted in each state. Figure ad</w:t>
      </w:r>
      <w:r w:rsidR="00D07557" w:rsidRPr="00CF7C36">
        <w:t>a</w:t>
      </w:r>
      <w:r w:rsidRPr="00CF7C36">
        <w:t xml:space="preserve">pted from </w:t>
      </w:r>
      <w:r w:rsidRPr="00CF7C36">
        <w:fldChar w:fldCharType="begin" w:fldLock="1"/>
      </w:r>
      <w:r w:rsidR="00E55873" w:rsidRPr="00CF7C36">
        <w:instrText>ADDIN CSL_CITATION {"citationItems":[{"id":"ITEM-1","itemData":{"DOI":"10.1016/j.sbi.2022.102350","ISSN":"1879-033X (Electronic)","PMID":"35316665","abstract":"Complex I is one of the major respiratory complexes, conserved from bacteria to  mammals. It oxidises NADH, reduces quinone and pumps protons across the membrane, thus playing a central role in the oxidative energy metabolism. In this review we discuss our current state of understanding the structure of complex I from various species of mammals, plants, fungi, and bacteria, as well as of several complex I-related proteins. By comparing the structural evidence from these systems in different redox states and data from mutagenesis and molecular simulations, we formulate the mechanisms of electron transfer and proton pumping and explain how they are conformationally and electrostatically coupled. Finally, we discuss the structural basis of the deactivation phenomenon in mammalian complex I.","author":[{"dropping-particle":"","family":"Kampjut","given":"Domen","non-dropping-particle":"","parse-names":false,"suffix":""},{"dropping-particle":"","family":"Sazanov","given":"Leonid A","non-dropping-particle":"","parse-names":false,"suffix":""}],"container-title":"Current opinion in structural biology","id":"ITEM-1","issued":{"date-parts":[["2022","6"]]},"language":"eng","page":"102350","title":"Structure of respiratory complex I - An emerging blueprint for the mechanism.","type":"article-journal","volume":"74"},"uris":["http://www.mendeley.com/documents/?uuid=62bbf93d-401e-40b0-b06d-3ce69cc203a7"]}],"mendeley":{"formattedCitation":"(Kampjut &amp; Sazanov, 2022)","plainTextFormattedCitation":"(Kampjut &amp; Sazanov, 2022)","previouslyFormattedCitation":"(Kampjut &amp; Sazanov, 2022)"},"properties":{"noteIndex":0},"schema":"https://github.com/citation-style-language/schema/raw/master/csl-citation.json"}</w:instrText>
      </w:r>
      <w:r w:rsidRPr="00CF7C36">
        <w:fldChar w:fldCharType="separate"/>
      </w:r>
      <w:r w:rsidR="00E55873" w:rsidRPr="00CF7C36">
        <w:rPr>
          <w:i w:val="0"/>
          <w:noProof/>
        </w:rPr>
        <w:t>(Kampjut &amp; Sazanov, 2022)</w:t>
      </w:r>
      <w:r w:rsidRPr="00CF7C36">
        <w:fldChar w:fldCharType="end"/>
      </w:r>
    </w:p>
    <w:p w14:paraId="7C6BBB69" w14:textId="77777777" w:rsidR="007F65A7" w:rsidRPr="00E97FC1" w:rsidRDefault="007F65A7" w:rsidP="007F65A7">
      <w:pPr>
        <w:rPr>
          <w:lang w:val="en-GB"/>
        </w:rPr>
      </w:pPr>
    </w:p>
    <w:p w14:paraId="4C019DEF" w14:textId="26C8F2A5" w:rsidR="007F65A7" w:rsidRPr="00E97FC1" w:rsidRDefault="007F65A7" w:rsidP="007F65A7">
      <w:pPr>
        <w:ind w:firstLine="720"/>
        <w:rPr>
          <w:lang w:val="en-GB"/>
        </w:rPr>
      </w:pPr>
      <w:r w:rsidRPr="00E97FC1">
        <w:rPr>
          <w:lang w:val="en-GB"/>
        </w:rPr>
        <w:t xml:space="preserve">The mechanism proposed in </w:t>
      </w:r>
      <w:r w:rsidRPr="00E97FC1">
        <w:rPr>
          <w:lang w:val="en-GB"/>
        </w:rPr>
        <w:fldChar w:fldCharType="begin" w:fldLock="1"/>
      </w:r>
      <w:r w:rsidR="00E55873" w:rsidRPr="00E97FC1">
        <w:rPr>
          <w:lang w:val="en-GB"/>
        </w:rPr>
        <w:instrText>ADDIN CSL_CITATION {"citationItems":[{"id":"ITEM-1","itemData":{"DOI":"10.1126/science.abc4209","ISSN":"1095-9203 (Electronic)","PMID":"32972993","abstract":"Mitochondrial complex I couples NADH:ubiquinone oxidoreduction to proton pumping by  an unknown mechanism. Here, we present cryo-electron microscopy structures of ovine complex I in five different conditions, including turnover, at resolutions up to 2.3 to 2.5 angstroms. Resolved water molecules allowed us to experimentally define the proton translocation pathways. Quinone binds at three positions along the quinone cavity, as does the inhibitor rotenone that also binds within subunit ND4. Dramatic conformational changes around the quinone cavity couple the redox reaction to proton translocation during open-to-closed state transitions of the enzyme. In the induced deactive state, the open conformation is arrested by the ND6 subunit. We propose a detailed molecular coupling mechanism of complex I, which is an unexpected combination of conformational changes and electrostatic interactions.","author":[{"dropping-particle":"","family":"Kampjut","given":"Domen","non-dropping-particle":"","parse-names":false,"suffix":""},{"dropping-particle":"","family":"Sazanov","given":"Leonid A","non-dropping-particle":"","parse-names":false,"suffix":""}],"container-title":"Science (New York, N.Y.)","id":"ITEM-1","issue":"6516","issued":{"date-parts":[["2020","10"]]},"language":"eng","publisher-place":"United States","title":"The coupling mechanism of mammalian respiratory complex I.","type":"article-journal","volume":"370"},"uris":["http://www.mendeley.com/documents/?uuid=7ba13959-8c17-4313-8227-becdec77971c"]}],"mendeley":{"formattedCitation":"(Kampjut &amp; Sazanov, 2020)","plainTextFormattedCitation":"(Kampjut &amp; Sazanov, 2020)","previouslyFormattedCitation":"(Kampjut &amp; Sazanov, 2020)"},"properties":{"noteIndex":0},"schema":"https://github.com/citation-style-language/schema/raw/master/csl-citation.json"}</w:instrText>
      </w:r>
      <w:r w:rsidRPr="00E97FC1">
        <w:rPr>
          <w:lang w:val="en-GB"/>
        </w:rPr>
        <w:fldChar w:fldCharType="separate"/>
      </w:r>
      <w:r w:rsidR="00E55873" w:rsidRPr="00E97FC1">
        <w:rPr>
          <w:noProof/>
          <w:lang w:val="en-GB"/>
        </w:rPr>
        <w:t>(Kampjut &amp; Sazanov, 2020)</w:t>
      </w:r>
      <w:r w:rsidRPr="00E97FC1">
        <w:rPr>
          <w:lang w:val="en-GB"/>
        </w:rPr>
        <w:fldChar w:fldCharType="end"/>
      </w:r>
      <w:r w:rsidRPr="00E97FC1">
        <w:rPr>
          <w:lang w:val="en-GB"/>
        </w:rPr>
        <w:t xml:space="preserve"> has been the most detailed</w:t>
      </w:r>
      <w:r w:rsidR="005E4372" w:rsidRPr="00E97FC1">
        <w:rPr>
          <w:lang w:val="en-GB"/>
        </w:rPr>
        <w:t xml:space="preserve"> and complete</w:t>
      </w:r>
      <w:r w:rsidRPr="00E97FC1">
        <w:rPr>
          <w:lang w:val="en-GB"/>
        </w:rPr>
        <w:t xml:space="preserve"> </w:t>
      </w:r>
      <w:r w:rsidR="005E4372" w:rsidRPr="00E97FC1">
        <w:rPr>
          <w:lang w:val="en-GB"/>
        </w:rPr>
        <w:t>by the date and is therefore selected as a basis and the main working hypothesis for this work. Although</w:t>
      </w:r>
      <w:r w:rsidRPr="00E97FC1">
        <w:rPr>
          <w:lang w:val="en-GB"/>
        </w:rPr>
        <w:t xml:space="preserve"> </w:t>
      </w:r>
      <w:r w:rsidR="005E4372" w:rsidRPr="00E97FC1">
        <w:rPr>
          <w:lang w:val="en-GB"/>
        </w:rPr>
        <w:t>i</w:t>
      </w:r>
      <w:r w:rsidRPr="00E97FC1">
        <w:rPr>
          <w:lang w:val="en-GB"/>
        </w:rPr>
        <w:t>t has been enthusiastically received by the scientific community</w:t>
      </w:r>
      <w:r w:rsidR="005E4372" w:rsidRPr="00E97FC1">
        <w:rPr>
          <w:lang w:val="en-GB"/>
        </w:rPr>
        <w:t xml:space="preserve">, </w:t>
      </w:r>
      <w:r w:rsidRPr="00E97FC1">
        <w:rPr>
          <w:lang w:val="en-GB"/>
        </w:rPr>
        <w:t xml:space="preserve">at the same time it also raised a further debate with a recent proliferation of publications with alternative proposals </w:t>
      </w:r>
      <w:r w:rsidRPr="00E97FC1">
        <w:rPr>
          <w:lang w:val="en-GB"/>
        </w:rPr>
        <w:fldChar w:fldCharType="begin" w:fldLock="1"/>
      </w:r>
      <w:r w:rsidR="00776703" w:rsidRPr="00E97FC1">
        <w:rPr>
          <w:lang w:val="en-GB"/>
        </w:rPr>
        <w:instrText>ADDIN CSL_CITATION {"citationItems":[{"id":"ITEM-1","itemData":{"DOI":"10.1038/s41594-020-0473-x","ISSN":"1545-9985 (Electronic)","PMID":"32747785","abstract":"Mitochondrial complex I powers ATP synthesis by oxidative phosphorylation,  exploiting the energy from ubiquinone reduction by NADH to drive protons across the energy-transducing inner membrane. Recent cryo-EM analyses of mammalian and yeast complex I have revolutionized structural and mechanistic knowledge and defined structures in different functional states. Here, we describe a 2.7-Å-resolution structure of the 42-subunit complex I from the yeast Yarrowia lipolytica containing 275 structured water molecules. We identify a proton-relay pathway for ubiquinone reduction and water molecules that connect mechanistically crucial elements and constitute proton-translocation pathways through the membrane. By comparison with known structures, we deconvolute structural changes governing the mammalian 'deactive transition' (relevant to ischemia-reperfusion injury) and their effects on the ubiquinone-binding site and a connected cavity in ND1. Our structure thus provides important insights into catalysis by this enigmatic respiratory machine.","author":[{"dropping-particle":"","family":"Grba","given":"Daniel N","non-dropping-particle":"","parse-names":false,"suffix":""},{"dropping-particle":"","family":"Hirst","given":"Judy","non-dropping-particle":"","parse-names":false,"suffix":""}],"container-title":"Nature structural &amp; molecular biology","id":"ITEM-1","issued":{"date-parts":[["2020","8"]]},"language":"eng","publisher-place":"United States","title":"Mitochondrial complex I structure reveals ordered water molecules for catalysis and  proton translocation.","type":"article-journal"},"uris":["http://www.mendeley.com/documents/?uuid=408ff879-464e-4956-a74e-90e080520fd2"]},{"id":"ITEM-2","itemData":{"DOI":"10.7554/eLife.68710","ISSN":"2050-084X (Electronic)","PMID":"34308841","abstract":"Respiratory complex I is a multi-subunit membrane protein complex that reversibly  couples NADH oxidation and ubiquinone reduction with proton translocation against transmembrane potential. Complex I from Escherichia coli is among the best functionally characterized complexes, but its structure remains unknown, hindering further studies to understand the enzyme coupling mechanism. Here, we describe the single particle cryo-electron microscopy (cryo-EM) structure of the entire catalytically active E. coli complex I reconstituted into lipid nanodiscs. The structure of this mesophilic bacterial complex I displays highly dynamic connection between the peripheral and membrane domains. The peripheral domain assembly is stabilized by unique terminal extensions and an insertion loop. The membrane domain structure reveals novel dynamic features. Unusual conformation of the conserved interface between the peripheral and membrane domains suggests an uncoupled conformation of the complex. Considering constraints imposed by the structural data, we suggest a new simple hypothetical coupling mechanism for the molecular machine.","author":[{"dropping-particle":"","family":"Kolata","given":"Piotr","non-dropping-particle":"","parse-names":false,"suffix":""},{"dropping-particle":"","family":"Efremov","given":"Rouslan G","non-dropping-particle":"","parse-names":false,"suffix":""}],"container-title":"eLife","id":"ITEM-2","issued":{"date-parts":[["2021","7"]]},"language":"eng","title":"Structure of Escherichia coli respiratory complex I reconstituted into lipid  nanodiscs reveals an uncoupled conformation.","type":"article-journal","volume":"10"},"uris":["http://www.mendeley.com/documents/?uuid=b2dea1c2-29b2-4330-b6f9-9a089036b1f1"]},{"id":"ITEM-3","itemData":{"DOI":"10.1021/jacs.0c02789","ISSN":"1520-5126 (Electronic)","PMID":"32643371","abstract":"The respiratory complex I transduces redox energy into an electrochemical proton  gradient in aerobic respiratory chains, powering energy-requiring processes in the cell. However, despite recently resolved molecular structures, the mechanism of this gigantic enzyme remains poorly understood. By combining large-scale quantum and classical simulations with site-directed mutagenesis and biophysical experiments, we show here how the conformational state of buried ion-pairs and water molecules control the protonation dynamics in the membrane domain of complex I and establish evolutionary conserved long-range coupling elements. We suggest that an electrostatic wave propagates in forward and reverse directions across the 200 Å long membrane domain during enzyme turnover, without significant dissipation of energy. Our findings demonstrate molecular principles that enable efficient long-range proton-electron coupling (PCET) and how perturbation of this PCET machinery may lead to development of mitochondrial disease.","author":[{"dropping-particle":"","family":"Mühlbauer","given":"Max E","non-dropping-particle":"","parse-names":false,"suffix":""},{"dropping-particle":"","family":"Saura","given":"Patricia","non-dropping-particle":"","parse-names":false,"suffix":""},{"dropping-particle":"","family":"Nuber","given":"Franziska","non-dropping-particle":"","parse-names":false,"suffix":""},{"dropping-particle":"","family":"Luca","given":"Andrea","non-dropping-particle":"Di","parse-names":false,"suffix":""},{"dropping-particle":"","family":"Friedrich","given":"Thorsten","non-dropping-particle":"","parse-names":false,"suffix":""},{"dropping-particle":"","family":"Kaila","given":"Ville R I","non-dropping-particle":"","parse-names":false,"suffix":""}],"container-title":"Journal of the American Chemical Society","id":"ITEM-3","issue":"32","issued":{"date-parts":[["2020","8"]]},"language":"eng","page":"13718-13728","publisher-place":"United States","title":"Water-Gated Proton Transfer Dynamics in Respiratory Complex I.","type":"article-journal","volume":"142"},"uris":["http://www.mendeley.com/documents/?uuid=956184aa-289f-4d83-85dc-7a47abd53d33"]},{"id":"ITEM-4","itemData":{"DOI":"10.1038/s41467-020-19778-7","ISSN":"2041-1723 (Electronic)","PMID":"33243981","abstract":"Respiratory complex I catalyzes electron transfer from NADH to ubiquinone (Q)  coupled to vectorial proton translocation across the inner mitochondrial membrane. Despite recent progress in structure determination of this very large membrane protein complex, the coupling mechanism is a matter of ongoing debate and the function of accessory subunits surrounding the canonical core subunits is essentially unknown. Concerted rearrangements within a cluster of conserved loops of central subunits NDUFS2 (β1-β2(S2) loop), ND1 (TMH5-6(ND1) loop) and ND3 (TMH1-2(ND3) loop) were suggested to be critical for its proton pumping mechanism. Here, we show that stabilization of the TMH1-2(ND3) loop by accessory subunit LYRM6 (NDUFA6) is pivotal for energy conversion by mitochondrial complex I. We determined the high-resolution structure of inactive mutant F89A(LYRM6) of eukaryotic complex I from the yeast Yarrowia lipolytica and found long-range structural changes affecting the entire loop cluster. In atomistic molecular dynamics simulations of the mutant, we observed conformational transitions in the loop cluster that disrupted a putative pathway for delivery of substrate protons required in Q redox chemistry. Our results elucidate in detail the essential role of accessory subunit LYRM6 for the function of eukaryotic complex I and offer clues on its redox-linked proton pumping mechanism.","author":[{"dropping-particle":"","family":"Galemou Yoga","given":"Etienne","non-dropping-particle":"","parse-names":false,"suffix":""},{"dropping-particle":"","family":"Parey","given":"Kristian","non-dropping-particle":"","parse-names":false,"suffix":""},{"dropping-particle":"","family":"Djurabekova","given":"Amina","non-dropping-particle":"","parse-names":false,"suffix":""},{"dropping-particle":"","family":"Haapanen","given":"Outi","non-dropping-particle":"","parse-names":false,"suffix":""},{"dropping-particle":"","family":"Siegmund","given":"Karin","non-dropping-particle":"","parse-names":false,"suffix":""},{"dropping-particle":"","family":"Zwicker","given":"Klaus","non-dropping-particle":"","parse-names":false,"suffix":""},{"dropping-particle":"","family":"Sharma","given":"Vivek","non-dropping-particle":"","parse-names":false,"suffix":""},{"dropping-particle":"","family":"Zickermann","given":"Volker","non-dropping-particle":"","parse-names":false,"suffix":""},{"dropping-particle":"","family":"Angerer","given":"Heike","non-dropping-particle":"","parse-names":false,"suffix":""}],"container-title":"Nature communications","id":"ITEM-4","issue":"1","issued":{"date-parts":[["2020","11"]]},"language":"eng","page":"6008","title":"Essential role of accessory subunit LYRM6 in the mechanism of mitochondrial  complex I.","type":"article-journal","volume":"11"},"uris":["http://www.mendeley.com/documents/?uuid=94f02561-57c6-4ea1-9b59-884cd4625b81"]}],"mendeley":{"formattedCitation":"(Grba &amp; Hirst, 2020; Kolata &amp; Efremov, 2021; Mühlbauer &lt;i&gt;et al&lt;/i&gt;, 2020; Galemou Yoga &lt;i&gt;et al&lt;/i&gt;, 2020)","plainTextFormattedCitation":"(Grba &amp; Hirst, 2020; Kolata &amp; Efremov, 2021; Mühlbauer et al, 2020; Galemou Yoga et al, 2020)","previouslyFormattedCitation":"(Grba &amp; Hirst, 2020; Kolata &amp; Efremov, 2021; Mühlbauer &lt;i&gt;et al&lt;/i&gt;, 2020; Galemou Yoga &lt;i&gt;et al&lt;/i&gt;, 2020)"},"properties":{"noteIndex":0},"schema":"https://github.com/citation-style-language/schema/raw/master/csl-citation.json"}</w:instrText>
      </w:r>
      <w:r w:rsidRPr="00E97FC1">
        <w:rPr>
          <w:lang w:val="en-GB"/>
        </w:rPr>
        <w:fldChar w:fldCharType="separate"/>
      </w:r>
      <w:r w:rsidR="00E55873" w:rsidRPr="00E97FC1">
        <w:rPr>
          <w:noProof/>
          <w:lang w:val="en-GB"/>
        </w:rPr>
        <w:t xml:space="preserve">(Grba &amp; Hirst, 2020; Kolata &amp; Efremov, 2021; Mühlbauer </w:t>
      </w:r>
      <w:r w:rsidR="00E55873" w:rsidRPr="00E97FC1">
        <w:rPr>
          <w:i/>
          <w:noProof/>
          <w:lang w:val="en-GB"/>
        </w:rPr>
        <w:t>et al</w:t>
      </w:r>
      <w:r w:rsidR="00E55873" w:rsidRPr="00E97FC1">
        <w:rPr>
          <w:noProof/>
          <w:lang w:val="en-GB"/>
        </w:rPr>
        <w:t xml:space="preserve">, 2020; Galemou Yoga </w:t>
      </w:r>
      <w:r w:rsidR="00E55873" w:rsidRPr="00E97FC1">
        <w:rPr>
          <w:i/>
          <w:noProof/>
          <w:lang w:val="en-GB"/>
        </w:rPr>
        <w:t>et al</w:t>
      </w:r>
      <w:r w:rsidR="00E55873" w:rsidRPr="00E97FC1">
        <w:rPr>
          <w:noProof/>
          <w:lang w:val="en-GB"/>
        </w:rPr>
        <w:t>, 2020)</w:t>
      </w:r>
      <w:r w:rsidRPr="00E97FC1">
        <w:rPr>
          <w:lang w:val="en-GB"/>
        </w:rPr>
        <w:fldChar w:fldCharType="end"/>
      </w:r>
      <w:r w:rsidRPr="00E97FC1">
        <w:rPr>
          <w:lang w:val="en-GB"/>
        </w:rPr>
        <w:t>. Indeed, the mechanism was quite radical and poised unresolved questions: are some of the observed features specific for mammalian enzyme? What are the actual proton translocation pathways: through all the antiporters or only the terminal one? What is the role of the open state with the disordered quinone site? What is the exact sequence of protonation events within the antiporters?</w:t>
      </w:r>
      <w:r w:rsidR="005E4372" w:rsidRPr="00E97FC1">
        <w:rPr>
          <w:lang w:val="en-GB"/>
        </w:rPr>
        <w:t xml:space="preserve"> Thus, the main objective of this work is to resolve these issues and further elaborate the coupling mechanism.</w:t>
      </w:r>
    </w:p>
    <w:p w14:paraId="7514BE26" w14:textId="5739E3D8" w:rsidR="008B6CFE" w:rsidRDefault="008B6CFE" w:rsidP="008B6CFE">
      <w:pPr>
        <w:rPr>
          <w:lang w:val="en-GB"/>
        </w:rPr>
      </w:pPr>
    </w:p>
    <w:p w14:paraId="61129ADB" w14:textId="77777777" w:rsidR="00304D5E" w:rsidRPr="00E97FC1" w:rsidRDefault="00304D5E" w:rsidP="008B6CFE">
      <w:pPr>
        <w:rPr>
          <w:lang w:val="en-GB"/>
        </w:rPr>
      </w:pPr>
    </w:p>
    <w:p w14:paraId="37CFC053" w14:textId="77777777" w:rsidR="00C017B5" w:rsidRPr="00E97FC1" w:rsidRDefault="00C017B5" w:rsidP="00F016AD">
      <w:pPr>
        <w:pStyle w:val="Heading2"/>
      </w:pPr>
      <w:bookmarkStart w:id="61" w:name="_Toc132639990"/>
      <w:r w:rsidRPr="00E97FC1">
        <w:t>Goals of the project</w:t>
      </w:r>
      <w:bookmarkEnd w:id="61"/>
    </w:p>
    <w:p w14:paraId="38120832" w14:textId="591A1596" w:rsidR="005E4372" w:rsidRPr="00E97FC1" w:rsidRDefault="00F8641E" w:rsidP="00E16E75">
      <w:pPr>
        <w:pStyle w:val="ListParagraph"/>
        <w:numPr>
          <w:ilvl w:val="0"/>
          <w:numId w:val="26"/>
        </w:numPr>
        <w:spacing w:line="360" w:lineRule="auto"/>
        <w:rPr>
          <w:b/>
        </w:rPr>
      </w:pPr>
      <w:r w:rsidRPr="00E97FC1">
        <w:rPr>
          <w:b/>
        </w:rPr>
        <w:t xml:space="preserve">To understand general features </w:t>
      </w:r>
      <w:r w:rsidR="00E80E22" w:rsidRPr="00E97FC1">
        <w:rPr>
          <w:b/>
        </w:rPr>
        <w:t xml:space="preserve">of </w:t>
      </w:r>
      <w:r w:rsidRPr="00E97FC1">
        <w:rPr>
          <w:b/>
        </w:rPr>
        <w:t>the coupling mechanism</w:t>
      </w:r>
    </w:p>
    <w:p w14:paraId="26D12A0D" w14:textId="24C39A3C" w:rsidR="00D21527" w:rsidRPr="00E97FC1" w:rsidRDefault="00E16E75" w:rsidP="00E16E75">
      <w:pPr>
        <w:rPr>
          <w:lang w:val="en-GB"/>
        </w:rPr>
      </w:pPr>
      <w:r w:rsidRPr="00E97FC1">
        <w:rPr>
          <w:lang w:val="en-GB"/>
        </w:rPr>
        <w:t xml:space="preserve">The first goal of this project is to resolve high resolution structure of the entire </w:t>
      </w:r>
      <w:r w:rsidRPr="00E97FC1">
        <w:rPr>
          <w:i/>
          <w:lang w:val="en-GB"/>
        </w:rPr>
        <w:t>E. coli</w:t>
      </w:r>
      <w:r w:rsidRPr="00E97FC1">
        <w:rPr>
          <w:lang w:val="en-GB"/>
        </w:rPr>
        <w:t xml:space="preserve"> complex I. This will be followed by other structures in different states: inhibited, reduced, with bound quinone and under catalytic turnover. These structures are necessary to observe conformational dynamics of the complex and derive general, non-specific features of the coupling mechanism. Besides, the structures will also help to explain features specific for </w:t>
      </w:r>
      <w:r w:rsidRPr="00E97FC1">
        <w:rPr>
          <w:i/>
          <w:lang w:val="en-GB"/>
        </w:rPr>
        <w:t>Ec</w:t>
      </w:r>
      <w:r w:rsidR="00E80E22" w:rsidRPr="00E97FC1">
        <w:rPr>
          <w:lang w:val="en-GB"/>
        </w:rPr>
        <w:t>C</w:t>
      </w:r>
      <w:r w:rsidRPr="00E97FC1">
        <w:rPr>
          <w:lang w:val="en-GB"/>
        </w:rPr>
        <w:t xml:space="preserve">I, i.e. unusual N1a cluster, rotenone insensitivity, etc. </w:t>
      </w:r>
    </w:p>
    <w:p w14:paraId="4146FDEE" w14:textId="77777777" w:rsidR="00D21527" w:rsidRPr="00E97FC1" w:rsidRDefault="00D21527" w:rsidP="00D21527">
      <w:pPr>
        <w:pStyle w:val="ListParagraph"/>
      </w:pPr>
    </w:p>
    <w:p w14:paraId="5B8858B1" w14:textId="77777777" w:rsidR="00254577" w:rsidRPr="00E97FC1" w:rsidRDefault="00D21527" w:rsidP="00F8641E">
      <w:pPr>
        <w:pStyle w:val="ListParagraph"/>
        <w:numPr>
          <w:ilvl w:val="0"/>
          <w:numId w:val="26"/>
        </w:numPr>
        <w:spacing w:line="360" w:lineRule="auto"/>
        <w:rPr>
          <w:b/>
        </w:rPr>
      </w:pPr>
      <w:r w:rsidRPr="00E97FC1">
        <w:rPr>
          <w:b/>
        </w:rPr>
        <w:t>Investigate conformational dynamics of NDH complex</w:t>
      </w:r>
    </w:p>
    <w:p w14:paraId="18BF7836" w14:textId="7B08F3AB" w:rsidR="00D21527" w:rsidRPr="00E97FC1" w:rsidRDefault="00F8641E" w:rsidP="00D21527">
      <w:pPr>
        <w:rPr>
          <w:lang w:val="en-GB"/>
        </w:rPr>
      </w:pPr>
      <w:r w:rsidRPr="00E97FC1">
        <w:rPr>
          <w:lang w:val="en-GB"/>
        </w:rPr>
        <w:t>The structure of NDH has been solved, however, not much is known about its mechanism and conformational dynamics. The second part of this work aims to study conformational dynamics and structure of NDH using extensive cryo-EM and structural data analysis. It would be interesting to see whether the two evolutionary related but distant structures (</w:t>
      </w:r>
      <w:r w:rsidRPr="00E97FC1">
        <w:rPr>
          <w:i/>
          <w:lang w:val="en-GB"/>
        </w:rPr>
        <w:t>Ec</w:t>
      </w:r>
      <w:r w:rsidRPr="00E97FC1">
        <w:rPr>
          <w:lang w:val="en-GB"/>
        </w:rPr>
        <w:t>CI and N</w:t>
      </w:r>
      <w:r w:rsidR="002962AA" w:rsidRPr="00E97FC1">
        <w:rPr>
          <w:lang w:val="en-GB"/>
        </w:rPr>
        <w:t>DH</w:t>
      </w:r>
      <w:r w:rsidRPr="00E97FC1">
        <w:rPr>
          <w:lang w:val="en-GB"/>
        </w:rPr>
        <w:t>) share the same mechanistic features, given that most of the core subunits conserved.</w:t>
      </w:r>
    </w:p>
    <w:p w14:paraId="04737767" w14:textId="77777777" w:rsidR="007E4DC2" w:rsidRPr="00E97FC1" w:rsidRDefault="007E4DC2" w:rsidP="00D21527">
      <w:pPr>
        <w:rPr>
          <w:lang w:val="en-GB"/>
        </w:rPr>
      </w:pPr>
    </w:p>
    <w:p w14:paraId="5CB85E58" w14:textId="77777777" w:rsidR="007E4DC2" w:rsidRPr="00E97FC1" w:rsidRDefault="00EF323C" w:rsidP="00EF323C">
      <w:pPr>
        <w:spacing w:after="160" w:line="259" w:lineRule="auto"/>
        <w:jc w:val="left"/>
        <w:rPr>
          <w:lang w:val="en-GB"/>
        </w:rPr>
      </w:pPr>
      <w:r w:rsidRPr="00E97FC1">
        <w:rPr>
          <w:lang w:val="en-GB"/>
        </w:rPr>
        <w:br w:type="page"/>
      </w:r>
    </w:p>
    <w:p w14:paraId="28082B17" w14:textId="77777777" w:rsidR="009F243C" w:rsidRPr="00E97FC1" w:rsidRDefault="009F243C" w:rsidP="002730C3">
      <w:pPr>
        <w:pStyle w:val="Heading1"/>
      </w:pPr>
      <w:bookmarkStart w:id="62" w:name="_Toc132639991"/>
      <w:r w:rsidRPr="00E97FC1">
        <w:lastRenderedPageBreak/>
        <w:t>Methods</w:t>
      </w:r>
      <w:bookmarkEnd w:id="62"/>
    </w:p>
    <w:p w14:paraId="5C69D204" w14:textId="77777777" w:rsidR="00DF0F26" w:rsidRPr="00E97FC1" w:rsidRDefault="00DF0F26" w:rsidP="00F016AD">
      <w:pPr>
        <w:pStyle w:val="Heading2"/>
      </w:pPr>
      <w:bookmarkStart w:id="63" w:name="_Toc132639992"/>
      <w:r w:rsidRPr="00E97FC1">
        <w:t>Sample Preparation</w:t>
      </w:r>
      <w:bookmarkEnd w:id="63"/>
    </w:p>
    <w:p w14:paraId="62AADA4A" w14:textId="3A9CE135" w:rsidR="00DF0F26" w:rsidRPr="00E97FC1" w:rsidRDefault="00197DCA" w:rsidP="00DF0F26">
      <w:pPr>
        <w:pStyle w:val="Heading3"/>
      </w:pPr>
      <w:bookmarkStart w:id="64" w:name="_Toc132639993"/>
      <w:r w:rsidRPr="00E97FC1">
        <w:t>Sample</w:t>
      </w:r>
      <w:r w:rsidR="00DF0F26" w:rsidRPr="00E97FC1">
        <w:t xml:space="preserve"> preparation and purification</w:t>
      </w:r>
      <w:bookmarkEnd w:id="64"/>
    </w:p>
    <w:p w14:paraId="4F8525DE" w14:textId="2D959F5B" w:rsidR="00DF0F26" w:rsidRPr="00E97FC1" w:rsidRDefault="00DF0F26" w:rsidP="00DF0F26">
      <w:pPr>
        <w:ind w:firstLine="720"/>
        <w:rPr>
          <w:rFonts w:cs="Times New Roman"/>
          <w:szCs w:val="40"/>
          <w:lang w:val="en-GB"/>
        </w:rPr>
      </w:pPr>
      <w:r w:rsidRPr="00E97FC1">
        <w:rPr>
          <w:rFonts w:cs="Times New Roman"/>
          <w:i/>
          <w:szCs w:val="40"/>
          <w:lang w:val="en-GB"/>
        </w:rPr>
        <w:t>Ec</w:t>
      </w:r>
      <w:r w:rsidRPr="00E97FC1">
        <w:rPr>
          <w:rFonts w:cs="Times New Roman"/>
          <w:szCs w:val="40"/>
          <w:lang w:val="en-GB"/>
        </w:rPr>
        <w:t xml:space="preserve">CI was purified from BL21 (DDM and DDM/LMNG datasets) or MC4100 (LMNG datasets) </w:t>
      </w:r>
      <w:r w:rsidRPr="00E97FC1">
        <w:rPr>
          <w:rFonts w:cs="Times New Roman"/>
          <w:i/>
          <w:szCs w:val="40"/>
          <w:lang w:val="en-GB"/>
        </w:rPr>
        <w:t xml:space="preserve">E. coli </w:t>
      </w:r>
      <w:r w:rsidRPr="00E97FC1">
        <w:rPr>
          <w:rFonts w:cs="Times New Roman"/>
          <w:szCs w:val="40"/>
          <w:lang w:val="en-GB"/>
        </w:rPr>
        <w:t xml:space="preserve">cells by anion exchange and size exclusion chromatography as described before </w:t>
      </w:r>
      <w:r w:rsidRPr="00E97FC1">
        <w:rPr>
          <w:rFonts w:cs="Times New Roman"/>
          <w:szCs w:val="40"/>
          <w:lang w:val="en-GB"/>
        </w:rPr>
        <w:fldChar w:fldCharType="begin" w:fldLock="1"/>
      </w:r>
      <w:r w:rsidR="00776703" w:rsidRPr="00E97FC1">
        <w:rPr>
          <w:rFonts w:cs="Times New Roman"/>
          <w:szCs w:val="40"/>
          <w:lang w:val="en-GB"/>
        </w:rPr>
        <w:instrText>ADDIN CSL_CITATION {"citationItems":[{"id":"ITEM-1","itemData":{"DOI":"10.1074/jbc.M208959200","ISSN":"0021-9258 (Print)","PMID":"12637579","abstract":"NADH-ubiquinone oxidoreductase (complex I or NDH-1) was purified from the BL21 strain of Escherichia coli using an improved procedure. The complex was effectively stabilized by addition of divalent cations and lipids, making the preparation suitable for structural studies. The ubiquinone reductase activity of the enzyme was fully restored by addition of native E. coli lipids. Two different two-dimensional crystal forms, with p2 and p3 symmetry, were obtained using lipids containing native E. coli extracts. Analysis of the crystals showed that they are formed by fully intact complex I in an L-shaped conformation. Activity assays and single particle analysis indicated that complex I maintains this structure in detergent solution and does not adopt a different conformation in the active state. Thus, we provide the first experimental evidence that complex I from E. coli has an L-shape in a lipid bilayer and confirm that this is also the case for the active enzyme in solution. This suggests strongly that bacterial complex I exists in an L-shaped conformation in vivo. Our results also indicate that native lipids play an important role in the activation, stabilization and, as a consequence, crystallization of purified complex I from E. coli.","author":[{"dropping-particle":"","family":"Sazanov","given":"Leonid A","non-dropping-particle":"","parse-names":false,"suffix":""},{"dropping-particle":"","family":"Carroll","given":"Joe","non-dropping-particle":"","parse-names":false,"suffix":""},{"dropping-particle":"","family":"Holt","given":"Peter","non-dropping-particle":"","parse-names":false,"suffix":""},{"dropping-particle":"","family":"Toime","given":"Laurence","non-dropping-particle":"","parse-names":false,"suffix":""},{"dropping-particle":"","family":"Fearnley","given":"Ian M","non-dropping-particle":"","parse-names":false,"suffix":""}],"container-title":"The Journal of biological chemistry","id":"ITEM-1","issue":"21","issued":{"date-parts":[["2003","5"]]},"language":"eng","page":"19483-19491","publisher-place":"United States","title":"A role for native lipids in the stabilization and two-dimensional crystallization of the Escherichia coli NADH-ubiquinone oxidoreductase (complex I).","type":"article-journal","volume":"278"},"uris":["http://www.mendeley.com/documents/?uuid=9838cd68-3f4b-48c2-872e-0893d87a06b1"]}],"mendeley":{"formattedCitation":"(Sazanov &lt;i&gt;et al&lt;/i&gt;, 2003)","plainTextFormattedCitation":"(Sazanov et al, 2003)","previouslyFormattedCitation":"(Sazanov &lt;i&gt;et al&lt;/i&gt;, 2003)"},"properties":{"noteIndex":0},"schema":"https://github.com/citation-style-language/schema/raw/master/csl-citation.json"}</w:instrText>
      </w:r>
      <w:r w:rsidRPr="00E97FC1">
        <w:rPr>
          <w:rFonts w:cs="Times New Roman"/>
          <w:szCs w:val="40"/>
          <w:lang w:val="en-GB"/>
        </w:rPr>
        <w:fldChar w:fldCharType="separate"/>
      </w:r>
      <w:r w:rsidR="00E55873" w:rsidRPr="00E97FC1">
        <w:rPr>
          <w:rFonts w:cs="Times New Roman"/>
          <w:noProof/>
          <w:szCs w:val="40"/>
          <w:lang w:val="en-GB"/>
        </w:rPr>
        <w:t xml:space="preserve">(Sazanov </w:t>
      </w:r>
      <w:r w:rsidR="00E55873" w:rsidRPr="00E97FC1">
        <w:rPr>
          <w:rFonts w:cs="Times New Roman"/>
          <w:i/>
          <w:noProof/>
          <w:szCs w:val="40"/>
          <w:lang w:val="en-GB"/>
        </w:rPr>
        <w:t>et al</w:t>
      </w:r>
      <w:r w:rsidR="00E55873" w:rsidRPr="00E97FC1">
        <w:rPr>
          <w:rFonts w:cs="Times New Roman"/>
          <w:noProof/>
          <w:szCs w:val="40"/>
          <w:lang w:val="en-GB"/>
        </w:rPr>
        <w:t>, 2003)</w:t>
      </w:r>
      <w:r w:rsidRPr="00E97FC1">
        <w:rPr>
          <w:rFonts w:cs="Times New Roman"/>
          <w:szCs w:val="40"/>
          <w:lang w:val="en-GB"/>
        </w:rPr>
        <w:fldChar w:fldCharType="end"/>
      </w:r>
      <w:r w:rsidRPr="00E97FC1">
        <w:rPr>
          <w:rFonts w:cs="Times New Roman"/>
          <w:szCs w:val="40"/>
          <w:lang w:val="en-GB"/>
        </w:rPr>
        <w:t xml:space="preserve">. This procedure gave a pure and active native protein preparation without any added purification tags. Concentrated </w:t>
      </w:r>
      <w:r w:rsidRPr="00E97FC1">
        <w:rPr>
          <w:rFonts w:cs="Times New Roman"/>
          <w:i/>
          <w:szCs w:val="40"/>
          <w:lang w:val="en-GB"/>
        </w:rPr>
        <w:t>Ec</w:t>
      </w:r>
      <w:r w:rsidRPr="00E97FC1">
        <w:rPr>
          <w:rFonts w:cs="Times New Roman"/>
          <w:szCs w:val="40"/>
          <w:lang w:val="en-GB"/>
        </w:rPr>
        <w:t>CI stocks were stored under liquid nitrogen in small aliquots in 20 mM Bis-Tris pH 6.0, 50 mM NaCl, 2 mM CaCl</w:t>
      </w:r>
      <w:r w:rsidRPr="00E97FC1">
        <w:rPr>
          <w:rFonts w:cs="Times New Roman"/>
          <w:szCs w:val="40"/>
          <w:vertAlign w:val="subscript"/>
          <w:lang w:val="en-GB"/>
        </w:rPr>
        <w:t>2</w:t>
      </w:r>
      <w:r w:rsidRPr="00E97FC1">
        <w:rPr>
          <w:rFonts w:cs="Times New Roman"/>
          <w:szCs w:val="40"/>
          <w:lang w:val="en-GB"/>
        </w:rPr>
        <w:t xml:space="preserve">, 18% glycerol and ~2% DDM in case of DDM and DDM/LMNG datasets while LMNG purified protein was stored in 20 mM MES-HCl pH 6.0, 200 mM NaCl, 30% glycerol and ~0.7% LMNG. The amount of detergent in protein stocks was high because of the final concentrating procedure. </w:t>
      </w:r>
    </w:p>
    <w:p w14:paraId="420A9F73" w14:textId="1360AFE2" w:rsidR="00DF0F26" w:rsidRPr="00E97FC1" w:rsidRDefault="00DF0F26" w:rsidP="00DF0F26">
      <w:pPr>
        <w:ind w:firstLine="720"/>
        <w:rPr>
          <w:rFonts w:cs="Times New Roman"/>
          <w:szCs w:val="40"/>
          <w:lang w:val="en-GB"/>
        </w:rPr>
      </w:pPr>
      <w:r w:rsidRPr="00E97FC1">
        <w:rPr>
          <w:rFonts w:cs="Times New Roman"/>
          <w:szCs w:val="40"/>
          <w:lang w:val="en-GB"/>
        </w:rPr>
        <w:t xml:space="preserve">Purification protocol for sample in LMNG was slightly adjusted from </w:t>
      </w:r>
      <w:r w:rsidRPr="00E97FC1">
        <w:rPr>
          <w:rFonts w:cs="Times New Roman"/>
          <w:szCs w:val="40"/>
          <w:lang w:val="en-GB"/>
        </w:rPr>
        <w:fldChar w:fldCharType="begin" w:fldLock="1"/>
      </w:r>
      <w:r w:rsidR="00776703" w:rsidRPr="00E97FC1">
        <w:rPr>
          <w:rFonts w:cs="Times New Roman"/>
          <w:szCs w:val="40"/>
          <w:lang w:val="en-GB"/>
        </w:rPr>
        <w:instrText>ADDIN CSL_CITATION {"citationItems":[{"id":"ITEM-1","itemData":{"DOI":"10.1074/jbc.M208959200","ISSN":"0021-9258 (Print)","PMID":"12637579","abstract":"NADH-ubiquinone oxidoreductase (complex I or NDH-1) was purified from the BL21 strain of Escherichia coli using an improved procedure. The complex was effectively stabilized by addition of divalent cations and lipids, making the preparation suitable for structural studies. The ubiquinone reductase activity of the enzyme was fully restored by addition of native E. coli lipids. Two different two-dimensional crystal forms, with p2 and p3 symmetry, were obtained using lipids containing native E. coli extracts. Analysis of the crystals showed that they are formed by fully intact complex I in an L-shaped conformation. Activity assays and single particle analysis indicated that complex I maintains this structure in detergent solution and does not adopt a different conformation in the active state. Thus, we provide the first experimental evidence that complex I from E. coli has an L-shape in a lipid bilayer and confirm that this is also the case for the active enzyme in solution. This suggests strongly that bacterial complex I exists in an L-shaped conformation in vivo. Our results also indicate that native lipids play an important role in the activation, stabilization and, as a consequence, crystallization of purified complex I from E. coli.","author":[{"dropping-particle":"","family":"Sazanov","given":"Leonid A","non-dropping-particle":"","parse-names":false,"suffix":""},{"dropping-particle":"","family":"Carroll","given":"Joe","non-dropping-particle":"","parse-names":false,"suffix":""},{"dropping-particle":"","family":"Holt","given":"Peter","non-dropping-particle":"","parse-names":false,"suffix":""},{"dropping-particle":"","family":"Toime","given":"Laurence","non-dropping-particle":"","parse-names":false,"suffix":""},{"dropping-particle":"","family":"Fearnley","given":"Ian M","non-dropping-particle":"","parse-names":false,"suffix":""}],"container-title":"The Journal of biological chemistry","id":"ITEM-1","issue":"21","issued":{"date-parts":[["2003","5"]]},"language":"eng","page":"19483-19491","publisher-place":"United States","title":"A role for native lipids in the stabilization and two-dimensional crystallization of the Escherichia coli NADH-ubiquinone oxidoreductase (complex I).","type":"article-journal","volume":"278"},"uris":["http://www.mendeley.com/documents/?uuid=9838cd68-3f4b-48c2-872e-0893d87a06b1"]}],"mendeley":{"formattedCitation":"(Sazanov &lt;i&gt;et al&lt;/i&gt;, 2003)","plainTextFormattedCitation":"(Sazanov et al, 2003)","previouslyFormattedCitation":"(Sazanov &lt;i&gt;et al&lt;/i&gt;, 2003)"},"properties":{"noteIndex":0},"schema":"https://github.com/citation-style-language/schema/raw/master/csl-citation.json"}</w:instrText>
      </w:r>
      <w:r w:rsidRPr="00E97FC1">
        <w:rPr>
          <w:rFonts w:cs="Times New Roman"/>
          <w:szCs w:val="40"/>
          <w:lang w:val="en-GB"/>
        </w:rPr>
        <w:fldChar w:fldCharType="separate"/>
      </w:r>
      <w:r w:rsidR="00E55873" w:rsidRPr="00E97FC1">
        <w:rPr>
          <w:rFonts w:cs="Times New Roman"/>
          <w:noProof/>
          <w:szCs w:val="40"/>
          <w:lang w:val="en-GB"/>
        </w:rPr>
        <w:t xml:space="preserve">(Sazanov </w:t>
      </w:r>
      <w:r w:rsidR="00E55873" w:rsidRPr="00E97FC1">
        <w:rPr>
          <w:rFonts w:cs="Times New Roman"/>
          <w:i/>
          <w:noProof/>
          <w:szCs w:val="40"/>
          <w:lang w:val="en-GB"/>
        </w:rPr>
        <w:t>et al</w:t>
      </w:r>
      <w:r w:rsidR="00E55873" w:rsidRPr="00E97FC1">
        <w:rPr>
          <w:rFonts w:cs="Times New Roman"/>
          <w:noProof/>
          <w:szCs w:val="40"/>
          <w:lang w:val="en-GB"/>
        </w:rPr>
        <w:t>, 2003)</w:t>
      </w:r>
      <w:r w:rsidRPr="00E97FC1">
        <w:rPr>
          <w:rFonts w:cs="Times New Roman"/>
          <w:szCs w:val="40"/>
          <w:lang w:val="en-GB"/>
        </w:rPr>
        <w:fldChar w:fldCharType="end"/>
      </w:r>
      <w:r w:rsidRPr="00E97FC1">
        <w:rPr>
          <w:rFonts w:cs="Times New Roman"/>
          <w:szCs w:val="40"/>
          <w:lang w:val="en-GB"/>
        </w:rPr>
        <w:t>. In detail, 30 ml of MC4100 membranes were thawed (from -80 °C) with protease inhibitor added (-EDTA, PMSF 0.002%). Then the membranes were solubilized with LMNG (2% final) for 1 hour. After solubilisation the membranes were spun at 220</w:t>
      </w:r>
      <w:r w:rsidR="002962AA" w:rsidRPr="00E97FC1">
        <w:rPr>
          <w:rFonts w:cs="Times New Roman"/>
          <w:szCs w:val="40"/>
          <w:lang w:val="en-GB"/>
        </w:rPr>
        <w:t xml:space="preserve">000 </w:t>
      </w:r>
      <w:r w:rsidRPr="00E97FC1">
        <w:rPr>
          <w:rFonts w:cs="Times New Roman"/>
          <w:i/>
          <w:szCs w:val="40"/>
          <w:lang w:val="en-GB"/>
        </w:rPr>
        <w:t>g</w:t>
      </w:r>
      <w:r w:rsidRPr="00E97FC1">
        <w:rPr>
          <w:rFonts w:cs="Times New Roman"/>
          <w:szCs w:val="40"/>
          <w:lang w:val="en-GB"/>
        </w:rPr>
        <w:t xml:space="preserve"> using 70Ti rotor for 1 hour. For the following anion exchange chromatography, two buffers were made: AFG and BFG. AFG buffer includes 20 mM MES-HCl pH 6, 0.05 LMNG, 10% glycerol, 0.002% PMSF, while BFG is AFG + 1M NaCl. Before application on HiLoad 26/10 Q-sepharose column, the sample was diluted in 15% final BFG buffer. The column was equilibrated in 90% AFG and 10% BFG buffer. Fraction elution gradient was following: </w:t>
      </w:r>
    </w:p>
    <w:tbl>
      <w:tblPr>
        <w:tblStyle w:val="TableGrid"/>
        <w:tblW w:w="0" w:type="auto"/>
        <w:jc w:val="center"/>
        <w:tblLook w:val="04A0" w:firstRow="1" w:lastRow="0" w:firstColumn="1" w:lastColumn="0" w:noHBand="0" w:noVBand="1"/>
      </w:tblPr>
      <w:tblGrid>
        <w:gridCol w:w="1132"/>
        <w:gridCol w:w="1132"/>
        <w:gridCol w:w="1132"/>
        <w:gridCol w:w="1132"/>
      </w:tblGrid>
      <w:tr w:rsidR="00DF0F26" w:rsidRPr="00E97FC1" w14:paraId="2578BDFA" w14:textId="77777777" w:rsidTr="006B318B">
        <w:trPr>
          <w:trHeight w:val="359"/>
          <w:jc w:val="center"/>
        </w:trPr>
        <w:tc>
          <w:tcPr>
            <w:tcW w:w="1132" w:type="dxa"/>
          </w:tcPr>
          <w:p w14:paraId="2C93C489" w14:textId="77777777" w:rsidR="00DF0F26" w:rsidRPr="00E97FC1" w:rsidRDefault="00DF0F26" w:rsidP="006B318B">
            <w:pPr>
              <w:rPr>
                <w:rFonts w:cs="Times New Roman"/>
                <w:sz w:val="20"/>
                <w:szCs w:val="40"/>
                <w:lang w:val="en-GB"/>
              </w:rPr>
            </w:pPr>
            <w:r w:rsidRPr="00E97FC1">
              <w:rPr>
                <w:rFonts w:cs="Times New Roman"/>
                <w:sz w:val="20"/>
                <w:szCs w:val="40"/>
                <w:lang w:val="en-GB"/>
              </w:rPr>
              <w:t>1</w:t>
            </w:r>
            <w:r w:rsidRPr="00E97FC1">
              <w:rPr>
                <w:rFonts w:cs="Times New Roman"/>
                <w:sz w:val="20"/>
                <w:szCs w:val="40"/>
                <w:vertAlign w:val="superscript"/>
                <w:lang w:val="en-GB"/>
              </w:rPr>
              <w:t>st</w:t>
            </w:r>
            <w:r w:rsidRPr="00E97FC1">
              <w:rPr>
                <w:rFonts w:cs="Times New Roman"/>
                <w:sz w:val="20"/>
                <w:szCs w:val="40"/>
                <w:lang w:val="en-GB"/>
              </w:rPr>
              <w:t xml:space="preserve"> run</w:t>
            </w:r>
          </w:p>
          <w:p w14:paraId="3BE799BB" w14:textId="77777777" w:rsidR="00DF0F26" w:rsidRPr="00E97FC1" w:rsidRDefault="00DF0F26" w:rsidP="006B318B">
            <w:pPr>
              <w:rPr>
                <w:rFonts w:cs="Times New Roman"/>
                <w:sz w:val="20"/>
                <w:szCs w:val="40"/>
                <w:lang w:val="en-GB"/>
              </w:rPr>
            </w:pPr>
            <w:r w:rsidRPr="00E97FC1">
              <w:rPr>
                <w:rFonts w:cs="Times New Roman"/>
                <w:sz w:val="20"/>
                <w:szCs w:val="40"/>
                <w:lang w:val="en-GB"/>
              </w:rPr>
              <w:t>Vol, ml</w:t>
            </w:r>
          </w:p>
        </w:tc>
        <w:tc>
          <w:tcPr>
            <w:tcW w:w="1132" w:type="dxa"/>
          </w:tcPr>
          <w:p w14:paraId="3F016C3B" w14:textId="77777777" w:rsidR="00DF0F26" w:rsidRPr="00E97FC1" w:rsidRDefault="00DF0F26" w:rsidP="006B318B">
            <w:pPr>
              <w:rPr>
                <w:rFonts w:cs="Times New Roman"/>
                <w:sz w:val="20"/>
                <w:szCs w:val="40"/>
                <w:lang w:val="en-GB"/>
              </w:rPr>
            </w:pPr>
            <w:r w:rsidRPr="00E97FC1">
              <w:rPr>
                <w:rFonts w:cs="Times New Roman"/>
                <w:sz w:val="20"/>
                <w:szCs w:val="40"/>
                <w:lang w:val="en-GB"/>
              </w:rPr>
              <w:t>1</w:t>
            </w:r>
            <w:r w:rsidRPr="00E97FC1">
              <w:rPr>
                <w:rFonts w:cs="Times New Roman"/>
                <w:sz w:val="20"/>
                <w:szCs w:val="40"/>
                <w:vertAlign w:val="superscript"/>
                <w:lang w:val="en-GB"/>
              </w:rPr>
              <w:t>st</w:t>
            </w:r>
            <w:r w:rsidRPr="00E97FC1">
              <w:rPr>
                <w:rFonts w:cs="Times New Roman"/>
                <w:sz w:val="20"/>
                <w:szCs w:val="40"/>
                <w:lang w:val="en-GB"/>
              </w:rPr>
              <w:t xml:space="preserve"> run</w:t>
            </w:r>
          </w:p>
          <w:p w14:paraId="34A1F058" w14:textId="77777777" w:rsidR="00DF0F26" w:rsidRPr="00E97FC1" w:rsidRDefault="00DF0F26" w:rsidP="006B318B">
            <w:pPr>
              <w:rPr>
                <w:rFonts w:cs="Times New Roman"/>
                <w:sz w:val="20"/>
                <w:szCs w:val="40"/>
                <w:lang w:val="en-GB"/>
              </w:rPr>
            </w:pPr>
            <w:r w:rsidRPr="00E97FC1">
              <w:rPr>
                <w:rFonts w:cs="Times New Roman"/>
                <w:sz w:val="20"/>
                <w:szCs w:val="40"/>
                <w:lang w:val="en-GB"/>
              </w:rPr>
              <w:t>% BFG</w:t>
            </w:r>
          </w:p>
        </w:tc>
        <w:tc>
          <w:tcPr>
            <w:tcW w:w="1132" w:type="dxa"/>
          </w:tcPr>
          <w:p w14:paraId="438E42CD" w14:textId="77777777" w:rsidR="00DF0F26" w:rsidRPr="00E97FC1" w:rsidRDefault="00DF0F26" w:rsidP="006B318B">
            <w:pPr>
              <w:rPr>
                <w:rFonts w:cs="Times New Roman"/>
                <w:sz w:val="20"/>
                <w:szCs w:val="40"/>
                <w:lang w:val="en-GB"/>
              </w:rPr>
            </w:pPr>
            <w:r w:rsidRPr="00E97FC1">
              <w:rPr>
                <w:rFonts w:cs="Times New Roman"/>
                <w:sz w:val="20"/>
                <w:szCs w:val="40"/>
                <w:lang w:val="en-GB"/>
              </w:rPr>
              <w:t>2</w:t>
            </w:r>
            <w:r w:rsidRPr="00E97FC1">
              <w:rPr>
                <w:rFonts w:cs="Times New Roman"/>
                <w:sz w:val="20"/>
                <w:szCs w:val="40"/>
                <w:vertAlign w:val="superscript"/>
                <w:lang w:val="en-GB"/>
              </w:rPr>
              <w:t>st</w:t>
            </w:r>
            <w:r w:rsidRPr="00E97FC1">
              <w:rPr>
                <w:rFonts w:cs="Times New Roman"/>
                <w:sz w:val="20"/>
                <w:szCs w:val="40"/>
                <w:lang w:val="en-GB"/>
              </w:rPr>
              <w:t xml:space="preserve"> run</w:t>
            </w:r>
          </w:p>
          <w:p w14:paraId="43A57C5A" w14:textId="77777777" w:rsidR="00DF0F26" w:rsidRPr="00E97FC1" w:rsidRDefault="00DF0F26" w:rsidP="006B318B">
            <w:pPr>
              <w:rPr>
                <w:rFonts w:cs="Times New Roman"/>
                <w:sz w:val="20"/>
                <w:szCs w:val="40"/>
                <w:lang w:val="en-GB"/>
              </w:rPr>
            </w:pPr>
            <w:r w:rsidRPr="00E97FC1">
              <w:rPr>
                <w:rFonts w:cs="Times New Roman"/>
                <w:sz w:val="20"/>
                <w:szCs w:val="40"/>
                <w:lang w:val="en-GB"/>
              </w:rPr>
              <w:t>Vol, ml</w:t>
            </w:r>
          </w:p>
        </w:tc>
        <w:tc>
          <w:tcPr>
            <w:tcW w:w="1132" w:type="dxa"/>
          </w:tcPr>
          <w:p w14:paraId="3EA06648" w14:textId="77777777" w:rsidR="00DF0F26" w:rsidRPr="00E97FC1" w:rsidRDefault="00DF0F26" w:rsidP="006B318B">
            <w:pPr>
              <w:rPr>
                <w:rFonts w:cs="Times New Roman"/>
                <w:sz w:val="20"/>
                <w:szCs w:val="40"/>
                <w:lang w:val="en-GB"/>
              </w:rPr>
            </w:pPr>
            <w:r w:rsidRPr="00E97FC1">
              <w:rPr>
                <w:rFonts w:cs="Times New Roman"/>
                <w:sz w:val="20"/>
                <w:szCs w:val="40"/>
                <w:lang w:val="en-GB"/>
              </w:rPr>
              <w:t>2</w:t>
            </w:r>
            <w:r w:rsidRPr="00E97FC1">
              <w:rPr>
                <w:rFonts w:cs="Times New Roman"/>
                <w:sz w:val="20"/>
                <w:szCs w:val="40"/>
                <w:vertAlign w:val="superscript"/>
                <w:lang w:val="en-GB"/>
              </w:rPr>
              <w:t>st</w:t>
            </w:r>
            <w:r w:rsidRPr="00E97FC1">
              <w:rPr>
                <w:rFonts w:cs="Times New Roman"/>
                <w:sz w:val="20"/>
                <w:szCs w:val="40"/>
                <w:lang w:val="en-GB"/>
              </w:rPr>
              <w:t xml:space="preserve"> run</w:t>
            </w:r>
          </w:p>
          <w:p w14:paraId="2A80ACFA" w14:textId="77777777" w:rsidR="00DF0F26" w:rsidRPr="00E97FC1" w:rsidRDefault="00DF0F26" w:rsidP="006B318B">
            <w:pPr>
              <w:rPr>
                <w:rFonts w:cs="Times New Roman"/>
                <w:sz w:val="20"/>
                <w:szCs w:val="40"/>
                <w:lang w:val="en-GB"/>
              </w:rPr>
            </w:pPr>
            <w:r w:rsidRPr="00E97FC1">
              <w:rPr>
                <w:rFonts w:cs="Times New Roman"/>
                <w:sz w:val="20"/>
                <w:szCs w:val="40"/>
                <w:lang w:val="en-GB"/>
              </w:rPr>
              <w:t>% BFG</w:t>
            </w:r>
          </w:p>
        </w:tc>
      </w:tr>
      <w:tr w:rsidR="00DF0F26" w:rsidRPr="00E97FC1" w14:paraId="5A1066CB" w14:textId="77777777" w:rsidTr="006B318B">
        <w:trPr>
          <w:trHeight w:val="343"/>
          <w:jc w:val="center"/>
        </w:trPr>
        <w:tc>
          <w:tcPr>
            <w:tcW w:w="1132" w:type="dxa"/>
          </w:tcPr>
          <w:p w14:paraId="241CDA6B" w14:textId="77777777" w:rsidR="00DF0F26" w:rsidRPr="00E97FC1" w:rsidRDefault="00DF0F26" w:rsidP="006B318B">
            <w:pPr>
              <w:rPr>
                <w:rFonts w:cs="Times New Roman"/>
                <w:sz w:val="20"/>
                <w:szCs w:val="40"/>
                <w:lang w:val="en-GB"/>
              </w:rPr>
            </w:pPr>
            <w:r w:rsidRPr="00E97FC1">
              <w:rPr>
                <w:rFonts w:cs="Times New Roman"/>
                <w:sz w:val="20"/>
                <w:szCs w:val="40"/>
                <w:lang w:val="en-GB"/>
              </w:rPr>
              <w:t>0</w:t>
            </w:r>
          </w:p>
        </w:tc>
        <w:tc>
          <w:tcPr>
            <w:tcW w:w="1132" w:type="dxa"/>
          </w:tcPr>
          <w:p w14:paraId="01F3F000" w14:textId="77777777" w:rsidR="00DF0F26" w:rsidRPr="00E97FC1" w:rsidRDefault="00DF0F26" w:rsidP="006B318B">
            <w:pPr>
              <w:rPr>
                <w:rFonts w:cs="Times New Roman"/>
                <w:sz w:val="20"/>
                <w:szCs w:val="40"/>
                <w:lang w:val="en-GB"/>
              </w:rPr>
            </w:pPr>
            <w:r w:rsidRPr="00E97FC1">
              <w:rPr>
                <w:rFonts w:cs="Times New Roman"/>
                <w:sz w:val="20"/>
                <w:szCs w:val="40"/>
                <w:lang w:val="en-GB"/>
              </w:rPr>
              <w:t>15</w:t>
            </w:r>
          </w:p>
        </w:tc>
        <w:tc>
          <w:tcPr>
            <w:tcW w:w="1132" w:type="dxa"/>
          </w:tcPr>
          <w:p w14:paraId="064ADB2A" w14:textId="77777777" w:rsidR="00DF0F26" w:rsidRPr="00E97FC1" w:rsidRDefault="00DF0F26" w:rsidP="006B318B">
            <w:pPr>
              <w:rPr>
                <w:rFonts w:cs="Times New Roman"/>
                <w:sz w:val="20"/>
                <w:szCs w:val="40"/>
                <w:lang w:val="en-GB"/>
              </w:rPr>
            </w:pPr>
            <w:r w:rsidRPr="00E97FC1">
              <w:rPr>
                <w:rFonts w:cs="Times New Roman"/>
                <w:sz w:val="20"/>
                <w:szCs w:val="40"/>
                <w:lang w:val="en-GB"/>
              </w:rPr>
              <w:t>0</w:t>
            </w:r>
          </w:p>
        </w:tc>
        <w:tc>
          <w:tcPr>
            <w:tcW w:w="1132" w:type="dxa"/>
          </w:tcPr>
          <w:p w14:paraId="00C67F5B" w14:textId="77777777" w:rsidR="00DF0F26" w:rsidRPr="00E97FC1" w:rsidRDefault="00DF0F26" w:rsidP="006B318B">
            <w:pPr>
              <w:rPr>
                <w:rFonts w:cs="Times New Roman"/>
                <w:sz w:val="20"/>
                <w:szCs w:val="40"/>
                <w:lang w:val="en-GB"/>
              </w:rPr>
            </w:pPr>
            <w:r w:rsidRPr="00E97FC1">
              <w:rPr>
                <w:rFonts w:cs="Times New Roman"/>
                <w:sz w:val="20"/>
                <w:szCs w:val="40"/>
                <w:lang w:val="en-GB"/>
              </w:rPr>
              <w:t>5</w:t>
            </w:r>
          </w:p>
        </w:tc>
      </w:tr>
      <w:tr w:rsidR="00DF0F26" w:rsidRPr="00E97FC1" w14:paraId="28166EEA" w14:textId="77777777" w:rsidTr="006B318B">
        <w:trPr>
          <w:trHeight w:val="359"/>
          <w:jc w:val="center"/>
        </w:trPr>
        <w:tc>
          <w:tcPr>
            <w:tcW w:w="1132" w:type="dxa"/>
          </w:tcPr>
          <w:p w14:paraId="424452CA" w14:textId="77777777" w:rsidR="00DF0F26" w:rsidRPr="00E97FC1" w:rsidRDefault="00DF0F26" w:rsidP="006B318B">
            <w:pPr>
              <w:rPr>
                <w:rFonts w:cs="Times New Roman"/>
                <w:sz w:val="20"/>
                <w:szCs w:val="40"/>
                <w:lang w:val="en-GB"/>
              </w:rPr>
            </w:pPr>
            <w:r w:rsidRPr="00E97FC1">
              <w:rPr>
                <w:rFonts w:cs="Times New Roman"/>
                <w:sz w:val="20"/>
                <w:szCs w:val="40"/>
                <w:lang w:val="en-GB"/>
              </w:rPr>
              <w:t>60</w:t>
            </w:r>
          </w:p>
        </w:tc>
        <w:tc>
          <w:tcPr>
            <w:tcW w:w="1132" w:type="dxa"/>
          </w:tcPr>
          <w:p w14:paraId="5228F403" w14:textId="77777777" w:rsidR="00DF0F26" w:rsidRPr="00E97FC1" w:rsidRDefault="00DF0F26" w:rsidP="006B318B">
            <w:pPr>
              <w:rPr>
                <w:rFonts w:cs="Times New Roman"/>
                <w:sz w:val="20"/>
                <w:szCs w:val="40"/>
                <w:lang w:val="en-GB"/>
              </w:rPr>
            </w:pPr>
            <w:r w:rsidRPr="00E97FC1">
              <w:rPr>
                <w:rFonts w:cs="Times New Roman"/>
                <w:sz w:val="20"/>
                <w:szCs w:val="40"/>
                <w:lang w:val="en-GB"/>
              </w:rPr>
              <w:t>20</w:t>
            </w:r>
          </w:p>
        </w:tc>
        <w:tc>
          <w:tcPr>
            <w:tcW w:w="1132" w:type="dxa"/>
          </w:tcPr>
          <w:p w14:paraId="0825EEC2" w14:textId="77777777" w:rsidR="00DF0F26" w:rsidRPr="00E97FC1" w:rsidRDefault="00DF0F26" w:rsidP="006B318B">
            <w:pPr>
              <w:rPr>
                <w:rFonts w:cs="Times New Roman"/>
                <w:sz w:val="20"/>
                <w:szCs w:val="40"/>
                <w:lang w:val="en-GB"/>
              </w:rPr>
            </w:pPr>
            <w:r w:rsidRPr="00E97FC1">
              <w:rPr>
                <w:rFonts w:cs="Times New Roman"/>
                <w:sz w:val="20"/>
                <w:szCs w:val="40"/>
                <w:lang w:val="en-GB"/>
              </w:rPr>
              <w:t>10</w:t>
            </w:r>
          </w:p>
        </w:tc>
        <w:tc>
          <w:tcPr>
            <w:tcW w:w="1132" w:type="dxa"/>
          </w:tcPr>
          <w:p w14:paraId="32454FE2" w14:textId="77777777" w:rsidR="00DF0F26" w:rsidRPr="00E97FC1" w:rsidRDefault="00DF0F26" w:rsidP="006B318B">
            <w:pPr>
              <w:rPr>
                <w:rFonts w:cs="Times New Roman"/>
                <w:sz w:val="20"/>
                <w:szCs w:val="40"/>
                <w:lang w:val="en-GB"/>
              </w:rPr>
            </w:pPr>
            <w:r w:rsidRPr="00E97FC1">
              <w:rPr>
                <w:rFonts w:cs="Times New Roman"/>
                <w:sz w:val="20"/>
                <w:szCs w:val="40"/>
                <w:lang w:val="en-GB"/>
              </w:rPr>
              <w:t>15</w:t>
            </w:r>
          </w:p>
        </w:tc>
      </w:tr>
      <w:tr w:rsidR="00DF0F26" w:rsidRPr="00E97FC1" w14:paraId="2B2C9FF1" w14:textId="77777777" w:rsidTr="006B318B">
        <w:trPr>
          <w:trHeight w:val="359"/>
          <w:jc w:val="center"/>
        </w:trPr>
        <w:tc>
          <w:tcPr>
            <w:tcW w:w="1132" w:type="dxa"/>
          </w:tcPr>
          <w:p w14:paraId="7FA9CA5D" w14:textId="77777777" w:rsidR="00DF0F26" w:rsidRPr="00E97FC1" w:rsidRDefault="00DF0F26" w:rsidP="006B318B">
            <w:pPr>
              <w:rPr>
                <w:rFonts w:cs="Times New Roman"/>
                <w:sz w:val="20"/>
                <w:szCs w:val="40"/>
                <w:lang w:val="en-GB"/>
              </w:rPr>
            </w:pPr>
            <w:r w:rsidRPr="00E97FC1">
              <w:rPr>
                <w:rFonts w:cs="Times New Roman"/>
                <w:sz w:val="20"/>
                <w:szCs w:val="40"/>
                <w:lang w:val="en-GB"/>
              </w:rPr>
              <w:t>400</w:t>
            </w:r>
          </w:p>
        </w:tc>
        <w:tc>
          <w:tcPr>
            <w:tcW w:w="1132" w:type="dxa"/>
          </w:tcPr>
          <w:p w14:paraId="2FC55D4E" w14:textId="77777777" w:rsidR="00DF0F26" w:rsidRPr="00E97FC1" w:rsidRDefault="00DF0F26" w:rsidP="006B318B">
            <w:pPr>
              <w:rPr>
                <w:rFonts w:cs="Times New Roman"/>
                <w:sz w:val="20"/>
                <w:szCs w:val="40"/>
                <w:lang w:val="en-GB"/>
              </w:rPr>
            </w:pPr>
            <w:r w:rsidRPr="00E97FC1">
              <w:rPr>
                <w:rFonts w:cs="Times New Roman"/>
                <w:sz w:val="20"/>
                <w:szCs w:val="40"/>
                <w:lang w:val="en-GB"/>
              </w:rPr>
              <w:t>35</w:t>
            </w:r>
          </w:p>
        </w:tc>
        <w:tc>
          <w:tcPr>
            <w:tcW w:w="1132" w:type="dxa"/>
          </w:tcPr>
          <w:p w14:paraId="41993534" w14:textId="77777777" w:rsidR="00DF0F26" w:rsidRPr="00E97FC1" w:rsidRDefault="00DF0F26" w:rsidP="006B318B">
            <w:pPr>
              <w:rPr>
                <w:rFonts w:cs="Times New Roman"/>
                <w:sz w:val="20"/>
                <w:szCs w:val="40"/>
                <w:lang w:val="en-GB"/>
              </w:rPr>
            </w:pPr>
            <w:r w:rsidRPr="00E97FC1">
              <w:rPr>
                <w:rFonts w:cs="Times New Roman"/>
                <w:sz w:val="20"/>
                <w:szCs w:val="40"/>
                <w:lang w:val="en-GB"/>
              </w:rPr>
              <w:t>300</w:t>
            </w:r>
          </w:p>
        </w:tc>
        <w:tc>
          <w:tcPr>
            <w:tcW w:w="1132" w:type="dxa"/>
          </w:tcPr>
          <w:p w14:paraId="2D9AEAC0" w14:textId="77777777" w:rsidR="00DF0F26" w:rsidRPr="00E97FC1" w:rsidRDefault="00DF0F26" w:rsidP="006B318B">
            <w:pPr>
              <w:rPr>
                <w:rFonts w:cs="Times New Roman"/>
                <w:sz w:val="20"/>
                <w:szCs w:val="40"/>
                <w:lang w:val="en-GB"/>
              </w:rPr>
            </w:pPr>
            <w:r w:rsidRPr="00E97FC1">
              <w:rPr>
                <w:rFonts w:cs="Times New Roman"/>
                <w:sz w:val="20"/>
                <w:szCs w:val="40"/>
                <w:lang w:val="en-GB"/>
              </w:rPr>
              <w:t>30</w:t>
            </w:r>
          </w:p>
        </w:tc>
      </w:tr>
      <w:tr w:rsidR="00DF0F26" w:rsidRPr="00E97FC1" w14:paraId="0F30B1DC" w14:textId="77777777" w:rsidTr="006B318B">
        <w:trPr>
          <w:trHeight w:val="343"/>
          <w:jc w:val="center"/>
        </w:trPr>
        <w:tc>
          <w:tcPr>
            <w:tcW w:w="1132" w:type="dxa"/>
          </w:tcPr>
          <w:p w14:paraId="6A00B25F" w14:textId="77777777" w:rsidR="00DF0F26" w:rsidRPr="00E97FC1" w:rsidRDefault="00DF0F26" w:rsidP="006B318B">
            <w:pPr>
              <w:rPr>
                <w:rFonts w:cs="Times New Roman"/>
                <w:sz w:val="20"/>
                <w:szCs w:val="40"/>
                <w:lang w:val="en-GB"/>
              </w:rPr>
            </w:pPr>
            <w:r w:rsidRPr="00E97FC1">
              <w:rPr>
                <w:rFonts w:cs="Times New Roman"/>
                <w:sz w:val="20"/>
                <w:szCs w:val="40"/>
                <w:lang w:val="en-GB"/>
              </w:rPr>
              <w:t>30</w:t>
            </w:r>
          </w:p>
        </w:tc>
        <w:tc>
          <w:tcPr>
            <w:tcW w:w="1132" w:type="dxa"/>
          </w:tcPr>
          <w:p w14:paraId="37C7CDD7" w14:textId="77777777" w:rsidR="00DF0F26" w:rsidRPr="00E97FC1" w:rsidRDefault="00DF0F26" w:rsidP="006B318B">
            <w:pPr>
              <w:rPr>
                <w:rFonts w:cs="Times New Roman"/>
                <w:sz w:val="20"/>
                <w:szCs w:val="40"/>
                <w:lang w:val="en-GB"/>
              </w:rPr>
            </w:pPr>
            <w:r w:rsidRPr="00E97FC1">
              <w:rPr>
                <w:rFonts w:cs="Times New Roman"/>
                <w:sz w:val="20"/>
                <w:szCs w:val="40"/>
                <w:lang w:val="en-GB"/>
              </w:rPr>
              <w:t>100</w:t>
            </w:r>
          </w:p>
        </w:tc>
        <w:tc>
          <w:tcPr>
            <w:tcW w:w="1132" w:type="dxa"/>
          </w:tcPr>
          <w:p w14:paraId="07307718" w14:textId="77777777" w:rsidR="00DF0F26" w:rsidRPr="00E97FC1" w:rsidRDefault="00DF0F26" w:rsidP="006B318B">
            <w:pPr>
              <w:rPr>
                <w:rFonts w:cs="Times New Roman"/>
                <w:sz w:val="20"/>
                <w:szCs w:val="40"/>
                <w:lang w:val="en-GB"/>
              </w:rPr>
            </w:pPr>
            <w:r w:rsidRPr="00E97FC1">
              <w:rPr>
                <w:rFonts w:cs="Times New Roman"/>
                <w:sz w:val="20"/>
                <w:szCs w:val="40"/>
                <w:lang w:val="en-GB"/>
              </w:rPr>
              <w:t>50</w:t>
            </w:r>
          </w:p>
        </w:tc>
        <w:tc>
          <w:tcPr>
            <w:tcW w:w="1132" w:type="dxa"/>
          </w:tcPr>
          <w:p w14:paraId="695579DB" w14:textId="77777777" w:rsidR="00DF0F26" w:rsidRPr="00E97FC1" w:rsidRDefault="00DF0F26" w:rsidP="006B318B">
            <w:pPr>
              <w:rPr>
                <w:rFonts w:cs="Times New Roman"/>
                <w:sz w:val="20"/>
                <w:szCs w:val="40"/>
                <w:lang w:val="en-GB"/>
              </w:rPr>
            </w:pPr>
            <w:r w:rsidRPr="00E97FC1">
              <w:rPr>
                <w:rFonts w:cs="Times New Roman"/>
                <w:sz w:val="20"/>
                <w:szCs w:val="40"/>
                <w:lang w:val="en-GB"/>
              </w:rPr>
              <w:t>100</w:t>
            </w:r>
          </w:p>
        </w:tc>
      </w:tr>
      <w:tr w:rsidR="00DF0F26" w:rsidRPr="00E97FC1" w14:paraId="739240A2" w14:textId="77777777" w:rsidTr="006B318B">
        <w:trPr>
          <w:trHeight w:val="79"/>
          <w:jc w:val="center"/>
        </w:trPr>
        <w:tc>
          <w:tcPr>
            <w:tcW w:w="1132" w:type="dxa"/>
          </w:tcPr>
          <w:p w14:paraId="5A23FC98" w14:textId="77777777" w:rsidR="00DF0F26" w:rsidRPr="00E97FC1" w:rsidRDefault="00DF0F26" w:rsidP="006B318B">
            <w:pPr>
              <w:rPr>
                <w:rFonts w:cs="Times New Roman"/>
                <w:sz w:val="20"/>
                <w:szCs w:val="40"/>
                <w:lang w:val="en-GB"/>
              </w:rPr>
            </w:pPr>
            <w:r w:rsidRPr="00E97FC1">
              <w:rPr>
                <w:rFonts w:cs="Times New Roman"/>
                <w:sz w:val="20"/>
                <w:szCs w:val="40"/>
                <w:lang w:val="en-GB"/>
              </w:rPr>
              <w:t>100</w:t>
            </w:r>
          </w:p>
        </w:tc>
        <w:tc>
          <w:tcPr>
            <w:tcW w:w="1132" w:type="dxa"/>
          </w:tcPr>
          <w:p w14:paraId="319E2B7C" w14:textId="77777777" w:rsidR="00DF0F26" w:rsidRPr="00E97FC1" w:rsidRDefault="00DF0F26" w:rsidP="006B318B">
            <w:pPr>
              <w:rPr>
                <w:rFonts w:cs="Times New Roman"/>
                <w:sz w:val="20"/>
                <w:szCs w:val="40"/>
                <w:lang w:val="en-GB"/>
              </w:rPr>
            </w:pPr>
            <w:r w:rsidRPr="00E97FC1">
              <w:rPr>
                <w:rFonts w:cs="Times New Roman"/>
                <w:sz w:val="20"/>
                <w:szCs w:val="40"/>
                <w:lang w:val="en-GB"/>
              </w:rPr>
              <w:t>100</w:t>
            </w:r>
          </w:p>
        </w:tc>
        <w:tc>
          <w:tcPr>
            <w:tcW w:w="1132" w:type="dxa"/>
          </w:tcPr>
          <w:p w14:paraId="1BF70CD7" w14:textId="77777777" w:rsidR="00DF0F26" w:rsidRPr="00E97FC1" w:rsidRDefault="00DF0F26" w:rsidP="006B318B">
            <w:pPr>
              <w:rPr>
                <w:rFonts w:cs="Times New Roman"/>
                <w:sz w:val="20"/>
                <w:szCs w:val="40"/>
                <w:lang w:val="en-GB"/>
              </w:rPr>
            </w:pPr>
            <w:r w:rsidRPr="00E97FC1">
              <w:rPr>
                <w:rFonts w:cs="Times New Roman"/>
                <w:sz w:val="20"/>
                <w:szCs w:val="40"/>
                <w:lang w:val="en-GB"/>
              </w:rPr>
              <w:t>100</w:t>
            </w:r>
          </w:p>
        </w:tc>
        <w:tc>
          <w:tcPr>
            <w:tcW w:w="1132" w:type="dxa"/>
          </w:tcPr>
          <w:p w14:paraId="6FB450F2" w14:textId="77777777" w:rsidR="00DF0F26" w:rsidRPr="00E97FC1" w:rsidRDefault="00DF0F26" w:rsidP="006B318B">
            <w:pPr>
              <w:rPr>
                <w:rFonts w:cs="Times New Roman"/>
                <w:sz w:val="20"/>
                <w:szCs w:val="40"/>
                <w:lang w:val="en-GB"/>
              </w:rPr>
            </w:pPr>
            <w:r w:rsidRPr="00E97FC1">
              <w:rPr>
                <w:rFonts w:cs="Times New Roman"/>
                <w:sz w:val="20"/>
                <w:szCs w:val="40"/>
                <w:lang w:val="en-GB"/>
              </w:rPr>
              <w:t>100</w:t>
            </w:r>
          </w:p>
        </w:tc>
      </w:tr>
    </w:tbl>
    <w:p w14:paraId="4CC67645" w14:textId="77777777" w:rsidR="00DF0F26" w:rsidRPr="00E97FC1" w:rsidRDefault="00DF0F26" w:rsidP="00DF0F26">
      <w:pPr>
        <w:rPr>
          <w:rFonts w:cs="Times New Roman"/>
          <w:szCs w:val="40"/>
          <w:lang w:val="en-GB"/>
        </w:rPr>
      </w:pPr>
    </w:p>
    <w:p w14:paraId="74B412CC" w14:textId="2CF1BDF7" w:rsidR="00DF0F26" w:rsidRPr="00E97FC1" w:rsidRDefault="00DF0F26" w:rsidP="00197DCA">
      <w:pPr>
        <w:ind w:firstLine="720"/>
        <w:rPr>
          <w:rFonts w:cs="Times New Roman"/>
          <w:szCs w:val="40"/>
          <w:lang w:val="en-GB"/>
        </w:rPr>
      </w:pPr>
      <w:r w:rsidRPr="00E97FC1">
        <w:rPr>
          <w:rFonts w:cs="Times New Roman"/>
          <w:szCs w:val="40"/>
          <w:lang w:val="en-GB"/>
        </w:rPr>
        <w:t xml:space="preserve">Fraction collection was started at 21% BGF. NADH:FeCy activity of each fraction was checked to determine the protein content. For the second run, fractions with the highest activity were pooled and diluted 1:1 with AFG buffer with further application on BioRad Bio-Scale DEAE20 column. The column was pre-equilibrated with 95% AFG and 5% BFG. Collection was started at 11% BGF and fractions with the highest activity were pooled and concentrated ~ 50 times. Finally, concentrated sample was applied on Superose 6 10/300 GL column. The </w:t>
      </w:r>
      <w:r w:rsidRPr="00E97FC1">
        <w:rPr>
          <w:rFonts w:cs="Times New Roman"/>
          <w:szCs w:val="40"/>
          <w:lang w:val="en-GB"/>
        </w:rPr>
        <w:lastRenderedPageBreak/>
        <w:t xml:space="preserve">column was equilibrated with 20mM MES-HCl pH 6, 0.05% LMNG, 10% glycerol, 0.002% PMSF and 200 mM NaCl. After election, fractions were checked for NADH/DQ activity and subunit composition using SDS-page electrophoresis. </w:t>
      </w:r>
    </w:p>
    <w:p w14:paraId="51118A17" w14:textId="73919AFD" w:rsidR="00197DCA" w:rsidRPr="00E97FC1" w:rsidRDefault="00197DCA" w:rsidP="00776703">
      <w:pPr>
        <w:pStyle w:val="NormalWeb"/>
        <w:ind w:firstLine="720"/>
        <w:rPr>
          <w:rFonts w:eastAsia="Times New Roman"/>
        </w:rPr>
      </w:pPr>
      <w:r w:rsidRPr="00E97FC1">
        <w:t>NDH was purified as described in</w:t>
      </w:r>
      <w:r w:rsidR="00776703" w:rsidRPr="00E97FC1">
        <w:t xml:space="preserve"> </w:t>
      </w:r>
      <w:r w:rsidR="00776703" w:rsidRPr="00E97FC1">
        <w:fldChar w:fldCharType="begin" w:fldLock="1"/>
      </w:r>
      <w:r w:rsidR="00DA67CE" w:rsidRPr="00E97FC1">
        <w:instrText>ADDIN CSL_CITATION {"citationItems":[{"id":"ITEM-1","itemData":{"DOI":"10.1021/bi102044b","ISSN":"1520-4995 (Electronic)","PMID":"21244052","abstract":"The subunit composition of the NAD(P)H dehydrogenase complex of  Thermosynechococcus elongatus was analyzed by different types of mass spectrometry. All 15 known subunits (NdhA-NdhO) were identified in the purified NDH-1L complex. Moreover, two additional intact mass tags of 4902.7 and 4710.5 Da could be assigned after reannotation of the T. elongatus genome. NdhP and NdhQ are predicted to contain a single transmembrane helix each, and homologues are apparent in other cyanobacteria. Additionally, ndhP is present in some cyanophages in a cluster of PSI genes and exhibits partial similarity to NDF6, a subunit of the plant NDH-1 complex.","author":[{"dropping-particle":"","family":"Nowaczyk","given":"Marc M","non-dropping-particle":"","parse-names":false,"suffix":""},{"dropping-particle":"","family":"Wulfhorst","given":"Hannes","non-dropping-particle":"","parse-names":false,"suffix":""},{"dropping-particle":"","family":"Ryan","given":"Christopher M","non-dropping-particle":"","parse-names":false,"suffix":""},{"dropping-particle":"","family":"Souda","given":"Puneet","non-dropping-particle":"","parse-names":false,"suffix":""},{"dropping-particle":"","family":"Zhang","given":"Huamin","non-dropping-particle":"","parse-names":false,"suffix":""},{"dropping-particle":"","family":"Cramer","given":"William A","non-dropping-particle":"","parse-names":false,"suffix":""},{"dropping-particle":"","family":"Whitelegge","given":"Julian P","non-dropping-particle":"","parse-names":false,"suffix":""}],"container-title":"Biochemistry","id":"ITEM-1","issue":"7","issued":{"date-parts":[["2011","2"]]},"language":"eng","page":"1121-1124","publisher-place":"United States","title":"NdhP and NdhQ: two novel small subunits of the cyanobacterial NDH-1 complex.","type":"article-journal","volume":"50"},"uris":["http://www.mendeley.com/documents/?uuid=0c5f9e3f-84c7-476d-8441-41222e4a8cf4"]}],"mendeley":{"formattedCitation":"(Nowaczyk &lt;i&gt;et al&lt;/i&gt;, 2011)","plainTextFormattedCitation":"(Nowaczyk et al, 2011)","previouslyFormattedCitation":"(Nowaczyk &lt;i&gt;et al&lt;/i&gt;, 2011)"},"properties":{"noteIndex":0},"schema":"https://github.com/citation-style-language/schema/raw/master/csl-citation.json"}</w:instrText>
      </w:r>
      <w:r w:rsidR="00776703" w:rsidRPr="00E97FC1">
        <w:fldChar w:fldCharType="separate"/>
      </w:r>
      <w:r w:rsidR="00776703" w:rsidRPr="00E97FC1">
        <w:rPr>
          <w:noProof/>
        </w:rPr>
        <w:t xml:space="preserve">(Nowaczyk </w:t>
      </w:r>
      <w:r w:rsidR="00776703" w:rsidRPr="00E97FC1">
        <w:rPr>
          <w:i/>
          <w:noProof/>
        </w:rPr>
        <w:t>et al</w:t>
      </w:r>
      <w:r w:rsidR="00776703" w:rsidRPr="00E97FC1">
        <w:rPr>
          <w:noProof/>
        </w:rPr>
        <w:t>, 2011)</w:t>
      </w:r>
      <w:r w:rsidR="00776703" w:rsidRPr="00E97FC1">
        <w:fldChar w:fldCharType="end"/>
      </w:r>
      <w:r w:rsidRPr="00E97FC1">
        <w:t xml:space="preserve"> </w:t>
      </w:r>
      <w:r w:rsidRPr="00E97FC1">
        <w:rPr>
          <w:rFonts w:eastAsia="Times New Roman"/>
        </w:rPr>
        <w:t>and stored at -80</w:t>
      </w:r>
      <w:r w:rsidRPr="00E97FC1">
        <w:rPr>
          <w:rFonts w:eastAsia="Times New Roman"/>
          <w:vertAlign w:val="superscript"/>
        </w:rPr>
        <w:t>0</w:t>
      </w:r>
      <w:r w:rsidRPr="00E97FC1">
        <w:rPr>
          <w:rFonts w:eastAsia="Times New Roman"/>
        </w:rPr>
        <w:t>C until use.</w:t>
      </w:r>
    </w:p>
    <w:p w14:paraId="4419A289" w14:textId="77777777" w:rsidR="00776703" w:rsidRPr="00E97FC1" w:rsidRDefault="00776703" w:rsidP="00776703">
      <w:pPr>
        <w:pStyle w:val="NormalWeb"/>
        <w:ind w:firstLine="720"/>
      </w:pPr>
    </w:p>
    <w:p w14:paraId="1F8C653A" w14:textId="77777777" w:rsidR="00DF0F26" w:rsidRPr="00E97FC1" w:rsidRDefault="00DF0F26" w:rsidP="00DF0F26">
      <w:pPr>
        <w:rPr>
          <w:lang w:val="en-GB"/>
        </w:rPr>
      </w:pPr>
    </w:p>
    <w:p w14:paraId="68141911" w14:textId="77777777" w:rsidR="009F243C" w:rsidRPr="00E97FC1" w:rsidRDefault="009F243C" w:rsidP="00F016AD">
      <w:pPr>
        <w:pStyle w:val="Heading2"/>
      </w:pPr>
      <w:bookmarkStart w:id="65" w:name="_Toc132639994"/>
      <w:r w:rsidRPr="00E97FC1">
        <w:t>Analytical methods</w:t>
      </w:r>
      <w:bookmarkEnd w:id="65"/>
    </w:p>
    <w:p w14:paraId="66128773" w14:textId="77777777" w:rsidR="00306433" w:rsidRPr="00E97FC1" w:rsidRDefault="00B2551B" w:rsidP="000E177B">
      <w:pPr>
        <w:pStyle w:val="Heading3"/>
      </w:pPr>
      <w:bookmarkStart w:id="66" w:name="_Toc132639995"/>
      <w:r w:rsidRPr="00E97FC1">
        <w:t>Complex I activity measurements</w:t>
      </w:r>
      <w:bookmarkEnd w:id="66"/>
    </w:p>
    <w:p w14:paraId="6FE344A7" w14:textId="2EFEC24A" w:rsidR="00D17765" w:rsidRPr="00E97FC1" w:rsidRDefault="00D17765" w:rsidP="005D66EB">
      <w:pPr>
        <w:ind w:firstLine="720"/>
        <w:rPr>
          <w:rFonts w:cs="Times New Roman"/>
          <w:szCs w:val="40"/>
          <w:lang w:val="en-GB"/>
        </w:rPr>
      </w:pPr>
      <w:r w:rsidRPr="00E97FC1">
        <w:rPr>
          <w:rFonts w:cs="Times New Roman"/>
          <w:szCs w:val="40"/>
          <w:lang w:val="en-GB"/>
        </w:rPr>
        <w:t xml:space="preserve">Enzyme activity assays for </w:t>
      </w:r>
      <w:r w:rsidRPr="00E97FC1">
        <w:rPr>
          <w:rFonts w:cs="Times New Roman"/>
          <w:i/>
          <w:szCs w:val="40"/>
          <w:lang w:val="en-GB"/>
        </w:rPr>
        <w:t>Ec</w:t>
      </w:r>
      <w:r w:rsidRPr="00E97FC1">
        <w:rPr>
          <w:rFonts w:cs="Times New Roman"/>
          <w:szCs w:val="40"/>
          <w:lang w:val="en-GB"/>
        </w:rPr>
        <w:t>CI were done using a Shimadzu UV-2600 UV-VIS spectrophotometer at 30 °C or 18 °C (lower limit) and with magnetic stirring (320 rpm). NADH:DQ and NADH:FeCy (ferricyanide) oxidoreduction activities were measured by following NADH (ɛ = 6.1 mM</w:t>
      </w:r>
      <w:r w:rsidRPr="00E97FC1">
        <w:rPr>
          <w:rFonts w:cs="Times New Roman"/>
          <w:szCs w:val="40"/>
          <w:vertAlign w:val="superscript"/>
          <w:lang w:val="en-GB"/>
        </w:rPr>
        <w:t>-1</w:t>
      </w:r>
      <w:r w:rsidRPr="00E97FC1">
        <w:rPr>
          <w:rFonts w:cs="Times New Roman"/>
          <w:szCs w:val="40"/>
          <w:lang w:val="en-GB"/>
        </w:rPr>
        <w:t xml:space="preserve"> cm</w:t>
      </w:r>
      <w:r w:rsidRPr="00E97FC1">
        <w:rPr>
          <w:rFonts w:cs="Times New Roman"/>
          <w:szCs w:val="40"/>
          <w:vertAlign w:val="superscript"/>
          <w:lang w:val="en-GB"/>
        </w:rPr>
        <w:t>-1</w:t>
      </w:r>
      <w:r w:rsidRPr="00E97FC1">
        <w:rPr>
          <w:rFonts w:cs="Times New Roman"/>
          <w:szCs w:val="40"/>
          <w:lang w:val="en-GB"/>
        </w:rPr>
        <w:t>) oxidation at 340 nm. Assay buffer was very similar to the one used for the preparation of grids (20 mM MES pH6.0, 2mM CaCl</w:t>
      </w:r>
      <w:r w:rsidRPr="00E97FC1">
        <w:rPr>
          <w:rFonts w:cs="Times New Roman"/>
          <w:szCs w:val="40"/>
          <w:vertAlign w:val="subscript"/>
          <w:lang w:val="en-GB"/>
        </w:rPr>
        <w:t>2</w:t>
      </w:r>
      <w:r w:rsidRPr="00E97FC1">
        <w:rPr>
          <w:rFonts w:cs="Times New Roman"/>
          <w:szCs w:val="40"/>
          <w:lang w:val="en-GB"/>
        </w:rPr>
        <w:t>, 250mM NaCl) except for the presence or absence of</w:t>
      </w:r>
      <w:r w:rsidR="00645681" w:rsidRPr="00E97FC1">
        <w:rPr>
          <w:rFonts w:cs="Times New Roman"/>
          <w:szCs w:val="40"/>
          <w:lang w:val="en-GB"/>
        </w:rPr>
        <w:t xml:space="preserve"> </w:t>
      </w:r>
      <w:r w:rsidR="00645681" w:rsidRPr="00E97FC1">
        <w:rPr>
          <w:rFonts w:cs="Times New Roman"/>
          <w:i/>
          <w:szCs w:val="40"/>
          <w:lang w:val="en-GB"/>
        </w:rPr>
        <w:t>E.coli</w:t>
      </w:r>
      <w:r w:rsidR="00645681" w:rsidRPr="00E97FC1">
        <w:rPr>
          <w:rFonts w:cs="Times New Roman"/>
          <w:szCs w:val="40"/>
          <w:lang w:val="en-GB"/>
        </w:rPr>
        <w:t xml:space="preserve"> total lipid extract</w:t>
      </w:r>
      <w:r w:rsidRPr="00E97FC1">
        <w:rPr>
          <w:rFonts w:cs="Times New Roman"/>
          <w:szCs w:val="40"/>
          <w:lang w:val="en-GB"/>
        </w:rPr>
        <w:t xml:space="preserve"> </w:t>
      </w:r>
      <w:r w:rsidR="00645681" w:rsidRPr="00E97FC1">
        <w:rPr>
          <w:rFonts w:cs="Times New Roman"/>
          <w:szCs w:val="40"/>
          <w:lang w:val="en-GB"/>
        </w:rPr>
        <w:t>(</w:t>
      </w:r>
      <w:r w:rsidRPr="00E97FC1">
        <w:rPr>
          <w:rFonts w:cs="Times New Roman"/>
          <w:szCs w:val="40"/>
          <w:lang w:val="en-GB"/>
        </w:rPr>
        <w:t>ETL</w:t>
      </w:r>
      <w:r w:rsidR="00645681" w:rsidRPr="00E97FC1">
        <w:rPr>
          <w:rFonts w:cs="Times New Roman"/>
          <w:szCs w:val="40"/>
          <w:lang w:val="en-GB"/>
        </w:rPr>
        <w:t>)</w:t>
      </w:r>
      <w:r w:rsidRPr="00E97FC1">
        <w:rPr>
          <w:rFonts w:cs="Times New Roman"/>
          <w:szCs w:val="40"/>
          <w:lang w:val="en-GB"/>
        </w:rPr>
        <w:t xml:space="preserve"> (0.25 mg/ml, with 0.1% </w:t>
      </w:r>
      <w:r w:rsidR="00645681" w:rsidRPr="00E97FC1">
        <w:rPr>
          <w:rFonts w:cs="Times New Roman"/>
          <w:szCs w:val="40"/>
          <w:lang w:val="en-GB"/>
        </w:rPr>
        <w:t>3-[(3-cholamidopropyl)dimethylammonio]-1-propanesulfonate (</w:t>
      </w:r>
      <w:r w:rsidRPr="00E97FC1">
        <w:rPr>
          <w:rFonts w:cs="Times New Roman"/>
          <w:szCs w:val="40"/>
          <w:lang w:val="en-GB"/>
        </w:rPr>
        <w:t>CHAPS</w:t>
      </w:r>
      <w:r w:rsidR="00645681" w:rsidRPr="00E97FC1">
        <w:rPr>
          <w:rFonts w:cs="Times New Roman"/>
          <w:szCs w:val="40"/>
          <w:lang w:val="en-GB"/>
        </w:rPr>
        <w:t>)</w:t>
      </w:r>
      <w:r w:rsidRPr="00E97FC1">
        <w:rPr>
          <w:rFonts w:cs="Times New Roman"/>
          <w:szCs w:val="40"/>
          <w:lang w:val="en-GB"/>
        </w:rPr>
        <w:t xml:space="preserve"> carry-over from ETL stock) and different detergent concentrations (</w:t>
      </w:r>
      <w:r w:rsidR="00E55873" w:rsidRPr="00E97FC1">
        <w:rPr>
          <w:rFonts w:cs="Times New Roman"/>
          <w:szCs w:val="40"/>
          <w:lang w:val="en-GB"/>
        </w:rPr>
        <w:t>Figure 3.</w:t>
      </w:r>
      <w:r w:rsidR="000F12F2">
        <w:rPr>
          <w:rFonts w:cs="Times New Roman"/>
          <w:szCs w:val="40"/>
          <w:lang w:val="en-GB"/>
        </w:rPr>
        <w:t>6</w:t>
      </w:r>
      <w:r w:rsidRPr="00E97FC1">
        <w:rPr>
          <w:rFonts w:cs="Times New Roman"/>
          <w:szCs w:val="40"/>
          <w:lang w:val="en-GB"/>
        </w:rPr>
        <w:t xml:space="preserve">). </w:t>
      </w:r>
      <w:r w:rsidRPr="00E97FC1">
        <w:rPr>
          <w:rFonts w:cs="Times New Roman"/>
          <w:i/>
          <w:szCs w:val="40"/>
          <w:lang w:val="en-GB"/>
        </w:rPr>
        <w:t>Ec</w:t>
      </w:r>
      <w:r w:rsidRPr="00E97FC1">
        <w:rPr>
          <w:rFonts w:cs="Times New Roman"/>
          <w:szCs w:val="40"/>
          <w:lang w:val="en-GB"/>
        </w:rPr>
        <w:t xml:space="preserve">CI was equilibrated for 3 min with 100 µM DQ before NADH addition and NADH:DQ activity measurement. In all cases, the reaction was started by NADH addition. Control experiments were performed in the presence of 30 µM piericidin A inhibitor. </w:t>
      </w:r>
    </w:p>
    <w:p w14:paraId="7CCDC0DC" w14:textId="77777777" w:rsidR="00D17765" w:rsidRPr="00E97FC1" w:rsidRDefault="00D17765" w:rsidP="00D17765">
      <w:pPr>
        <w:rPr>
          <w:lang w:val="en-GB"/>
        </w:rPr>
      </w:pPr>
    </w:p>
    <w:p w14:paraId="7C6CC469" w14:textId="77777777" w:rsidR="00306433" w:rsidRPr="00E97FC1" w:rsidRDefault="00B2551B" w:rsidP="000E177B">
      <w:pPr>
        <w:pStyle w:val="Heading3"/>
      </w:pPr>
      <w:bookmarkStart w:id="67" w:name="_Toc132639996"/>
      <w:r w:rsidRPr="00E97FC1">
        <w:t>NDH activity measurements attempts</w:t>
      </w:r>
      <w:bookmarkEnd w:id="67"/>
    </w:p>
    <w:p w14:paraId="73B7E029" w14:textId="77777777" w:rsidR="00D17765" w:rsidRPr="00E97FC1" w:rsidRDefault="005D66EB" w:rsidP="005D66EB">
      <w:pPr>
        <w:ind w:firstLine="720"/>
        <w:rPr>
          <w:lang w:val="en-GB"/>
        </w:rPr>
      </w:pPr>
      <w:r w:rsidRPr="00E97FC1">
        <w:rPr>
          <w:lang w:val="en-GB"/>
        </w:rPr>
        <w:t xml:space="preserve">As to this date, there is no activity measurement protocol published. It is connected with difficulties of using Fd as an electron donor </w:t>
      </w:r>
      <w:r w:rsidR="00CD34EF" w:rsidRPr="00E97FC1">
        <w:rPr>
          <w:lang w:val="en-GB"/>
        </w:rPr>
        <w:t xml:space="preserve">(comparing to NADH in complex I). Thus, we tried to develop the assay for NDH. </w:t>
      </w:r>
    </w:p>
    <w:p w14:paraId="701F7403" w14:textId="3384D278" w:rsidR="00CD34EF" w:rsidRPr="00E97FC1" w:rsidRDefault="00CD34EF" w:rsidP="005D66EB">
      <w:pPr>
        <w:ind w:firstLine="720"/>
        <w:rPr>
          <w:lang w:val="en-GB"/>
        </w:rPr>
      </w:pPr>
      <w:r w:rsidRPr="00E97FC1">
        <w:rPr>
          <w:lang w:val="en-GB"/>
        </w:rPr>
        <w:t xml:space="preserve">Since NDH has exposed </w:t>
      </w:r>
      <w:r w:rsidR="00A53781" w:rsidRPr="00E97FC1">
        <w:rPr>
          <w:lang w:val="en-GB"/>
        </w:rPr>
        <w:t xml:space="preserve">Fe-S cluster, it </w:t>
      </w:r>
      <w:r w:rsidR="00E936CB" w:rsidRPr="00E97FC1">
        <w:rPr>
          <w:lang w:val="en-GB"/>
        </w:rPr>
        <w:t xml:space="preserve">may be </w:t>
      </w:r>
      <w:r w:rsidR="00A53781" w:rsidRPr="00E97FC1">
        <w:rPr>
          <w:lang w:val="en-GB"/>
        </w:rPr>
        <w:t>possible to reduce the complex with dithionite. It was assumed that the reduction of DQ by dithionite is not rapid, and would be faster with NDH added (and activity could be derived from the difference). However, dithionite reduced DQ rapidly</w:t>
      </w:r>
      <w:r w:rsidR="00DE446E" w:rsidRPr="00E97FC1">
        <w:rPr>
          <w:lang w:val="en-GB"/>
        </w:rPr>
        <w:t xml:space="preserve">. Another attempt was to create </w:t>
      </w:r>
      <w:r w:rsidR="003E0C87" w:rsidRPr="00E97FC1">
        <w:rPr>
          <w:lang w:val="en-GB"/>
        </w:rPr>
        <w:t xml:space="preserve">the </w:t>
      </w:r>
      <w:r w:rsidR="00DE446E" w:rsidRPr="00E97FC1">
        <w:rPr>
          <w:lang w:val="en-GB"/>
        </w:rPr>
        <w:t>system where the limiting substrate would not be Fd. For that, Ferredoxin-NADP+ oxidoreductase (FNR), which catalyzes electron transfer between Fd and NADPH was used. However, no change in the spectrum was observed.</w:t>
      </w:r>
      <w:r w:rsidR="00A53027" w:rsidRPr="00E97FC1">
        <w:rPr>
          <w:lang w:val="en-GB"/>
        </w:rPr>
        <w:t xml:space="preserve"> It is possible that using non-native DQ (instead of plastoquinone) and FNR (spinach instead of cyanobacterial) affected the result of the assay.</w:t>
      </w:r>
    </w:p>
    <w:p w14:paraId="01B27F52" w14:textId="61DED20A" w:rsidR="00A53027" w:rsidRPr="00E97FC1" w:rsidRDefault="00DE446E" w:rsidP="005D66EB">
      <w:pPr>
        <w:ind w:firstLine="720"/>
        <w:rPr>
          <w:lang w:val="en-GB"/>
        </w:rPr>
      </w:pPr>
      <w:r w:rsidRPr="00E97FC1">
        <w:rPr>
          <w:lang w:val="en-GB"/>
        </w:rPr>
        <w:lastRenderedPageBreak/>
        <w:t xml:space="preserve">Both assays were carried out in a quarts curette using </w:t>
      </w:r>
      <w:r w:rsidR="0088640A" w:rsidRPr="00E97FC1">
        <w:rPr>
          <w:lang w:val="en-GB"/>
        </w:rPr>
        <w:t>OceanOptics UV-VIS spectrophotometer</w:t>
      </w:r>
      <w:r w:rsidR="00A53027" w:rsidRPr="00E97FC1">
        <w:rPr>
          <w:lang w:val="en-GB"/>
        </w:rPr>
        <w:t xml:space="preserve">. DQ </w:t>
      </w:r>
      <w:r w:rsidR="00A53027" w:rsidRPr="00E97FC1">
        <w:rPr>
          <w:rFonts w:cs="Times New Roman"/>
          <w:szCs w:val="40"/>
          <w:lang w:val="en-GB"/>
        </w:rPr>
        <w:t>(ɛ = 13.55 mM</w:t>
      </w:r>
      <w:r w:rsidR="00A53027" w:rsidRPr="00E97FC1">
        <w:rPr>
          <w:rFonts w:cs="Times New Roman"/>
          <w:szCs w:val="40"/>
          <w:vertAlign w:val="superscript"/>
          <w:lang w:val="en-GB"/>
        </w:rPr>
        <w:t>-1</w:t>
      </w:r>
      <w:r w:rsidR="00A53027" w:rsidRPr="00E97FC1">
        <w:rPr>
          <w:rFonts w:cs="Times New Roman"/>
          <w:szCs w:val="40"/>
          <w:lang w:val="en-GB"/>
        </w:rPr>
        <w:t xml:space="preserve"> cm</w:t>
      </w:r>
      <w:r w:rsidR="00A53027" w:rsidRPr="00E97FC1">
        <w:rPr>
          <w:rFonts w:cs="Times New Roman"/>
          <w:szCs w:val="40"/>
          <w:vertAlign w:val="superscript"/>
          <w:lang w:val="en-GB"/>
        </w:rPr>
        <w:t>-1</w:t>
      </w:r>
      <w:r w:rsidR="00A53027" w:rsidRPr="00E97FC1">
        <w:rPr>
          <w:rFonts w:cs="Times New Roman"/>
          <w:szCs w:val="40"/>
          <w:lang w:val="en-GB"/>
        </w:rPr>
        <w:t>)</w:t>
      </w:r>
      <w:r w:rsidR="00A53027" w:rsidRPr="00E97FC1">
        <w:rPr>
          <w:lang w:val="en-GB"/>
        </w:rPr>
        <w:t xml:space="preserve"> reduction was observed at 278 nm wavelength.  Spinach FNR (F0628) was obtained from </w:t>
      </w:r>
      <w:r w:rsidR="00E97FC1">
        <w:rPr>
          <w:lang w:val="en-GB"/>
        </w:rPr>
        <w:t>S</w:t>
      </w:r>
      <w:r w:rsidR="00A53027" w:rsidRPr="00E97FC1">
        <w:rPr>
          <w:lang w:val="en-GB"/>
        </w:rPr>
        <w:t>igma-</w:t>
      </w:r>
      <w:r w:rsidR="00E97FC1">
        <w:rPr>
          <w:lang w:val="en-GB"/>
        </w:rPr>
        <w:t>A</w:t>
      </w:r>
      <w:r w:rsidR="00A53027" w:rsidRPr="00E97FC1">
        <w:rPr>
          <w:lang w:val="en-GB"/>
        </w:rPr>
        <w:t>ldrich.</w:t>
      </w:r>
    </w:p>
    <w:p w14:paraId="37CB1361" w14:textId="77777777" w:rsidR="00DE446E" w:rsidRPr="00E97FC1" w:rsidRDefault="00DE446E" w:rsidP="005D66EB">
      <w:pPr>
        <w:ind w:firstLine="720"/>
        <w:rPr>
          <w:lang w:val="en-GB"/>
        </w:rPr>
      </w:pPr>
    </w:p>
    <w:p w14:paraId="04B338A0" w14:textId="77777777" w:rsidR="009F243C" w:rsidRPr="00E97FC1" w:rsidRDefault="009F243C" w:rsidP="00F016AD">
      <w:pPr>
        <w:pStyle w:val="Heading2"/>
      </w:pPr>
      <w:bookmarkStart w:id="68" w:name="_Toc132639997"/>
      <w:r w:rsidRPr="00E97FC1">
        <w:t>Electron cryo-microscopy</w:t>
      </w:r>
      <w:bookmarkEnd w:id="68"/>
    </w:p>
    <w:p w14:paraId="6A900812" w14:textId="77777777" w:rsidR="00E51E0E" w:rsidRPr="00E97FC1" w:rsidRDefault="006C6765" w:rsidP="006C6765">
      <w:pPr>
        <w:ind w:firstLine="720"/>
        <w:rPr>
          <w:lang w:val="en-GB"/>
        </w:rPr>
      </w:pPr>
      <w:r w:rsidRPr="00E97FC1">
        <w:rPr>
          <w:lang w:val="en-GB"/>
        </w:rPr>
        <w:t>Electron cryo-microscopy (cryo-EM) is an imaging technique used to observe the three-dimensional structure of biological molecules, such as proteins, at near-atomic resolution. In cryo-EM, a sample is frozen in a thin layer of ice, and then observed using an electron microscope. The technique has been used to obtain high-resolution images of a variety of biological molecules, including viruses, proteins, and DNA. In recent years, cryo-EM has become one of the most powerful tools in structural biology, due to its ability to obtain near-atomic resolution images without the need for crystals</w:t>
      </w:r>
      <w:r w:rsidR="000B0BEA" w:rsidRPr="00E97FC1">
        <w:rPr>
          <w:lang w:val="en-GB"/>
        </w:rPr>
        <w:t xml:space="preserve"> </w:t>
      </w:r>
      <w:r w:rsidR="000B0BEA" w:rsidRPr="00E97FC1">
        <w:rPr>
          <w:lang w:val="en-GB"/>
        </w:rPr>
        <w:fldChar w:fldCharType="begin" w:fldLock="1"/>
      </w:r>
      <w:r w:rsidR="00E55873" w:rsidRPr="00E97FC1">
        <w:rPr>
          <w:lang w:val="en-GB"/>
        </w:rPr>
        <w:instrText>ADDIN CSL_CITATION {"citationItems":[{"id":"ITEM-1","itemData":{"DOI":"10.1126/science.1251652","abstract":"Advances in detector technology and image processing are yielding high-resolution electron cryo-microscopy structures of biomolecules. [Also see Report by Amunts et al.] Precise knowledge of the structure of macromolecules in the cell is essential for understanding how they function. Structures of large macromolecules can now be obtained at near-atomic resolution by averaging thousands of electron microscope images recorded before radiation damage accumulates. This is what Amunts et al. have done in their research article on page 1485 of this issue (1), reporting the structure of the large subunit of the mitochondrial ribosome at 3.2 Å resolution by electron cryo-microscopy (cryo-EM). Together with other recent high-resolution cryo-EM structures (2?4) (see the figure), this achievement heralds the beginning of a new era in molecular biology, where structures at near-atomic resolution are no longer the prerogative of x-ray crystallography or nuclear magnetic resonance (NMR) spectroscopy.","author":[{"dropping-particle":"","family":"Kühlbrandt","given":"Werner","non-dropping-particle":"","parse-names":false,"suffix":""}],"container-title":"Science","id":"ITEM-1","issue":"6178","issued":{"date-parts":[["2014","3","28"]]},"note":"doi: 10.1126/science.1251652","page":"1443-1444","publisher":"American Association for the Advancement of Science","title":"The Resolution Revolution","type":"article-journal","volume":"343"},"uris":["http://www.mendeley.com/documents/?uuid=17f32498-8cba-4821-84d5-15afa19a64bd"]}],"mendeley":{"formattedCitation":"(Kühlbrandt, 2014)","plainTextFormattedCitation":"(Kühlbrandt, 2014)","previouslyFormattedCitation":"(Kühlbrandt, 2014)"},"properties":{"noteIndex":0},"schema":"https://github.com/citation-style-language/schema/raw/master/csl-citation.json"}</w:instrText>
      </w:r>
      <w:r w:rsidR="000B0BEA" w:rsidRPr="00E97FC1">
        <w:rPr>
          <w:lang w:val="en-GB"/>
        </w:rPr>
        <w:fldChar w:fldCharType="separate"/>
      </w:r>
      <w:r w:rsidR="00E55873" w:rsidRPr="00E97FC1">
        <w:rPr>
          <w:noProof/>
          <w:lang w:val="en-GB"/>
        </w:rPr>
        <w:t>(Kühlbrandt, 2014)</w:t>
      </w:r>
      <w:r w:rsidR="000B0BEA" w:rsidRPr="00E97FC1">
        <w:rPr>
          <w:lang w:val="en-GB"/>
        </w:rPr>
        <w:fldChar w:fldCharType="end"/>
      </w:r>
      <w:r w:rsidRPr="00E97FC1">
        <w:rPr>
          <w:lang w:val="en-GB"/>
        </w:rPr>
        <w:t>. The main advantage of cryo-EM over other imaging techniques is that it does not require the sample to be in a crystalline state. This is particularly important for biological molecules, which are often difficult or impossible to crystallize. In addition, cryo-EM can be used to image molecules in their native state, which is often important for understanding their function. Moreover, the technique allows observation of several conformational states of a molecule. The main disadvantage of cryo-EM is that it is a low-throughput technique, meaning that only a small number of samples can be imaged at a time. In addition, cryo-EM requires specialized equipment and expertise, which can make it expensive and difficult to access.</w:t>
      </w:r>
    </w:p>
    <w:p w14:paraId="3292925A" w14:textId="77777777" w:rsidR="006C6765" w:rsidRPr="00E97FC1" w:rsidRDefault="006C6765" w:rsidP="00E51E0E">
      <w:pPr>
        <w:rPr>
          <w:lang w:val="en-GB"/>
        </w:rPr>
      </w:pPr>
    </w:p>
    <w:p w14:paraId="3C054B2E" w14:textId="77777777" w:rsidR="009F243C" w:rsidRPr="00E97FC1" w:rsidRDefault="009F243C" w:rsidP="00F016AD">
      <w:pPr>
        <w:pStyle w:val="Heading2"/>
      </w:pPr>
      <w:bookmarkStart w:id="69" w:name="_Toc132639998"/>
      <w:r w:rsidRPr="00E97FC1">
        <w:t>Grid preparation</w:t>
      </w:r>
      <w:r w:rsidR="00FD11C5" w:rsidRPr="00E97FC1">
        <w:t xml:space="preserve"> and data collection</w:t>
      </w:r>
      <w:bookmarkEnd w:id="69"/>
    </w:p>
    <w:p w14:paraId="3221FE4D" w14:textId="77777777" w:rsidR="00B2551B" w:rsidRPr="00E97FC1" w:rsidRDefault="00B2551B" w:rsidP="000E177B">
      <w:pPr>
        <w:pStyle w:val="Heading3"/>
      </w:pPr>
      <w:bookmarkStart w:id="70" w:name="_Toc132639999"/>
      <w:r w:rsidRPr="00E97FC1">
        <w:t>Grid preparation for complex I</w:t>
      </w:r>
      <w:bookmarkEnd w:id="70"/>
    </w:p>
    <w:p w14:paraId="5D259A9A" w14:textId="77777777" w:rsidR="00B92B19" w:rsidRPr="00E97FC1" w:rsidRDefault="00B92B19" w:rsidP="00B92B19">
      <w:pPr>
        <w:ind w:firstLine="720"/>
        <w:rPr>
          <w:rFonts w:cs="Times New Roman"/>
          <w:szCs w:val="40"/>
          <w:lang w:val="en-GB"/>
        </w:rPr>
      </w:pPr>
      <w:r w:rsidRPr="00E97FC1">
        <w:rPr>
          <w:rFonts w:cs="Times New Roman"/>
          <w:szCs w:val="40"/>
          <w:lang w:val="en-GB"/>
        </w:rPr>
        <w:t xml:space="preserve">In the case of </w:t>
      </w:r>
      <w:r w:rsidRPr="00E97FC1">
        <w:rPr>
          <w:rFonts w:cs="Times New Roman"/>
          <w:i/>
          <w:szCs w:val="40"/>
          <w:lang w:val="en-GB"/>
        </w:rPr>
        <w:t>Ec</w:t>
      </w:r>
      <w:r w:rsidRPr="00E97FC1">
        <w:rPr>
          <w:rFonts w:cs="Times New Roman"/>
          <w:szCs w:val="40"/>
          <w:lang w:val="en-GB"/>
        </w:rPr>
        <w:t>CI datasets in DDM, the protein was run through Superose 6 SEC column immediately before grid preparation in 20 mM MES pH 6.0, 2 mM CaCl</w:t>
      </w:r>
      <w:r w:rsidRPr="00E97FC1">
        <w:rPr>
          <w:rFonts w:cs="Times New Roman"/>
          <w:szCs w:val="40"/>
          <w:vertAlign w:val="subscript"/>
          <w:lang w:val="en-GB"/>
        </w:rPr>
        <w:t>2</w:t>
      </w:r>
      <w:r w:rsidRPr="00E97FC1">
        <w:rPr>
          <w:rFonts w:cs="Times New Roman"/>
          <w:szCs w:val="40"/>
          <w:lang w:val="en-GB"/>
        </w:rPr>
        <w:t xml:space="preserve">, 250 mM NaCl, 0.02% DDM and concentrated to ~10 mg/ml (~0.4% DDM final). The high protein concentration was required to achieve adequate coverage of the holes with particles. Additionally, an increased NaCl concentration in the buffer was required to prevent protein aggregation on the grid. For DDM_NADH dataset, 5 mM NADH was added immediately before freezing (20 seconds between NADH addition and vitrification). Quantifoil Cu/carbon 0.6/1 grids were used. Before using, grids were glow discharged (0.7 mbar and 30 mA for 2 min in the ELMO Glow Discharge unit, Agar Scientific, Stansted, UK). Blotting was done at </w:t>
      </w:r>
      <w:r w:rsidRPr="00E97FC1">
        <w:rPr>
          <w:rFonts w:cs="Times New Roman"/>
          <w:szCs w:val="40"/>
          <w:lang w:val="en-GB"/>
        </w:rPr>
        <w:lastRenderedPageBreak/>
        <w:t>4°C, 100% humidity with 25 blotting force and 5s blotting time. All blotting and freezing procedures were done with 2.7 µL sample applied on a grid using FEI Vitrobot Mark IV.</w:t>
      </w:r>
    </w:p>
    <w:p w14:paraId="06A8DC7E" w14:textId="77777777" w:rsidR="00E51E0E" w:rsidRPr="00E97FC1" w:rsidRDefault="00E51E0E" w:rsidP="00E51E0E">
      <w:pPr>
        <w:ind w:firstLine="720"/>
        <w:rPr>
          <w:rFonts w:cs="Times New Roman"/>
          <w:szCs w:val="40"/>
          <w:lang w:val="en-GB"/>
        </w:rPr>
      </w:pPr>
      <w:r w:rsidRPr="00E97FC1">
        <w:rPr>
          <w:rFonts w:cs="Times New Roman"/>
          <w:szCs w:val="40"/>
          <w:lang w:val="en-GB"/>
        </w:rPr>
        <w:t>In the case of datasets in DDM/LMNG, protein stocks were not subject to SEC but rather diluted (from ~17 mg/ml to ~0.5 mg/ml) in dilution buffer DB (20 mM MES-HCl pH 6.0, 250 mM NaCl, 2 mM CaCl</w:t>
      </w:r>
      <w:r w:rsidRPr="00E97FC1">
        <w:rPr>
          <w:rFonts w:cs="Times New Roman"/>
          <w:szCs w:val="40"/>
          <w:vertAlign w:val="subscript"/>
          <w:lang w:val="en-GB"/>
        </w:rPr>
        <w:t>2</w:t>
      </w:r>
      <w:r w:rsidRPr="00E97FC1">
        <w:rPr>
          <w:rFonts w:cs="Times New Roman"/>
          <w:szCs w:val="40"/>
          <w:lang w:val="en-GB"/>
        </w:rPr>
        <w:t xml:space="preserve"> 0.01% LMNG) and incubated for at least 4 hours on ice. In case of LMNG-only preparation, the protein was used right after purification, diluted in DB. </w:t>
      </w:r>
      <w:r w:rsidRPr="00E97FC1">
        <w:rPr>
          <w:rFonts w:cs="Times New Roman"/>
          <w:i/>
          <w:szCs w:val="40"/>
          <w:lang w:val="en-GB"/>
        </w:rPr>
        <w:t>E. coli</w:t>
      </w:r>
      <w:r w:rsidRPr="00E97FC1">
        <w:rPr>
          <w:rFonts w:cs="Times New Roman"/>
          <w:szCs w:val="40"/>
          <w:lang w:val="en-GB"/>
        </w:rPr>
        <w:t xml:space="preserve"> total lipid extract (ETL; Avanti Polar Lipids Inc., Alabama, USA) was added to the protein sample before blotting and freezing. ETL stock was prepared by drying the initial stock (25 mg/ml in chloroform) under nitrogen gas stream, washing with diethyl ether, drying under N</w:t>
      </w:r>
      <w:r w:rsidRPr="00E97FC1">
        <w:rPr>
          <w:rFonts w:cs="Times New Roman"/>
          <w:szCs w:val="40"/>
          <w:vertAlign w:val="subscript"/>
          <w:lang w:val="en-GB"/>
        </w:rPr>
        <w:t>2</w:t>
      </w:r>
      <w:r w:rsidRPr="00E97FC1">
        <w:rPr>
          <w:rFonts w:cs="Times New Roman"/>
          <w:szCs w:val="40"/>
          <w:lang w:val="en-GB"/>
        </w:rPr>
        <w:t xml:space="preserve"> and dissolving at 7.5 mg/ml in 10 mM MES pH</w:t>
      </w:r>
      <w:r w:rsidR="00353E38" w:rsidRPr="00E97FC1">
        <w:rPr>
          <w:rFonts w:cs="Times New Roman"/>
          <w:szCs w:val="40"/>
          <w:lang w:val="en-GB"/>
        </w:rPr>
        <w:t xml:space="preserve"> </w:t>
      </w:r>
      <w:r w:rsidRPr="00E97FC1">
        <w:rPr>
          <w:rFonts w:cs="Times New Roman"/>
          <w:szCs w:val="40"/>
          <w:lang w:val="en-GB"/>
        </w:rPr>
        <w:t xml:space="preserve">6, 3% CHAPS buffer. </w:t>
      </w:r>
    </w:p>
    <w:p w14:paraId="171F7962" w14:textId="77777777" w:rsidR="00E51E0E" w:rsidRPr="00E97FC1" w:rsidRDefault="00E51E0E" w:rsidP="00E51E0E">
      <w:pPr>
        <w:ind w:firstLine="720"/>
        <w:rPr>
          <w:rFonts w:cs="Times New Roman"/>
          <w:szCs w:val="40"/>
          <w:lang w:val="en-GB"/>
        </w:rPr>
      </w:pPr>
      <w:r w:rsidRPr="00E97FC1">
        <w:rPr>
          <w:rFonts w:cs="Times New Roman"/>
          <w:szCs w:val="40"/>
          <w:lang w:val="en-GB"/>
        </w:rPr>
        <w:t xml:space="preserve">For DDM/LMNG_Apo dataset, </w:t>
      </w:r>
      <w:r w:rsidRPr="00E97FC1">
        <w:rPr>
          <w:rFonts w:cs="Times New Roman"/>
          <w:i/>
          <w:szCs w:val="40"/>
          <w:lang w:val="en-GB"/>
        </w:rPr>
        <w:t>Ec</w:t>
      </w:r>
      <w:r w:rsidRPr="00E97FC1">
        <w:rPr>
          <w:rFonts w:cs="Times New Roman"/>
          <w:szCs w:val="40"/>
          <w:lang w:val="en-GB"/>
        </w:rPr>
        <w:t>CI (0.2 mg/ml) was mixed with ETL (0.25 mg/ml, 0.1% CHAPS carry-over with ETL stock) and frozen without substrates. For</w:t>
      </w:r>
      <w:r w:rsidRPr="00E97FC1">
        <w:rPr>
          <w:rFonts w:cs="Times New Roman"/>
          <w:szCs w:val="40"/>
          <w:vertAlign w:val="superscript"/>
          <w:lang w:val="en-GB"/>
        </w:rPr>
        <w:t xml:space="preserve"> </w:t>
      </w:r>
      <w:r w:rsidRPr="00E97FC1">
        <w:rPr>
          <w:rFonts w:cs="Times New Roman"/>
          <w:szCs w:val="40"/>
          <w:lang w:val="en-GB"/>
        </w:rPr>
        <w:t xml:space="preserve">DDM/LMNG_PieA dataset, </w:t>
      </w:r>
      <w:r w:rsidRPr="00E97FC1">
        <w:rPr>
          <w:rFonts w:cs="Times New Roman"/>
          <w:i/>
          <w:szCs w:val="40"/>
          <w:lang w:val="en-GB"/>
        </w:rPr>
        <w:t>Ec</w:t>
      </w:r>
      <w:r w:rsidRPr="00E97FC1">
        <w:rPr>
          <w:rFonts w:cs="Times New Roman"/>
          <w:szCs w:val="40"/>
          <w:lang w:val="en-GB"/>
        </w:rPr>
        <w:t xml:space="preserve">CI (0.16 mg/ml) was mixed with ETL (0.25 mg/ml, 0.1% CHAPS) and piericidin A (50 µM) followed by 2 min incubation at room temperature, then NADH (1.2 mM) was added, mixed and applied on a grid. For DDM/LMNG_DQ dataset, the protein (0.16 mg/ml) was mixed with ETL (0.25 mg/ml, 0.1% CHAPS) and DQ (500 µM) followed by 2 min incubation at room temperature, then the dilution buffer was added with subsequent mixing and application on a grid. For DDM/LMNG_FMN+NADH dataset the protein (0.16 mg/ml) was mixed with ETL (0.25 mg/ml, 0.1% CHAPS), FMN (50 µM) and NADH (1.2 mM) with subsequent mixing and application on a grid. For LMNG_Apo dataset, </w:t>
      </w:r>
      <w:r w:rsidRPr="00E97FC1">
        <w:rPr>
          <w:rFonts w:cs="Times New Roman"/>
          <w:i/>
          <w:szCs w:val="40"/>
          <w:lang w:val="en-GB"/>
        </w:rPr>
        <w:t>Ec</w:t>
      </w:r>
      <w:r w:rsidRPr="00E97FC1">
        <w:rPr>
          <w:rFonts w:cs="Times New Roman"/>
          <w:szCs w:val="40"/>
          <w:lang w:val="en-GB"/>
        </w:rPr>
        <w:t xml:space="preserve">CI (0.25 mg/ml) was mixed with ETL (0.25 mg/ml, 0.1% CHAPS) and frozen without substrates All concentrations indicated are final concentrations. For all datasets in DDM/LMNG, we used Quantifoil Cu/carbon 0.6/1 grid with a home-made 1.3 nm (0.9 nm in case of LMNG-purified sample) amorphous carbon support layer (produced using Leica EM ACE600 sputter coater). Before using, grids were glow discharged (0.7 mbar and 30 mA for 10 s in the ELMO Glow Discharge unit, Agar Scientific, Stansted, UK). Blotting was done at 15°C, 100% humidity with 25 blotting force and 2 s blotting time. Using carbon-coated grids led to several preferable orientations of the complex but did not prevent from achieving high-resolution good quality maps. </w:t>
      </w:r>
    </w:p>
    <w:p w14:paraId="2D807381" w14:textId="77777777" w:rsidR="00E51E0E" w:rsidRPr="00E97FC1" w:rsidRDefault="00E51E0E" w:rsidP="00E51E0E">
      <w:pPr>
        <w:ind w:firstLine="720"/>
        <w:rPr>
          <w:rFonts w:cs="Times New Roman"/>
          <w:szCs w:val="40"/>
          <w:lang w:val="en-GB"/>
        </w:rPr>
      </w:pPr>
      <w:r w:rsidRPr="00E97FC1">
        <w:rPr>
          <w:rFonts w:cs="Times New Roman"/>
          <w:szCs w:val="24"/>
          <w:lang w:val="en-GB"/>
        </w:rPr>
        <w:t>Since the use of carbon-coated grids allowed us to minimise protein concentration, under turnover substrate depletion was avoided,</w:t>
      </w:r>
      <w:r w:rsidRPr="00E97FC1">
        <w:rPr>
          <w:rFonts w:cs="Times New Roman"/>
          <w:szCs w:val="40"/>
          <w:lang w:val="en-GB"/>
        </w:rPr>
        <w:t xml:space="preserve"> ensuring full turnover conditions at the time of snap-freezing. For the turnover datasets </w:t>
      </w:r>
      <w:r w:rsidRPr="00E97FC1">
        <w:rPr>
          <w:rFonts w:cs="Times New Roman"/>
          <w:i/>
          <w:szCs w:val="40"/>
          <w:lang w:val="en-GB"/>
        </w:rPr>
        <w:t>Ec</w:t>
      </w:r>
      <w:r w:rsidRPr="00E97FC1">
        <w:rPr>
          <w:rFonts w:cs="Times New Roman"/>
          <w:szCs w:val="40"/>
          <w:lang w:val="en-GB"/>
        </w:rPr>
        <w:t xml:space="preserve">CI (0.16 mg/ml for DDM/LMNG pH 6 and pH 8 and 0.25 mg/ml for LMNG) was mixed with ETL (0.25 mg/ml, 0.1% CHAPS) and DQ (410 µM for DDM/LMNG pH 6 and 750 µM for DDM/LMNG pH 8 and for LMNG) and incubated </w:t>
      </w:r>
      <w:r w:rsidRPr="00E97FC1">
        <w:rPr>
          <w:rFonts w:cs="Times New Roman"/>
          <w:szCs w:val="40"/>
          <w:lang w:val="en-GB"/>
        </w:rPr>
        <w:lastRenderedPageBreak/>
        <w:t>for 2 min at room temperature (22°C). Then NADH (1.5 mM) was rapidly added with mixing by aspiration, followed by application on a grid. It took ~20 s from NADH addition to protein freezing and most of this time the sample was in the Vitrobot chamber kept at 15°C. Since the enzymatic activity at 18</w:t>
      </w:r>
      <w:r w:rsidRPr="00E97FC1">
        <w:rPr>
          <w:rFonts w:cs="Times New Roman"/>
          <w:szCs w:val="40"/>
          <w:vertAlign w:val="superscript"/>
          <w:lang w:val="en-GB"/>
        </w:rPr>
        <w:t>o</w:t>
      </w:r>
      <w:r w:rsidRPr="00E97FC1">
        <w:rPr>
          <w:rFonts w:cs="Times New Roman"/>
          <w:szCs w:val="40"/>
          <w:lang w:val="en-GB"/>
        </w:rPr>
        <w:t xml:space="preserve">C in lipids/DDM/LMNG is 5.3 </w:t>
      </w:r>
      <w:r w:rsidRPr="00E97FC1">
        <w:rPr>
          <w:rFonts w:ascii="Symbol" w:hAnsi="Symbol" w:cs="Times New Roman"/>
          <w:szCs w:val="40"/>
          <w:lang w:val="en-GB"/>
        </w:rPr>
        <w:t></w:t>
      </w:r>
      <w:r w:rsidRPr="00E97FC1">
        <w:rPr>
          <w:rFonts w:cs="Times New Roman"/>
          <w:szCs w:val="40"/>
          <w:lang w:val="en-GB"/>
        </w:rPr>
        <w:t xml:space="preserve">mol NADH/min/mg prot, the maximal amount of substrates to be used within 20 s (1/3 of min) would be ~ 5.3 x 0.16 x 1000 / 3 ~ 280 µM, ensuring that neither DQ or NADH are used up by the time of plunge-freezing. In addition, the exact same sample mixture and in the same conditions as used for grid application, was applied to a NanoDrop (Denovix DS-11) spectrophotometer kept at 22°C and the reaction kinetics was followed at 340 nm, confirming that it proceeded well beyond 20 s, significantly slowing only at about 40 s. The turnover of </w:t>
      </w:r>
      <w:r w:rsidRPr="00E97FC1">
        <w:rPr>
          <w:rFonts w:cs="Times New Roman"/>
          <w:i/>
          <w:szCs w:val="40"/>
          <w:lang w:val="en-GB"/>
        </w:rPr>
        <w:t>Ec</w:t>
      </w:r>
      <w:r w:rsidRPr="00E97FC1">
        <w:rPr>
          <w:rFonts w:cs="Times New Roman"/>
          <w:szCs w:val="40"/>
          <w:lang w:val="en-GB"/>
        </w:rPr>
        <w:t>CI in all cases at the time of freeze plunging is clearly confirmed by the presence of strong cryoEM densi</w:t>
      </w:r>
      <w:r w:rsidR="002774E8" w:rsidRPr="00E97FC1">
        <w:rPr>
          <w:rFonts w:cs="Times New Roman"/>
          <w:szCs w:val="40"/>
          <w:lang w:val="en-GB"/>
        </w:rPr>
        <w:t>ty for FMN, NADH, NuoF and NuoE</w:t>
      </w:r>
      <w:r w:rsidRPr="00E97FC1">
        <w:rPr>
          <w:rFonts w:cs="Times New Roman"/>
          <w:szCs w:val="40"/>
          <w:lang w:val="en-GB"/>
        </w:rPr>
        <w:t>, which would otherwise be absent in the presence o</w:t>
      </w:r>
      <w:r w:rsidR="002774E8" w:rsidRPr="00E97FC1">
        <w:rPr>
          <w:rFonts w:cs="Times New Roman"/>
          <w:szCs w:val="40"/>
          <w:lang w:val="en-GB"/>
        </w:rPr>
        <w:t>f NADH and absence of turnover</w:t>
      </w:r>
      <w:r w:rsidRPr="00E97FC1">
        <w:rPr>
          <w:rFonts w:cs="Times New Roman"/>
          <w:szCs w:val="40"/>
          <w:lang w:val="en-GB"/>
        </w:rPr>
        <w:t xml:space="preserve">. Finally, only under turnover we observe closed </w:t>
      </w:r>
      <w:r w:rsidRPr="00E97FC1">
        <w:rPr>
          <w:rFonts w:cs="Times New Roman"/>
          <w:i/>
          <w:szCs w:val="40"/>
          <w:lang w:val="en-GB"/>
        </w:rPr>
        <w:t>Ec</w:t>
      </w:r>
      <w:r w:rsidRPr="00E97FC1">
        <w:rPr>
          <w:rFonts w:cs="Times New Roman"/>
          <w:szCs w:val="40"/>
          <w:lang w:val="en-GB"/>
        </w:rPr>
        <w:t>CI and Q</w:t>
      </w:r>
      <w:r w:rsidRPr="00E97FC1">
        <w:rPr>
          <w:rFonts w:cs="Times New Roman"/>
          <w:szCs w:val="40"/>
          <w:vertAlign w:val="subscript"/>
          <w:lang w:val="en-GB"/>
        </w:rPr>
        <w:t>d</w:t>
      </w:r>
      <w:r w:rsidRPr="00E97FC1">
        <w:rPr>
          <w:rFonts w:cs="Times New Roman"/>
          <w:szCs w:val="40"/>
          <w:lang w:val="en-GB"/>
        </w:rPr>
        <w:t>-bound quinone (in three independent datasets).</w:t>
      </w:r>
    </w:p>
    <w:p w14:paraId="33DBD99B" w14:textId="77777777" w:rsidR="00E51E0E" w:rsidRPr="00E97FC1" w:rsidRDefault="00E51E0E" w:rsidP="00E51E0E">
      <w:pPr>
        <w:rPr>
          <w:lang w:val="en-GB"/>
        </w:rPr>
      </w:pPr>
    </w:p>
    <w:p w14:paraId="1437DC90" w14:textId="77777777" w:rsidR="00B2551B" w:rsidRPr="00E97FC1" w:rsidRDefault="00B2551B" w:rsidP="000E177B">
      <w:pPr>
        <w:pStyle w:val="Heading3"/>
      </w:pPr>
      <w:bookmarkStart w:id="71" w:name="_Toc132640000"/>
      <w:r w:rsidRPr="00E97FC1">
        <w:t>Grid preparation NDH</w:t>
      </w:r>
      <w:bookmarkEnd w:id="71"/>
    </w:p>
    <w:p w14:paraId="3E153E34" w14:textId="77777777" w:rsidR="0033143E" w:rsidRPr="00E97FC1" w:rsidRDefault="0033143E" w:rsidP="0033143E">
      <w:pPr>
        <w:ind w:firstLine="720"/>
        <w:rPr>
          <w:lang w:val="en-GB"/>
        </w:rPr>
      </w:pPr>
      <w:r w:rsidRPr="00E97FC1">
        <w:rPr>
          <w:lang w:val="en-GB"/>
        </w:rPr>
        <w:t xml:space="preserve">100 </w:t>
      </w:r>
      <w:r w:rsidRPr="00E97FC1">
        <w:rPr>
          <w:rFonts w:cs="Times New Roman"/>
          <w:lang w:val="en-GB"/>
        </w:rPr>
        <w:t>µ</w:t>
      </w:r>
      <w:r w:rsidRPr="00E97FC1">
        <w:rPr>
          <w:lang w:val="en-GB"/>
        </w:rPr>
        <w:t>l NDH stock (~2.5 mg/ml, stored under liquid N</w:t>
      </w:r>
      <w:r w:rsidRPr="00E97FC1">
        <w:rPr>
          <w:vertAlign w:val="subscript"/>
          <w:lang w:val="en-GB"/>
        </w:rPr>
        <w:t xml:space="preserve">2 </w:t>
      </w:r>
      <w:r w:rsidRPr="00E97FC1">
        <w:rPr>
          <w:lang w:val="en-GB"/>
        </w:rPr>
        <w:t xml:space="preserve">in 20mM BisTris pH 6.0, 100 mM NaCl, 25% glycerol, ~0.2% DDM) was diluted in 400 </w:t>
      </w:r>
      <w:r w:rsidRPr="00E97FC1">
        <w:rPr>
          <w:rFonts w:cs="Times New Roman"/>
          <w:lang w:val="en-GB"/>
        </w:rPr>
        <w:t>µ</w:t>
      </w:r>
      <w:r w:rsidRPr="00E97FC1">
        <w:rPr>
          <w:lang w:val="en-GB"/>
        </w:rPr>
        <w:t>l 20mM BisTris pH 6.0, 100 mM NaCl, 0.01% dilution buffer and concentrated to ~</w:t>
      </w:r>
      <w:r w:rsidR="00A06568" w:rsidRPr="00E97FC1">
        <w:rPr>
          <w:lang w:val="en-GB"/>
        </w:rPr>
        <w:t>3</w:t>
      </w:r>
      <w:r w:rsidRPr="00E97FC1">
        <w:rPr>
          <w:lang w:val="en-GB"/>
        </w:rPr>
        <w:t xml:space="preserve">0 </w:t>
      </w:r>
      <w:r w:rsidRPr="00E97FC1">
        <w:rPr>
          <w:rFonts w:cs="Times New Roman"/>
          <w:lang w:val="en-GB"/>
        </w:rPr>
        <w:t>µ</w:t>
      </w:r>
      <w:r w:rsidRPr="00E97FC1">
        <w:rPr>
          <w:lang w:val="en-GB"/>
        </w:rPr>
        <w:t>l. The procedure was done twice in order to reduce glycerol concentration.</w:t>
      </w:r>
      <w:r w:rsidR="00A06568" w:rsidRPr="00E97FC1">
        <w:rPr>
          <w:lang w:val="en-GB"/>
        </w:rPr>
        <w:t xml:space="preserve"> 0.1% CHAPS (final concentration) was added to the sample to achieve better spread of particles.</w:t>
      </w:r>
      <w:r w:rsidRPr="00E97FC1">
        <w:rPr>
          <w:lang w:val="en-GB"/>
        </w:rPr>
        <w:t xml:space="preserve"> Afterwards, concentrated sample was applied on a </w:t>
      </w:r>
      <w:r w:rsidRPr="00E97FC1">
        <w:rPr>
          <w:rFonts w:cs="Times New Roman"/>
          <w:szCs w:val="40"/>
          <w:lang w:val="en-GB"/>
        </w:rPr>
        <w:t>Quantifoil Cu/carbon 0.6/1 grid (</w:t>
      </w:r>
      <w:r w:rsidR="00A06568" w:rsidRPr="00E97FC1">
        <w:rPr>
          <w:rFonts w:cs="Times New Roman"/>
          <w:szCs w:val="40"/>
          <w:lang w:val="en-GB"/>
        </w:rPr>
        <w:t xml:space="preserve">glow discharged the same way as in </w:t>
      </w:r>
      <w:r w:rsidR="00A06568" w:rsidRPr="00E97FC1">
        <w:rPr>
          <w:rFonts w:cs="Times New Roman"/>
          <w:i/>
          <w:szCs w:val="40"/>
          <w:lang w:val="en-GB"/>
        </w:rPr>
        <w:t>Ec</w:t>
      </w:r>
      <w:r w:rsidR="00A06568" w:rsidRPr="00E97FC1">
        <w:rPr>
          <w:rFonts w:cs="Times New Roman"/>
          <w:szCs w:val="40"/>
          <w:lang w:val="en-GB"/>
        </w:rPr>
        <w:t>CI case</w:t>
      </w:r>
      <w:r w:rsidRPr="00E97FC1">
        <w:rPr>
          <w:rFonts w:cs="Times New Roman"/>
          <w:szCs w:val="40"/>
          <w:lang w:val="en-GB"/>
        </w:rPr>
        <w:t>)</w:t>
      </w:r>
      <w:r w:rsidR="00A06568" w:rsidRPr="00E97FC1">
        <w:rPr>
          <w:rFonts w:cs="Times New Roman"/>
          <w:szCs w:val="40"/>
          <w:lang w:val="en-GB"/>
        </w:rPr>
        <w:t xml:space="preserve">. The blotting was done using 4 s blotting time and 25 blotting force. We found that NDH concentration of 6-8 mg/ml is the most optimal. NDH_Fd was prepared in the same manner, except with addition of </w:t>
      </w:r>
      <w:r w:rsidR="00615E2D" w:rsidRPr="00E97FC1">
        <w:rPr>
          <w:rFonts w:cs="Times New Roman"/>
          <w:szCs w:val="40"/>
          <w:lang w:val="en-GB"/>
        </w:rPr>
        <w:t>f</w:t>
      </w:r>
      <w:r w:rsidR="00A06568" w:rsidRPr="00E97FC1">
        <w:rPr>
          <w:rFonts w:cs="Times New Roman"/>
          <w:szCs w:val="40"/>
          <w:lang w:val="en-GB"/>
        </w:rPr>
        <w:t>erredoxin (11 µm final) and dithionite (5 mM final)</w:t>
      </w:r>
      <w:r w:rsidR="00615E2D" w:rsidRPr="00E97FC1">
        <w:rPr>
          <w:rFonts w:cs="Times New Roman"/>
          <w:szCs w:val="40"/>
          <w:lang w:val="en-GB"/>
        </w:rPr>
        <w:t xml:space="preserve"> together with CHAPS before freezing</w:t>
      </w:r>
      <w:r w:rsidR="00A06568" w:rsidRPr="00E97FC1">
        <w:rPr>
          <w:rFonts w:cs="Times New Roman"/>
          <w:szCs w:val="40"/>
          <w:lang w:val="en-GB"/>
        </w:rPr>
        <w:t>.</w:t>
      </w:r>
    </w:p>
    <w:p w14:paraId="50002C14" w14:textId="77777777" w:rsidR="00B2551B" w:rsidRPr="00E97FC1" w:rsidRDefault="00FD11C5" w:rsidP="000E177B">
      <w:pPr>
        <w:pStyle w:val="Heading3"/>
      </w:pPr>
      <w:bookmarkStart w:id="72" w:name="_Toc132640001"/>
      <w:r w:rsidRPr="00E97FC1">
        <w:t>Cryo-EM d</w:t>
      </w:r>
      <w:r w:rsidR="00B2551B" w:rsidRPr="00E97FC1">
        <w:t>ata collection</w:t>
      </w:r>
      <w:bookmarkEnd w:id="72"/>
    </w:p>
    <w:p w14:paraId="31A7D747" w14:textId="0B9ACEE5" w:rsidR="00FD11C5" w:rsidRPr="00E97FC1" w:rsidRDefault="00FD11C5" w:rsidP="0028028E">
      <w:pPr>
        <w:ind w:firstLine="720"/>
        <w:rPr>
          <w:rFonts w:cs="Times New Roman"/>
          <w:szCs w:val="40"/>
          <w:lang w:val="en-GB"/>
        </w:rPr>
      </w:pPr>
      <w:r w:rsidRPr="00E97FC1">
        <w:rPr>
          <w:rFonts w:cs="Times New Roman"/>
          <w:szCs w:val="40"/>
          <w:lang w:val="en-GB"/>
        </w:rPr>
        <w:t xml:space="preserve">Around 3000-3500 images were collected for most </w:t>
      </w:r>
      <w:r w:rsidRPr="00E97FC1">
        <w:rPr>
          <w:rFonts w:cs="Times New Roman"/>
          <w:i/>
          <w:szCs w:val="40"/>
          <w:lang w:val="en-GB"/>
        </w:rPr>
        <w:t>Ec</w:t>
      </w:r>
      <w:r w:rsidRPr="00E97FC1">
        <w:rPr>
          <w:rFonts w:cs="Times New Roman"/>
          <w:szCs w:val="40"/>
          <w:lang w:val="en-GB"/>
        </w:rPr>
        <w:t xml:space="preserve">CI datasets, while for DDM-LMNG pH8 and LMNG turnover datasets around 8000 and 11000 images were collected, respectively. All </w:t>
      </w:r>
      <w:r w:rsidRPr="00E97FC1">
        <w:rPr>
          <w:rFonts w:cs="Times New Roman"/>
          <w:i/>
          <w:szCs w:val="40"/>
          <w:lang w:val="en-GB"/>
        </w:rPr>
        <w:t>Ec</w:t>
      </w:r>
      <w:r w:rsidRPr="00E97FC1">
        <w:rPr>
          <w:rFonts w:cs="Times New Roman"/>
          <w:szCs w:val="40"/>
          <w:lang w:val="en-GB"/>
        </w:rPr>
        <w:t xml:space="preserve">CI datasets in DDM and NDH_Apo were collected with TF Krios TEM at CEITEC electron microscope facility in Brno, while all </w:t>
      </w:r>
      <w:r w:rsidRPr="00E97FC1">
        <w:rPr>
          <w:rFonts w:cs="Times New Roman"/>
          <w:i/>
          <w:szCs w:val="40"/>
          <w:lang w:val="en-GB"/>
        </w:rPr>
        <w:t>Ec</w:t>
      </w:r>
      <w:r w:rsidRPr="00E97FC1">
        <w:rPr>
          <w:rFonts w:cs="Times New Roman"/>
          <w:szCs w:val="40"/>
          <w:lang w:val="en-GB"/>
        </w:rPr>
        <w:t xml:space="preserve">CI datasets in DDM/LMNG and LMNG and NDH_Fd were collected with TF Krios and Glacios TEM at IST Austria electron </w:t>
      </w:r>
      <w:r w:rsidRPr="00E97FC1">
        <w:rPr>
          <w:rFonts w:cs="Times New Roman"/>
          <w:szCs w:val="40"/>
          <w:lang w:val="en-GB"/>
        </w:rPr>
        <w:lastRenderedPageBreak/>
        <w:t>microscope facility. Image collection settings and equipment are summarized in</w:t>
      </w:r>
      <w:r w:rsidR="00EF323C" w:rsidRPr="00E97FC1">
        <w:rPr>
          <w:rFonts w:cs="Times New Roman"/>
          <w:szCs w:val="40"/>
          <w:lang w:val="en-GB"/>
        </w:rPr>
        <w:t xml:space="preserve"> Appendix 1-</w:t>
      </w:r>
      <w:r w:rsidR="00372502" w:rsidRPr="00E97FC1">
        <w:rPr>
          <w:rFonts w:cs="Times New Roman"/>
          <w:szCs w:val="40"/>
          <w:lang w:val="en-GB"/>
        </w:rPr>
        <w:t>4</w:t>
      </w:r>
      <w:r w:rsidRPr="00E97FC1">
        <w:rPr>
          <w:rFonts w:cs="Times New Roman"/>
          <w:szCs w:val="40"/>
          <w:lang w:val="en-GB"/>
        </w:rPr>
        <w:t xml:space="preserve">. </w:t>
      </w:r>
    </w:p>
    <w:p w14:paraId="0EFA9ABC" w14:textId="77777777" w:rsidR="009F243C" w:rsidRPr="00E97FC1" w:rsidRDefault="009F243C" w:rsidP="00F016AD">
      <w:pPr>
        <w:pStyle w:val="Heading2"/>
      </w:pPr>
      <w:bookmarkStart w:id="73" w:name="_Toc132640002"/>
      <w:r w:rsidRPr="00E97FC1">
        <w:t>Image processing: Complex</w:t>
      </w:r>
      <w:r w:rsidR="00B2551B" w:rsidRPr="00E97FC1">
        <w:t xml:space="preserve"> </w:t>
      </w:r>
      <w:r w:rsidRPr="00E97FC1">
        <w:t>I</w:t>
      </w:r>
      <w:bookmarkEnd w:id="73"/>
    </w:p>
    <w:p w14:paraId="3F0ECCE7" w14:textId="01D75C8C" w:rsidR="005B5A1A" w:rsidRPr="00E97FC1" w:rsidRDefault="00FD11C5" w:rsidP="0028028E">
      <w:pPr>
        <w:ind w:firstLine="720"/>
        <w:rPr>
          <w:rFonts w:cs="Times New Roman"/>
          <w:szCs w:val="40"/>
          <w:lang w:val="en-GB"/>
        </w:rPr>
      </w:pPr>
      <w:r w:rsidRPr="00E97FC1">
        <w:rPr>
          <w:rFonts w:cs="Times New Roman"/>
          <w:szCs w:val="40"/>
          <w:lang w:val="en-GB"/>
        </w:rPr>
        <w:t>All data processing was done in RELION 3.0 and 3.1</w:t>
      </w:r>
      <w:r w:rsidR="0058390F" w:rsidRPr="00E97FC1">
        <w:rPr>
          <w:rFonts w:cs="Times New Roman"/>
          <w:szCs w:val="40"/>
          <w:lang w:val="en-GB"/>
        </w:rPr>
        <w:t xml:space="preserve"> </w:t>
      </w:r>
      <w:r w:rsidR="0058390F" w:rsidRPr="00E97FC1">
        <w:rPr>
          <w:rFonts w:cs="Times New Roman"/>
          <w:szCs w:val="40"/>
          <w:lang w:val="en-GB"/>
        </w:rPr>
        <w:fldChar w:fldCharType="begin" w:fldLock="1"/>
      </w:r>
      <w:r w:rsidR="00776703" w:rsidRPr="00E97FC1">
        <w:rPr>
          <w:rFonts w:cs="Times New Roman"/>
          <w:szCs w:val="40"/>
          <w:lang w:val="en-GB"/>
        </w:rPr>
        <w:instrText>ADDIN CSL_CITATION {"citationItems":[{"id":"ITEM-1","itemData":{"DOI":"10.7554/eLife.42166","ISSN":"2050-084X (Electronic)","PMID":"30412051","abstract":"Here, we describe the third major release of RELION. CPU-based vector acceleration has been added in addition to GPU support, which provides flexibility in use of resources and avoids memory limitations. Reference-free autopicking with Laplacian-of-Gaussian filtering and execution of jobs from python allows non-interactive processing during acquisition, including 2D-classification, de novo model generation and 3D-classification. Per-particle refinement of CTF parameters and correction of estimated beam tilt provides higher resolution reconstructions when particles are at different heights in the ice, and/or coma-free alignment has not been optimal. Ewald sphere curvature correction improves resolution for large particles. We illustrate these developments with publicly available data sets: together with a Bayesian approach to beam-induced motion correction it leads to resolution improvements of 0.2-0.7 A compared to previous RELION versions.","author":[{"dropping-particle":"","family":"Zivanov","given":"Jasenko","non-dropping-particle":"","parse-names":false,"suffix":""},{"dropping-particle":"","family":"Nakane","given":"Takanori","non-dropping-particle":"","parse-names":false,"suffix":""},{"dropping-particle":"","family":"Forsberg","given":"Bjorn O","non-dropping-particle":"","parse-names":false,"suffix":""},{"dropping-particle":"","family":"Kimanius","given":"Dari","non-dropping-particle":"","parse-names":false,"suffix":""},{"dropping-particle":"","family":"Hagen","given":"Wim Jh","non-dropping-particle":"","parse-names":false,"suffix":""},{"dropping-particle":"","family":"Lindahl","given":"Erik","non-dropping-particle":"","parse-names":false,"suffix":""},{"dropping-particle":"","family":"Scheres","given":"Sjors Hw","non-dropping-particle":"","parse-names":false,"suffix":""}],"container-title":"eLife","id":"ITEM-1","issued":{"date-parts":[["2018","11"]]},"language":"eng","publisher-place":"England","title":"New tools for automated high-resolution cryo-EM structure determination in RELION-3.","type":"article-journal","volume":"7"},"uris":["http://www.mendeley.com/documents/?uuid=39d8297f-3cf3-460d-8716-0ec2c213682d"]}],"mendeley":{"formattedCitation":"(Zivanov &lt;i&gt;et al&lt;/i&gt;, 2018)","plainTextFormattedCitation":"(Zivanov et al, 2018)","previouslyFormattedCitation":"(Zivanov &lt;i&gt;et al&lt;/i&gt;, 2018)"},"properties":{"noteIndex":0},"schema":"https://github.com/citation-style-language/schema/raw/master/csl-citation.json"}</w:instrText>
      </w:r>
      <w:r w:rsidR="0058390F" w:rsidRPr="00E97FC1">
        <w:rPr>
          <w:rFonts w:cs="Times New Roman"/>
          <w:szCs w:val="40"/>
          <w:lang w:val="en-GB"/>
        </w:rPr>
        <w:fldChar w:fldCharType="separate"/>
      </w:r>
      <w:r w:rsidR="00E55873" w:rsidRPr="00E97FC1">
        <w:rPr>
          <w:rFonts w:cs="Times New Roman"/>
          <w:noProof/>
          <w:szCs w:val="40"/>
          <w:lang w:val="en-GB"/>
        </w:rPr>
        <w:t xml:space="preserve">(Zivanov </w:t>
      </w:r>
      <w:r w:rsidR="00E55873" w:rsidRPr="00E97FC1">
        <w:rPr>
          <w:rFonts w:cs="Times New Roman"/>
          <w:i/>
          <w:noProof/>
          <w:szCs w:val="40"/>
          <w:lang w:val="en-GB"/>
        </w:rPr>
        <w:t>et al</w:t>
      </w:r>
      <w:r w:rsidR="00E55873" w:rsidRPr="00E97FC1">
        <w:rPr>
          <w:rFonts w:cs="Times New Roman"/>
          <w:noProof/>
          <w:szCs w:val="40"/>
          <w:lang w:val="en-GB"/>
        </w:rPr>
        <w:t>, 2018)</w:t>
      </w:r>
      <w:r w:rsidR="0058390F" w:rsidRPr="00E97FC1">
        <w:rPr>
          <w:rFonts w:cs="Times New Roman"/>
          <w:szCs w:val="40"/>
          <w:lang w:val="en-GB"/>
        </w:rPr>
        <w:fldChar w:fldCharType="end"/>
      </w:r>
      <w:r w:rsidR="0058390F" w:rsidRPr="00E97FC1">
        <w:rPr>
          <w:rFonts w:cs="Times New Roman"/>
          <w:szCs w:val="40"/>
          <w:lang w:val="en-GB"/>
        </w:rPr>
        <w:t xml:space="preserve"> .</w:t>
      </w:r>
      <w:r w:rsidRPr="00E97FC1">
        <w:rPr>
          <w:rFonts w:cs="Times New Roman"/>
          <w:szCs w:val="40"/>
          <w:lang w:val="en-GB"/>
        </w:rPr>
        <w:t xml:space="preserve"> All datasets had a similar processing strategy for the sake of consistency. Movies were aligned and dose-weighted using MotionCor2</w:t>
      </w:r>
      <w:r w:rsidR="0058390F" w:rsidRPr="00E97FC1">
        <w:rPr>
          <w:rFonts w:cs="Times New Roman"/>
          <w:szCs w:val="40"/>
          <w:lang w:val="en-GB"/>
        </w:rPr>
        <w:t xml:space="preserve"> </w:t>
      </w:r>
      <w:r w:rsidR="0058390F" w:rsidRPr="00E97FC1">
        <w:rPr>
          <w:rFonts w:cs="Times New Roman"/>
          <w:szCs w:val="40"/>
          <w:lang w:val="en-GB"/>
        </w:rPr>
        <w:fldChar w:fldCharType="begin" w:fldLock="1"/>
      </w:r>
      <w:r w:rsidR="00776703" w:rsidRPr="00E97FC1">
        <w:rPr>
          <w:rFonts w:cs="Times New Roman"/>
          <w:szCs w:val="40"/>
          <w:lang w:val="en-GB"/>
        </w:rPr>
        <w:instrText>ADDIN CSL_CITATION {"citationItems":[{"id":"ITEM-1","itemData":{"DOI":"10.1038/nmeth.4193","ISSN":"1548-7091","abstract":"MotionCor2 software corrects for beam-induced sample motion, improving the resolution of cryo-EM reconstructions.","author":[{"dropping-particle":"","family":"Zheng","given":"Shawn Q","non-dropping-particle":"","parse-names":false,"suffix":""},{"dropping-particle":"","family":"Palovcak","given":"Eugene","non-dropping-particle":"","parse-names":false,"suffix":""},{"dropping-particle":"","family":"Armache","given":"Jean-Paul","non-dropping-particle":"","parse-names":false,"suffix":""},{"dropping-particle":"","family":"Verba","given":"Kliment A","non-dropping-particle":"","parse-names":false,"suffix":""},{"dropping-particle":"","family":"Cheng","given":"Yifan","non-dropping-particle":"","parse-names":false,"suffix":""},{"dropping-particle":"","family":"Agard","given":"David A","non-dropping-particle":"","parse-names":false,"suffix":""}],"container-title":"Nature Methods","id":"ITEM-1","issue":"4","issued":{"date-parts":[["2017","4"]]},"page":"331-332","publisher":"Nature Publishing Group","title":"MotionCor2: anisotropic correction of beam-induced motion for improved cryo-electron microscopy","type":"article-journal","volume":"14"},"uris":["http://www.mendeley.com/documents/?uuid=b3b9033b-70ac-44d0-828d-5ab77083e38e"]}],"mendeley":{"formattedCitation":"(Zheng &lt;i&gt;et al&lt;/i&gt;, 2017)","plainTextFormattedCitation":"(Zheng et al, 2017)","previouslyFormattedCitation":"(Zheng &lt;i&gt;et al&lt;/i&gt;, 2017)"},"properties":{"noteIndex":0},"schema":"https://github.com/citation-style-language/schema/raw/master/csl-citation.json"}</w:instrText>
      </w:r>
      <w:r w:rsidR="0058390F" w:rsidRPr="00E97FC1">
        <w:rPr>
          <w:rFonts w:cs="Times New Roman"/>
          <w:szCs w:val="40"/>
          <w:lang w:val="en-GB"/>
        </w:rPr>
        <w:fldChar w:fldCharType="separate"/>
      </w:r>
      <w:r w:rsidR="00E55873" w:rsidRPr="00E97FC1">
        <w:rPr>
          <w:rFonts w:cs="Times New Roman"/>
          <w:noProof/>
          <w:szCs w:val="40"/>
          <w:lang w:val="en-GB"/>
        </w:rPr>
        <w:t xml:space="preserve">(Zheng </w:t>
      </w:r>
      <w:r w:rsidR="00E55873" w:rsidRPr="00E97FC1">
        <w:rPr>
          <w:rFonts w:cs="Times New Roman"/>
          <w:i/>
          <w:noProof/>
          <w:szCs w:val="40"/>
          <w:lang w:val="en-GB"/>
        </w:rPr>
        <w:t>et al</w:t>
      </w:r>
      <w:r w:rsidR="00E55873" w:rsidRPr="00E97FC1">
        <w:rPr>
          <w:rFonts w:cs="Times New Roman"/>
          <w:noProof/>
          <w:szCs w:val="40"/>
          <w:lang w:val="en-GB"/>
        </w:rPr>
        <w:t>, 2017)</w:t>
      </w:r>
      <w:r w:rsidR="0058390F" w:rsidRPr="00E97FC1">
        <w:rPr>
          <w:rFonts w:cs="Times New Roman"/>
          <w:szCs w:val="40"/>
          <w:lang w:val="en-GB"/>
        </w:rPr>
        <w:fldChar w:fldCharType="end"/>
      </w:r>
      <w:r w:rsidRPr="00E97FC1">
        <w:rPr>
          <w:rFonts w:cs="Times New Roman"/>
          <w:szCs w:val="40"/>
          <w:lang w:val="en-GB"/>
        </w:rPr>
        <w:t>. CtfFind4 was used for CTF estimation on non-dose-weighted micrographs</w:t>
      </w:r>
      <w:r w:rsidR="0058390F" w:rsidRPr="00E97FC1">
        <w:rPr>
          <w:rFonts w:cs="Times New Roman"/>
          <w:szCs w:val="40"/>
          <w:lang w:val="en-GB"/>
        </w:rPr>
        <w:t xml:space="preserve"> </w:t>
      </w:r>
      <w:r w:rsidR="0058390F" w:rsidRPr="00E97FC1">
        <w:rPr>
          <w:rFonts w:cs="Times New Roman"/>
          <w:szCs w:val="40"/>
          <w:lang w:val="en-GB"/>
        </w:rPr>
        <w:fldChar w:fldCharType="begin" w:fldLock="1"/>
      </w:r>
      <w:r w:rsidR="00E55873" w:rsidRPr="00E97FC1">
        <w:rPr>
          <w:rFonts w:cs="Times New Roman"/>
          <w:szCs w:val="40"/>
          <w:lang w:val="en-GB"/>
        </w:rPr>
        <w:instrText>ADDIN CSL_CITATION {"citationItems":[{"id":"ITEM-1","itemData":{"DOI":"10.1016/J.JSB.2015.08.008","ISSN":"1047-8477","abstract":"CTFFIND is a widely-used program for the estimation of objective lens defocus parameters from transmission electron micrographs. Defocus parameters are estimated by fitting a model of the microscope’s contrast transfer function (CTF) to an image’s amplitude spectrum. Here we describe modifications to the algorithm which make it significantly faster and more suitable for use with images collected using modern technologies such as dose fractionation and phase plates. We show that this new version preserves the accuracy of the original algorithm while allowing for higher throughput. We also describe a measure of the quality of the fit as a function of spatial frequency and suggest this can be used to define the highest resolution at which CTF oscillations were successfully modeled.","author":[{"dropping-particle":"","family":"Rohou","given":"Alexis","non-dropping-particle":"","parse-names":false,"suffix":""},{"dropping-particle":"","family":"Grigorieff","given":"Nikolaus","non-dropping-particle":"","parse-names":false,"suffix":""}],"container-title":"Journal of Structural Biology","id":"ITEM-1","issue":"2","issued":{"date-parts":[["2015","11"]]},"page":"216-221","publisher":"Academic Press","title":"CTFFIND4: Fast and accurate defocus estimation from electron micrographs","type":"article-journal","volume":"192"},"uris":["http://www.mendeley.com/documents/?uuid=c22a0559-4e5b-4691-a7ce-4242e670cc9d"]}],"mendeley":{"formattedCitation":"(Rohou &amp; Grigorieff, 2015)","plainTextFormattedCitation":"(Rohou &amp; Grigorieff, 2015)","previouslyFormattedCitation":"(Rohou &amp; Grigorieff, 2015)"},"properties":{"noteIndex":0},"schema":"https://github.com/citation-style-language/schema/raw/master/csl-citation.json"}</w:instrText>
      </w:r>
      <w:r w:rsidR="0058390F" w:rsidRPr="00E97FC1">
        <w:rPr>
          <w:rFonts w:cs="Times New Roman"/>
          <w:szCs w:val="40"/>
          <w:lang w:val="en-GB"/>
        </w:rPr>
        <w:fldChar w:fldCharType="separate"/>
      </w:r>
      <w:r w:rsidR="00E55873" w:rsidRPr="00E97FC1">
        <w:rPr>
          <w:rFonts w:cs="Times New Roman"/>
          <w:noProof/>
          <w:szCs w:val="40"/>
          <w:lang w:val="en-GB"/>
        </w:rPr>
        <w:t>(Rohou &amp; Grigorieff, 2015)</w:t>
      </w:r>
      <w:r w:rsidR="0058390F" w:rsidRPr="00E97FC1">
        <w:rPr>
          <w:rFonts w:cs="Times New Roman"/>
          <w:szCs w:val="40"/>
          <w:lang w:val="en-GB"/>
        </w:rPr>
        <w:fldChar w:fldCharType="end"/>
      </w:r>
      <w:r w:rsidRPr="00E97FC1">
        <w:rPr>
          <w:rFonts w:cs="Times New Roman"/>
          <w:szCs w:val="40"/>
          <w:lang w:val="en-GB"/>
        </w:rPr>
        <w:t xml:space="preserve"> .</w:t>
      </w:r>
      <w:r w:rsidR="0058390F" w:rsidRPr="00E97FC1">
        <w:rPr>
          <w:rFonts w:cs="Times New Roman"/>
          <w:szCs w:val="40"/>
          <w:lang w:val="en-GB"/>
        </w:rPr>
        <w:t xml:space="preserve"> </w:t>
      </w:r>
    </w:p>
    <w:p w14:paraId="35D79302" w14:textId="5F8D2975" w:rsidR="005B5A1A" w:rsidRPr="00E97FC1" w:rsidRDefault="005B2DD5" w:rsidP="005B5A1A">
      <w:pPr>
        <w:ind w:firstLine="720"/>
        <w:jc w:val="center"/>
        <w:rPr>
          <w:rFonts w:cs="Times New Roman"/>
          <w:szCs w:val="40"/>
          <w:lang w:val="en-GB"/>
        </w:rPr>
      </w:pPr>
      <w:r w:rsidRPr="005B2DD5">
        <w:rPr>
          <w:rFonts w:cs="Times New Roman"/>
          <w:noProof/>
          <w:szCs w:val="40"/>
        </w:rPr>
        <w:drawing>
          <wp:inline distT="0" distB="0" distL="0" distR="0" wp14:anchorId="3A8680D8" wp14:editId="5B1612BE">
            <wp:extent cx="4854620" cy="6400800"/>
            <wp:effectExtent l="0" t="0" r="3175" b="0"/>
            <wp:docPr id="238" name="Picture 238" descr="C:\Users\vkravchu\Desktop\DesktopStuff\EcCxI_Paper\Figures_LATEST\Supplementary\Processing\ALL_Processing_png\Slid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descr="C:\Users\vkravchu\Desktop\DesktopStuff\EcCxI_Paper\Figures_LATEST\Supplementary\Processing\ALL_Processing_png\Slide1.PNG"/>
                    <pic:cNvPicPr>
                      <a:picLocks noChangeAspect="1" noChangeArrowheads="1"/>
                    </pic:cNvPicPr>
                  </pic:nvPicPr>
                  <pic:blipFill rotWithShape="1">
                    <a:blip r:embed="rId25">
                      <a:extLst>
                        <a:ext uri="{28A0092B-C50C-407E-A947-70E740481C1C}">
                          <a14:useLocalDpi xmlns:a14="http://schemas.microsoft.com/office/drawing/2010/main" val="0"/>
                        </a:ext>
                      </a:extLst>
                    </a:blip>
                    <a:srcRect b="8657"/>
                    <a:stretch/>
                  </pic:blipFill>
                  <pic:spPr bwMode="auto">
                    <a:xfrm>
                      <a:off x="0" y="0"/>
                      <a:ext cx="4854620" cy="6400800"/>
                    </a:xfrm>
                    <a:prstGeom prst="rect">
                      <a:avLst/>
                    </a:prstGeom>
                    <a:noFill/>
                    <a:ln>
                      <a:noFill/>
                    </a:ln>
                    <a:extLst>
                      <a:ext uri="{53640926-AAD7-44D8-BBD7-CCE9431645EC}">
                        <a14:shadowObscured xmlns:a14="http://schemas.microsoft.com/office/drawing/2010/main"/>
                      </a:ext>
                    </a:extLst>
                  </pic:spPr>
                </pic:pic>
              </a:graphicData>
            </a:graphic>
          </wp:inline>
        </w:drawing>
      </w:r>
    </w:p>
    <w:p w14:paraId="2A2F8C71" w14:textId="6F522F3E" w:rsidR="005B5A1A" w:rsidRPr="00E97FC1" w:rsidRDefault="005B5A1A" w:rsidP="005B5A1A">
      <w:pPr>
        <w:pStyle w:val="Caption"/>
      </w:pPr>
      <w:bookmarkStart w:id="74" w:name="_Toc121834102"/>
      <w:bookmarkStart w:id="75" w:name="_Toc128136618"/>
      <w:r w:rsidRPr="00E97FC1">
        <w:t xml:space="preserve">Figure </w:t>
      </w:r>
      <w:r w:rsidR="00CC7652">
        <w:fldChar w:fldCharType="begin"/>
      </w:r>
      <w:r w:rsidR="00CC7652">
        <w:instrText xml:space="preserve"> STYLEREF 1 \s </w:instrText>
      </w:r>
      <w:r w:rsidR="00CC7652">
        <w:fldChar w:fldCharType="separate"/>
      </w:r>
      <w:r w:rsidR="00ED1816">
        <w:rPr>
          <w:noProof/>
        </w:rPr>
        <w:t>2</w:t>
      </w:r>
      <w:r w:rsidR="00CC7652">
        <w:fldChar w:fldCharType="end"/>
      </w:r>
      <w:r w:rsidR="00CC7652">
        <w:t>.</w:t>
      </w:r>
      <w:r w:rsidR="00CC7652">
        <w:fldChar w:fldCharType="begin"/>
      </w:r>
      <w:r w:rsidR="00CC7652">
        <w:instrText xml:space="preserve"> SEQ Figure \* ARABIC \s 1 </w:instrText>
      </w:r>
      <w:r w:rsidR="00CC7652">
        <w:fldChar w:fldCharType="separate"/>
      </w:r>
      <w:r w:rsidR="00ED1816">
        <w:rPr>
          <w:noProof/>
        </w:rPr>
        <w:t>1</w:t>
      </w:r>
      <w:r w:rsidR="00CC7652">
        <w:fldChar w:fldCharType="end"/>
      </w:r>
      <w:r w:rsidRPr="00E97FC1">
        <w:t xml:space="preserve"> Processing scheme of DDM_APO dataset</w:t>
      </w:r>
      <w:bookmarkEnd w:id="74"/>
      <w:bookmarkEnd w:id="75"/>
    </w:p>
    <w:p w14:paraId="7D2BA749" w14:textId="6C314693" w:rsidR="005B5A1A" w:rsidRPr="00E97FC1" w:rsidRDefault="00D07557" w:rsidP="005B5A1A">
      <w:pPr>
        <w:rPr>
          <w:i/>
          <w:sz w:val="20"/>
          <w:lang w:val="en-GB"/>
        </w:rPr>
      </w:pPr>
      <w:r w:rsidRPr="00E97FC1">
        <w:rPr>
          <w:i/>
          <w:sz w:val="20"/>
          <w:lang w:val="en-GB"/>
        </w:rPr>
        <w:t>Figure ada</w:t>
      </w:r>
      <w:r w:rsidR="005B5A1A" w:rsidRPr="00E97FC1">
        <w:rPr>
          <w:i/>
          <w:sz w:val="20"/>
          <w:lang w:val="en-GB"/>
        </w:rPr>
        <w:t xml:space="preserve">pted from </w:t>
      </w:r>
      <w:r w:rsidR="005B5A1A" w:rsidRPr="00E97FC1">
        <w:rPr>
          <w:i/>
          <w:sz w:val="20"/>
          <w:lang w:val="en-GB"/>
        </w:rPr>
        <w:fldChar w:fldCharType="begin" w:fldLock="1"/>
      </w:r>
      <w:r w:rsidR="00776703" w:rsidRPr="00E97FC1">
        <w:rPr>
          <w:i/>
          <w:sz w:val="20"/>
          <w:lang w:val="en-GB"/>
        </w:rPr>
        <w:instrText>ADDIN CSL_CITATION {"citationItems":[{"id":"ITEM-1","itemData":{"DOI":"10.1038/s41586-022-05199-7","ISSN":"1476-4687 (Electronic)","PMID":"36104567","abstract":"Complex I is the first enzyme in the respiratory chain, which is responsible for  energy production in mitochondria and bacteria(1). Complex I couples the transfer of two electrons from NADH to quinone and the translocation of four protons across the membrane(2), but the coupling mechanism remains contentious. Here we present cryo-electron microscopy structures of Escherichia coli complex I (EcCI) in different redox states, including catalytic turnover. EcCI exists mostly in the open state, in which the quinone cavity is exposed to the cytosol, allowing access for water molecules, which enable quinone movements. Unlike the mammalian paralogues(3), EcCI can convert to the closed state only during turnover, showing that closed and open states are genuine turnover intermediates. The open-to-closed transition results in the tightly engulfed quinone cavity being connected to the central axis of the membrane arm, a source of substrate protons. Consistently, the proportion of the closed state increases with increasing pH. We propose a detailed but straightforward and robust mechanism comprising a 'domino effect' series of proton transfers and electrostatic interactions: the forward wave ('dominoes stacking') primes the pump, and the reverse wave ('dominoes falling') results in the ejection of all pumped protons from the distal subunit NuoL. This mechanism explains why protons exit exclusively from the NuoL subunit and is supported by our mutagenesis data. We contend that this is a universal coupling mechanism of complex I and related enzymes.","author":[{"dropping-particle":"","family":"Kravchuk","given":"Vladyslav","non-dropping-particle":"","parse-names":false,"suffix":""},{"dropping-particle":"","family":"Petrova","given":"Olga","non-dropping-particle":"","parse-names":false,"suffix":""},{"dropping-particle":"","family":"Kampjut","given":"Domen","non-dropping-particle":"","parse-names":false,"suffix":""},{"dropping-particle":"","family":"Wojciechowska-Bason","given":"Anna","non-dropping-particle":"","parse-names":false,"suffix":""},{"dropping-particle":"","family":"Breese","given":"Zara","non-dropping-particle":"","parse-names":false,"suffix":""},{"dropping-particle":"","family":"Sazanov","given":"Leonid","non-dropping-particle":"","parse-names":false,"suffix":""}],"container-title":"Nature","id":"ITEM-1","issue":"7928","issued":{"date-parts":[["2022","9"]]},"language":"eng","page":"808-814","publisher-place":"England","title":"A universal coupling mechanism of respiratory complex I.","type":"article-journal","volume":"609"},"uris":["http://www.mendeley.com/documents/?uuid=24646b16-1332-4c29-8894-c41094c65033"]}],"mendeley":{"formattedCitation":"(Kravchuk &lt;i&gt;et al&lt;/i&gt;, 2022)","plainTextFormattedCitation":"(Kravchuk et al, 2022)","previouslyFormattedCitation":"(Kravchuk &lt;i&gt;et al&lt;/i&gt;, 2022)"},"properties":{"noteIndex":0},"schema":"https://github.com/citation-style-language/schema/raw/master/csl-citation.json"}</w:instrText>
      </w:r>
      <w:r w:rsidR="005B5A1A" w:rsidRPr="00E97FC1">
        <w:rPr>
          <w:i/>
          <w:sz w:val="20"/>
          <w:lang w:val="en-GB"/>
        </w:rPr>
        <w:fldChar w:fldCharType="separate"/>
      </w:r>
      <w:r w:rsidR="00E55873" w:rsidRPr="00E97FC1">
        <w:rPr>
          <w:noProof/>
          <w:sz w:val="20"/>
          <w:lang w:val="en-GB"/>
        </w:rPr>
        <w:t xml:space="preserve">(Kravchuk </w:t>
      </w:r>
      <w:r w:rsidR="00E55873" w:rsidRPr="00E97FC1">
        <w:rPr>
          <w:i/>
          <w:noProof/>
          <w:sz w:val="20"/>
          <w:lang w:val="en-GB"/>
        </w:rPr>
        <w:t>et al</w:t>
      </w:r>
      <w:r w:rsidR="00E55873" w:rsidRPr="00E97FC1">
        <w:rPr>
          <w:noProof/>
          <w:sz w:val="20"/>
          <w:lang w:val="en-GB"/>
        </w:rPr>
        <w:t>, 2022)</w:t>
      </w:r>
      <w:r w:rsidR="005B5A1A" w:rsidRPr="00E97FC1">
        <w:rPr>
          <w:i/>
          <w:sz w:val="20"/>
          <w:lang w:val="en-GB"/>
        </w:rPr>
        <w:fldChar w:fldCharType="end"/>
      </w:r>
    </w:p>
    <w:p w14:paraId="0EBD8C5D" w14:textId="48676FA6" w:rsidR="00FD11C5" w:rsidRPr="00E97FC1" w:rsidRDefault="00FD11C5" w:rsidP="0028028E">
      <w:pPr>
        <w:ind w:firstLine="720"/>
        <w:rPr>
          <w:rFonts w:cs="Times New Roman"/>
          <w:szCs w:val="40"/>
          <w:lang w:val="en-GB"/>
        </w:rPr>
      </w:pPr>
      <w:r w:rsidRPr="00E97FC1">
        <w:rPr>
          <w:rFonts w:cs="Times New Roman"/>
          <w:szCs w:val="40"/>
          <w:lang w:val="en-GB"/>
        </w:rPr>
        <w:lastRenderedPageBreak/>
        <w:t>About 3k movies were collected per dataset (</w:t>
      </w:r>
      <w:r w:rsidR="00372502" w:rsidRPr="00E97FC1">
        <w:rPr>
          <w:rFonts w:cs="Times New Roman"/>
          <w:szCs w:val="40"/>
          <w:lang w:val="en-GB"/>
        </w:rPr>
        <w:t>Appendix 1-4</w:t>
      </w:r>
      <w:r w:rsidR="0028028E" w:rsidRPr="00E97FC1">
        <w:rPr>
          <w:rFonts w:cs="Times New Roman"/>
          <w:szCs w:val="40"/>
          <w:lang w:val="en-GB"/>
        </w:rPr>
        <w:t xml:space="preserve">). </w:t>
      </w:r>
      <w:r w:rsidRPr="00E97FC1">
        <w:rPr>
          <w:rFonts w:cs="Times New Roman"/>
          <w:szCs w:val="40"/>
          <w:lang w:val="en-GB"/>
        </w:rPr>
        <w:t xml:space="preserve">Poor micrographs were filtered based on AccumMotionTotal, CtfFigOfMerit and CtfMaxResolution parameters and manually by CTF image (e.g., removing micrographs with the ice ring). Our general processing procedure implemented four steps: picking, cleaning (using 2D and 3D classification), refinement (using CtfRefine and Polishing tools in RELION </w:t>
      </w:r>
      <w:r w:rsidR="0058390F" w:rsidRPr="00E97FC1">
        <w:rPr>
          <w:rFonts w:cs="Times New Roman"/>
          <w:szCs w:val="40"/>
          <w:lang w:val="en-GB"/>
        </w:rPr>
        <w:fldChar w:fldCharType="begin" w:fldLock="1"/>
      </w:r>
      <w:r w:rsidR="00776703" w:rsidRPr="00E97FC1">
        <w:rPr>
          <w:rFonts w:cs="Times New Roman"/>
          <w:szCs w:val="40"/>
          <w:lang w:val="en-GB"/>
        </w:rPr>
        <w:instrText>ADDIN CSL_CITATION {"citationItems":[{"id":"ITEM-1","itemData":{"DOI":"10.1107/S205225251801463X","ISSN":"2052-2525 (Print)","PMID":"30713699","abstract":"A new method to estimate the trajectories of particle motion and the amount of  cumulative beam damage in electron cryo-microscopy (cryo-EM) single-particle analysis is presented. The motion within the sample is modelled through the use of Gaussian process regression. This allows a prior likelihood that favours spatially and temporally smooth motion to be associated with each hypothetical set of particle trajectories without imposing hard constraints. This formulation enables the a posteriori likelihood of a set of particle trajectories to be expressed as a product of that prior likelihood and an observation likelihood given by the data, and this a posteriori likelihood to then be maximized. Since the smoothness prior requires three parameters that describe the statistics of the observed motion, an efficient stochastic method to estimate these parameters is also proposed. Finally, a practical algorithm is proposed that estimates the average amount of cumulative radiation damage as a function of radiation dose and spatial frequency, and then fits relative B factors to that damage in a robust way. The method is evaluated on three publicly available data sets, and its usefulness is illustrated by comparison with state-of-the-art methods and previously published results. The new method has been implemented as Bayesian polishing in RELION-3, where it replaces the existing particle-polishing method, as it outperforms the latter in all tests conducted.","author":[{"dropping-particle":"","family":"Zivanov","given":"Jasenko","non-dropping-particle":"","parse-names":false,"suffix":""},{"dropping-particle":"","family":"Nakane","given":"Takanori","non-dropping-particle":"","parse-names":false,"suffix":""},{"dropping-particle":"","family":"Scheres","given":"Sjors H W","non-dropping-particle":"","parse-names":false,"suffix":""}],"container-title":"IUCrJ","id":"ITEM-1","issue":"Pt 1","issued":{"date-parts":[["2019","1"]]},"language":"eng","page":"5-17","title":"A Bayesian approach to beam-induced motion correction in cryo-EM single-particle  analysis.","type":"article-journal","volume":"6"},"uris":["http://www.mendeley.com/documents/?uuid=d9474de5-5ae2-49a8-acd7-f60df125e5a8"]}],"mendeley":{"formattedCitation":"(Zivanov &lt;i&gt;et al&lt;/i&gt;, 2019)","plainTextFormattedCitation":"(Zivanov et al, 2019)","previouslyFormattedCitation":"(Zivanov &lt;i&gt;et al&lt;/i&gt;, 2019)"},"properties":{"noteIndex":0},"schema":"https://github.com/citation-style-language/schema/raw/master/csl-citation.json"}</w:instrText>
      </w:r>
      <w:r w:rsidR="0058390F" w:rsidRPr="00E97FC1">
        <w:rPr>
          <w:rFonts w:cs="Times New Roman"/>
          <w:szCs w:val="40"/>
          <w:lang w:val="en-GB"/>
        </w:rPr>
        <w:fldChar w:fldCharType="separate"/>
      </w:r>
      <w:r w:rsidR="00E55873" w:rsidRPr="00E97FC1">
        <w:rPr>
          <w:rFonts w:cs="Times New Roman"/>
          <w:noProof/>
          <w:szCs w:val="40"/>
          <w:lang w:val="en-GB"/>
        </w:rPr>
        <w:t xml:space="preserve">(Zivanov </w:t>
      </w:r>
      <w:r w:rsidR="00E55873" w:rsidRPr="00E97FC1">
        <w:rPr>
          <w:rFonts w:cs="Times New Roman"/>
          <w:i/>
          <w:noProof/>
          <w:szCs w:val="40"/>
          <w:lang w:val="en-GB"/>
        </w:rPr>
        <w:t>et al</w:t>
      </w:r>
      <w:r w:rsidR="00E55873" w:rsidRPr="00E97FC1">
        <w:rPr>
          <w:rFonts w:cs="Times New Roman"/>
          <w:noProof/>
          <w:szCs w:val="40"/>
          <w:lang w:val="en-GB"/>
        </w:rPr>
        <w:t>, 2019)</w:t>
      </w:r>
      <w:r w:rsidR="0058390F" w:rsidRPr="00E97FC1">
        <w:rPr>
          <w:rFonts w:cs="Times New Roman"/>
          <w:szCs w:val="40"/>
          <w:lang w:val="en-GB"/>
        </w:rPr>
        <w:fldChar w:fldCharType="end"/>
      </w:r>
      <w:r w:rsidRPr="00E97FC1">
        <w:rPr>
          <w:rFonts w:cs="Times New Roman"/>
          <w:szCs w:val="40"/>
          <w:lang w:val="en-GB"/>
        </w:rPr>
        <w:t xml:space="preserve"> and class separation using focus-revert-classify (FRC) strategy. The FRC strategy comprises initial focused alignment with a mask around the peripheral arm, followed by classification (with no angular or transitional searches) with a mask around the membrane arm </w:t>
      </w:r>
      <w:r w:rsidR="0058390F" w:rsidRPr="00E97FC1">
        <w:rPr>
          <w:rFonts w:cs="Times New Roman"/>
          <w:szCs w:val="40"/>
          <w:lang w:val="en-GB"/>
        </w:rPr>
        <w:fldChar w:fldCharType="begin" w:fldLock="1"/>
      </w:r>
      <w:r w:rsidR="00776703" w:rsidRPr="00E97FC1">
        <w:rPr>
          <w:rFonts w:cs="Times New Roman"/>
          <w:szCs w:val="40"/>
          <w:lang w:val="en-GB"/>
        </w:rPr>
        <w:instrText>ADDIN CSL_CITATION {"citationItems":[{"id":"ITEM-1","itemData":{"DOI":"10.1016/j.molcel.2019.07.022","ISSN":"10972765","PMID":"31492636","abstract":"The mitochondrial electron transport chain complexes are organized into supercomplexes (SCs) of defined stoichiometry, which have been proposed to regulate electron flux via substrate channeling. We demonstrate that CoQ trapping in the isolated SC I+III2 limits complex (C)I turnover, arguing against channeling. The SC structure, resolved at up to 3.8 Å in four distinct states, suggests that CoQ oxidation may be rate limiting because of unequal access of CoQ to the active sites of CIII2. CI shows a transition between \"closed\" and \"open\" conformations, accompanied by the striking rotation of a key transmembrane helix. Furthermore, the state of CI affects the conformational flexibility within CIII2, demonstrating crosstalk between the enzymes. CoQ was identified at only three of the four binding sites in CIII2, suggesting that interaction with CI disrupts CIII2 symmetry in a functionally relevant manner. Together, these observations indicate a more nuanced functional role for the SCs.","author":[{"dropping-particle":"","family":"Letts","given":"James A.","non-dropping-particle":"","parse-names":false,"suffix":""},{"dropping-particle":"","family":"Fiedorczuk","given":"Karol","non-dropping-particle":"","parse-names":false,"suffix":""},{"dropping-particle":"","family":"Degliesposti","given":"Gianluca","non-dropping-particle":"","parse-names":false,"suffix":""},{"dropping-particle":"","family":"Skehel","given":"Mark","non-dropping-particle":"","parse-names":false,"suffix":""},{"dropping-particle":"","family":"Sazanov","given":"Leonid A.","non-dropping-particle":"","parse-names":false,"suffix":""}],"container-title":"Molecular Cell","id":"ITEM-1","issue":"6","issued":{"date-parts":[["2019","9"]]},"page":"1131-1146.e6","publisher":"Cell Press","title":"Structures of Respiratory Supercomplex I+III2 Reveal Functional and Conformational Crosstalk","type":"article-journal","volume":"75"},"uris":["http://www.mendeley.com/documents/?uuid=4dbcb868-dac5-43e5-b8be-12ab493413c3"]}],"mendeley":{"formattedCitation":"(Letts &lt;i&gt;et al&lt;/i&gt;, 2019)","plainTextFormattedCitation":"(Letts et al, 2019)","previouslyFormattedCitation":"(Letts &lt;i&gt;et al&lt;/i&gt;, 2019)"},"properties":{"noteIndex":0},"schema":"https://github.com/citation-style-language/schema/raw/master/csl-citation.json"}</w:instrText>
      </w:r>
      <w:r w:rsidR="0058390F" w:rsidRPr="00E97FC1">
        <w:rPr>
          <w:rFonts w:cs="Times New Roman"/>
          <w:szCs w:val="40"/>
          <w:lang w:val="en-GB"/>
        </w:rPr>
        <w:fldChar w:fldCharType="separate"/>
      </w:r>
      <w:r w:rsidR="00E55873" w:rsidRPr="00E97FC1">
        <w:rPr>
          <w:rFonts w:cs="Times New Roman"/>
          <w:noProof/>
          <w:szCs w:val="40"/>
          <w:lang w:val="en-GB"/>
        </w:rPr>
        <w:t xml:space="preserve">(Letts </w:t>
      </w:r>
      <w:r w:rsidR="00E55873" w:rsidRPr="00E97FC1">
        <w:rPr>
          <w:rFonts w:cs="Times New Roman"/>
          <w:i/>
          <w:noProof/>
          <w:szCs w:val="40"/>
          <w:lang w:val="en-GB"/>
        </w:rPr>
        <w:t>et al</w:t>
      </w:r>
      <w:r w:rsidR="00E55873" w:rsidRPr="00E97FC1">
        <w:rPr>
          <w:rFonts w:cs="Times New Roman"/>
          <w:noProof/>
          <w:szCs w:val="40"/>
          <w:lang w:val="en-GB"/>
        </w:rPr>
        <w:t>, 2019)</w:t>
      </w:r>
      <w:r w:rsidR="0058390F" w:rsidRPr="00E97FC1">
        <w:rPr>
          <w:rFonts w:cs="Times New Roman"/>
          <w:szCs w:val="40"/>
          <w:lang w:val="en-GB"/>
        </w:rPr>
        <w:fldChar w:fldCharType="end"/>
      </w:r>
      <w:r w:rsidRPr="00E97FC1">
        <w:rPr>
          <w:rFonts w:cs="Times New Roman"/>
          <w:szCs w:val="40"/>
          <w:lang w:val="en-GB"/>
        </w:rPr>
        <w:t xml:space="preserve">. Given the diversity in hinge angles between the peripheral and membrane arms, aligning all the particles by the peripheral arm maximizes the differences during classification focused on membrane arm. The peripheral arm was chosen for initial alignment because it contains heavy FeS clusters, helping the alignment. 2D classifications were done with k = 100 and T = 2 unless otherwise stated. </w:t>
      </w:r>
    </w:p>
    <w:p w14:paraId="18BE948B" w14:textId="77777777" w:rsidR="00334955" w:rsidRPr="00E97FC1" w:rsidRDefault="00FD11C5" w:rsidP="005B5A1A">
      <w:pPr>
        <w:ind w:firstLine="720"/>
        <w:rPr>
          <w:rFonts w:cs="Times New Roman"/>
          <w:szCs w:val="40"/>
          <w:lang w:val="en-GB"/>
        </w:rPr>
      </w:pPr>
      <w:r w:rsidRPr="00E97FC1">
        <w:rPr>
          <w:rFonts w:cs="Times New Roman"/>
          <w:szCs w:val="40"/>
          <w:lang w:val="en-GB"/>
        </w:rPr>
        <w:t>For DDM_Apo (Figure</w:t>
      </w:r>
      <w:r w:rsidR="00E355FC" w:rsidRPr="00E97FC1">
        <w:rPr>
          <w:rFonts w:cs="Times New Roman"/>
          <w:szCs w:val="40"/>
          <w:lang w:val="en-GB"/>
        </w:rPr>
        <w:t xml:space="preserve"> 2.1</w:t>
      </w:r>
      <w:r w:rsidRPr="00E97FC1">
        <w:rPr>
          <w:rFonts w:cs="Times New Roman"/>
          <w:szCs w:val="40"/>
          <w:lang w:val="en-GB"/>
        </w:rPr>
        <w:t>), the first dataset collected, 2D classes from manually picked 3k particles were used as a template to initially pick 500k particles using RELION’s Autopick. Particles were extracted 2X binned and classified using 2D and 3D classifications.</w:t>
      </w:r>
    </w:p>
    <w:p w14:paraId="62555A48" w14:textId="258E2011" w:rsidR="00FD11C5" w:rsidRPr="00E97FC1" w:rsidRDefault="00FD11C5" w:rsidP="0028028E">
      <w:pPr>
        <w:ind w:firstLine="720"/>
        <w:rPr>
          <w:rFonts w:cs="Times New Roman"/>
          <w:noProof/>
          <w:szCs w:val="40"/>
          <w:lang w:val="en-GB"/>
        </w:rPr>
      </w:pPr>
      <w:r w:rsidRPr="00E97FC1">
        <w:rPr>
          <w:rFonts w:cs="Times New Roman"/>
          <w:szCs w:val="40"/>
          <w:lang w:val="en-GB"/>
        </w:rPr>
        <w:t xml:space="preserve">Low-pass filtered (40 Å) </w:t>
      </w:r>
      <w:r w:rsidRPr="00E97FC1">
        <w:rPr>
          <w:rFonts w:cs="Times New Roman"/>
          <w:i/>
          <w:szCs w:val="40"/>
          <w:lang w:val="en-GB"/>
        </w:rPr>
        <w:t>Tt</w:t>
      </w:r>
      <w:r w:rsidRPr="00E97FC1">
        <w:rPr>
          <w:rFonts w:cs="Times New Roman"/>
          <w:szCs w:val="40"/>
          <w:lang w:val="en-GB"/>
        </w:rPr>
        <w:t xml:space="preserve">CI (PDB 4HEA </w:t>
      </w:r>
      <w:r w:rsidR="00595958" w:rsidRPr="00E97FC1">
        <w:rPr>
          <w:rFonts w:cs="Times New Roman"/>
          <w:szCs w:val="40"/>
          <w:lang w:val="en-GB"/>
        </w:rPr>
        <w:fldChar w:fldCharType="begin" w:fldLock="1"/>
      </w:r>
      <w:r w:rsidR="00776703" w:rsidRPr="00E97FC1">
        <w:rPr>
          <w:rFonts w:cs="Times New Roman"/>
          <w:szCs w:val="40"/>
          <w:lang w:val="en-GB"/>
        </w:rPr>
        <w:instrText>ADDIN CSL_CITATION {"citationItems":[{"id":"ITEM-1","itemData":{"author":[{"dropping-particle":"","family":"Baradaran","given":"Rozbeh","non-dropping-particle":"","parse-names":false,"suffix":""},{"dropping-particle":"","family":"Berrisford","given":"John M","non-dropping-particle":"","parse-names":false,"suffix":""},{"dropping-particle":"","family":"Minhas","given":"Gurdeep S","non-dropping-particle":"","parse-names":false,"suffix":""},{"dropping-particle":"","family":"Sazanov","given":"Leonid A","non-dropping-particle":"","parse-names":false,"suffix":""}],"container-title":"Nature","id":"ITEM-1","issued":{"date-parts":[["2013","2","17"]]},"page":"443","publisher":"Nature Publishing Group, a division of Macmillan Publishers Limited. All Rights Reserved.","title":"Crystal structure of the entire respiratory complex I","type":"article-journal","volume":"494"},"uris":["http://www.mendeley.com/documents/?uuid=b734c581-3eb2-4088-870d-6a27b0018ab2"]}],"mendeley":{"formattedCitation":"(Baradaran &lt;i&gt;et al&lt;/i&gt;, 2013)","plainTextFormattedCitation":"(Baradaran et al, 2013)","previouslyFormattedCitation":"(Baradaran &lt;i&gt;et al&lt;/i&gt;, 2013)"},"properties":{"noteIndex":0},"schema":"https://github.com/citation-style-language/schema/raw/master/csl-citation.json"}</w:instrText>
      </w:r>
      <w:r w:rsidR="00595958" w:rsidRPr="00E97FC1">
        <w:rPr>
          <w:rFonts w:cs="Times New Roman"/>
          <w:szCs w:val="40"/>
          <w:lang w:val="en-GB"/>
        </w:rPr>
        <w:fldChar w:fldCharType="separate"/>
      </w:r>
      <w:r w:rsidR="00E55873" w:rsidRPr="00E97FC1">
        <w:rPr>
          <w:rFonts w:cs="Times New Roman"/>
          <w:noProof/>
          <w:szCs w:val="40"/>
          <w:lang w:val="en-GB"/>
        </w:rPr>
        <w:t xml:space="preserve">(Baradaran </w:t>
      </w:r>
      <w:r w:rsidR="00E55873" w:rsidRPr="00E97FC1">
        <w:rPr>
          <w:rFonts w:cs="Times New Roman"/>
          <w:i/>
          <w:noProof/>
          <w:szCs w:val="40"/>
          <w:lang w:val="en-GB"/>
        </w:rPr>
        <w:t>et al</w:t>
      </w:r>
      <w:r w:rsidR="00E55873" w:rsidRPr="00E97FC1">
        <w:rPr>
          <w:rFonts w:cs="Times New Roman"/>
          <w:noProof/>
          <w:szCs w:val="40"/>
          <w:lang w:val="en-GB"/>
        </w:rPr>
        <w:t>, 2013)</w:t>
      </w:r>
      <w:r w:rsidR="00595958" w:rsidRPr="00E97FC1">
        <w:rPr>
          <w:rFonts w:cs="Times New Roman"/>
          <w:szCs w:val="40"/>
          <w:lang w:val="en-GB"/>
        </w:rPr>
        <w:fldChar w:fldCharType="end"/>
      </w:r>
      <w:r w:rsidRPr="00E97FC1">
        <w:rPr>
          <w:rFonts w:cs="Times New Roman"/>
          <w:szCs w:val="40"/>
          <w:lang w:val="en-GB"/>
        </w:rPr>
        <w:t>) structure was used as the initial model at the very first 3D classification</w:t>
      </w:r>
      <w:r w:rsidRPr="00E97FC1">
        <w:rPr>
          <w:rFonts w:cs="Times New Roman"/>
          <w:i/>
          <w:szCs w:val="40"/>
          <w:lang w:val="en-GB"/>
        </w:rPr>
        <w:t>.</w:t>
      </w:r>
      <w:r w:rsidRPr="00E97FC1">
        <w:rPr>
          <w:rFonts w:cs="Times New Roman"/>
          <w:szCs w:val="40"/>
          <w:lang w:val="en-GB"/>
        </w:rPr>
        <w:t xml:space="preserve"> Best 3D class was used as a template to pick 531k particles with Gautomatch v0.56 (K. Zhang software) and 525k particles with RELION’s Autopick, leaving 755k unique particles after duplicates removal. Particles were extracted 2X binned and cleaned with one round of 2D and four rounds of 3D classifications. The first 3D classification was performed with k = 6 and T = 4 in two steps: 50 iterations with 7.5° global angular search and 10 iterations with 3.7° global angular search (569k particles remained). Further we performed 2D classification (560k particles remained). The second 3D classification was performed with k = 4 and T = 4 in two steps: 50 iterations with 7.5° global angular search and 20 iterations with 3.7° global angular search. Next, the duplicates were again removed and 467k particles remained. The third 3D classification was performed with k = 4 and T = 8 in two steps: 50 iterations with 7.5° global angular search, 10 iterations with 3.7° global angular search and 30 iterations with 1.8° local angular search (371k particles remained). The fourth 3D classification was done without angular searches with k = 5 and T = 6 (264k particles remained). Before the fourth 3D classification, the particles were refined with the loose mask around the molecule. After classifications, clean particles were refined into a single “consensus” structure, followed by per-particle defocus and per-particle trajectory refinement using CtfRefine and Polishing tools (CtfRefine – Bayesian polishing – CtfRefine). Refined </w:t>
      </w:r>
      <w:r w:rsidRPr="00E97FC1">
        <w:rPr>
          <w:rFonts w:cs="Times New Roman"/>
          <w:szCs w:val="40"/>
          <w:lang w:val="en-GB"/>
        </w:rPr>
        <w:lastRenderedPageBreak/>
        <w:t>particles were subjected to FRC classification with k = 6 and T = 10. This resulted in six resting state classes that differed from each other only by the degree of openness. The three best classes were combined into one consensus resting class. The final density map was formed from focus-refined PA and MA maps. The PA and MA maps were aligned on the most populated class and merged into the final composite map using the “vop max” command in Chimera software</w:t>
      </w:r>
      <w:r w:rsidR="00AF69F8" w:rsidRPr="00E97FC1">
        <w:rPr>
          <w:rFonts w:cs="Times New Roman"/>
          <w:noProof/>
          <w:szCs w:val="40"/>
          <w:lang w:val="en-GB"/>
        </w:rPr>
        <w:t xml:space="preserve"> </w:t>
      </w:r>
      <w:r w:rsidR="00AF69F8" w:rsidRPr="00E97FC1">
        <w:rPr>
          <w:rFonts w:cs="Times New Roman"/>
          <w:noProof/>
          <w:szCs w:val="40"/>
          <w:lang w:val="en-GB"/>
        </w:rPr>
        <w:fldChar w:fldCharType="begin" w:fldLock="1"/>
      </w:r>
      <w:r w:rsidR="00776703" w:rsidRPr="00E97FC1">
        <w:rPr>
          <w:rFonts w:cs="Times New Roman"/>
          <w:noProof/>
          <w:szCs w:val="40"/>
          <w:lang w:val="en-GB"/>
        </w:rPr>
        <w:instrText>ADDIN CSL_CITATION {"citationItems":[{"id":"ITEM-1","itemData":{"DOI":"10.1002/jcc.20084","ISSN":"01928651","PMID":"15264254","abstract":"The design, implementation, and capabilities of an extensible visualization system, UCSF Chimera, are discussed. Chimera is segmented into a core that provides basic services and visualization, and extensions that provide most higher level functionality. This architecture ensures that the extension mechanism satisfies the demands of outside developers who wish to incorporate new features, Two unusual extensions are presented: Multiscale, which adds the ability to visualize large-scale molecular assemblies such as viral coats, and Collaboratory, which allows researchers to share a Chimera session interactively despite being at separate locales. Other extensions include Multalign Viewer, for showing multiple sequence alignments and associated structures; ViewDock, for screening docked ligand orientations; Movie, for replaying molecular dynamics trajectories; and Volume Viewer, for display and analysis of volumetric data. A discussion of the usage of Chimera in real-world situations is given, along with anticipated future directions. Chimera includes full user documentation, is free to academic and nonprofit users, and is available for Microsoft Windows, Linux, Apple Mac OS X, SGI IRIX, and HP Tru64 Unix from http://www.cgl.ucsf.edu/chimera/. © 2004 Wiley Periodicals, Inc.","author":[{"dropping-particle":"","family":"Pettersen","given":"Eric F.","non-dropping-particle":"","parse-names":false,"suffix":""},{"dropping-particle":"","family":"Goddard","given":"Thomas D.","non-dropping-particle":"","parse-names":false,"suffix":""},{"dropping-particle":"","family":"Huang","given":"Conrad C.","non-dropping-particle":"","parse-names":false,"suffix":""},{"dropping-particle":"","family":"Couch","given":"Gregory S.","non-dropping-particle":"","parse-names":false,"suffix":""},{"dropping-particle":"","family":"Greenblatt","given":"Daniel M.","non-dropping-particle":"","parse-names":false,"suffix":""},{"dropping-particle":"","family":"Meng","given":"Elaine C.","non-dropping-particle":"","parse-names":false,"suffix":""},{"dropping-particle":"","family":"Ferrin","given":"Thomas E.","non-dropping-particle":"","parse-names":false,"suffix":""}],"container-title":"Journal of Computational Chemistry","id":"ITEM-1","issue":"13","issued":{"date-parts":[["2004","10"]]},"page":"1605-1612","title":"UCSF Chimera - A visualization system for exploratory research and analysis","type":"article-journal","volume":"25"},"uris":["http://www.mendeley.com/documents/?uuid=0f584653-780b-4a52-bd1a-4af2006936eb"]}],"mendeley":{"formattedCitation":"(Pettersen &lt;i&gt;et al&lt;/i&gt;, 2004)","plainTextFormattedCitation":"(Pettersen et al, 2004)","previouslyFormattedCitation":"(Pettersen &lt;i&gt;et al&lt;/i&gt;, 2004)"},"properties":{"noteIndex":0},"schema":"https://github.com/citation-style-language/schema/raw/master/csl-citation.json"}</w:instrText>
      </w:r>
      <w:r w:rsidR="00AF69F8" w:rsidRPr="00E97FC1">
        <w:rPr>
          <w:rFonts w:cs="Times New Roman"/>
          <w:noProof/>
          <w:szCs w:val="40"/>
          <w:lang w:val="en-GB"/>
        </w:rPr>
        <w:fldChar w:fldCharType="separate"/>
      </w:r>
      <w:r w:rsidR="00E55873" w:rsidRPr="00E97FC1">
        <w:rPr>
          <w:rFonts w:cs="Times New Roman"/>
          <w:noProof/>
          <w:szCs w:val="40"/>
          <w:lang w:val="en-GB"/>
        </w:rPr>
        <w:t xml:space="preserve">(Pettersen </w:t>
      </w:r>
      <w:r w:rsidR="00E55873" w:rsidRPr="00E97FC1">
        <w:rPr>
          <w:rFonts w:cs="Times New Roman"/>
          <w:i/>
          <w:noProof/>
          <w:szCs w:val="40"/>
          <w:lang w:val="en-GB"/>
        </w:rPr>
        <w:t>et al</w:t>
      </w:r>
      <w:r w:rsidR="00E55873" w:rsidRPr="00E97FC1">
        <w:rPr>
          <w:rFonts w:cs="Times New Roman"/>
          <w:noProof/>
          <w:szCs w:val="40"/>
          <w:lang w:val="en-GB"/>
        </w:rPr>
        <w:t>, 2004)</w:t>
      </w:r>
      <w:r w:rsidR="00AF69F8" w:rsidRPr="00E97FC1">
        <w:rPr>
          <w:rFonts w:cs="Times New Roman"/>
          <w:noProof/>
          <w:szCs w:val="40"/>
          <w:lang w:val="en-GB"/>
        </w:rPr>
        <w:fldChar w:fldCharType="end"/>
      </w:r>
      <w:r w:rsidRPr="00E97FC1">
        <w:rPr>
          <w:rFonts w:cs="Times New Roman"/>
          <w:noProof/>
          <w:szCs w:val="40"/>
          <w:lang w:val="en-GB"/>
        </w:rPr>
        <w:t>.</w:t>
      </w:r>
    </w:p>
    <w:p w14:paraId="7F75686D" w14:textId="53A8E5C2" w:rsidR="005B5A1A" w:rsidRPr="00E97FC1" w:rsidRDefault="005B2DD5" w:rsidP="005B5A1A">
      <w:pPr>
        <w:ind w:firstLine="720"/>
        <w:rPr>
          <w:rFonts w:cs="Times New Roman"/>
          <w:szCs w:val="40"/>
          <w:lang w:val="en-GB"/>
        </w:rPr>
      </w:pPr>
      <w:r w:rsidRPr="005B2DD5">
        <w:rPr>
          <w:rFonts w:cs="Times New Roman"/>
          <w:noProof/>
          <w:szCs w:val="40"/>
        </w:rPr>
        <w:drawing>
          <wp:inline distT="0" distB="0" distL="0" distR="0" wp14:anchorId="0A59B4C2" wp14:editId="2E878968">
            <wp:extent cx="4868760" cy="6400800"/>
            <wp:effectExtent l="0" t="0" r="8255" b="0"/>
            <wp:docPr id="239" name="Picture 239" descr="C:\Users\vkravchu\Desktop\DesktopStuff\EcCxI_Paper\Figures_LATEST\Supplementary\Processing\ALL_Processing_png\Slid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descr="C:\Users\vkravchu\Desktop\DesktopStuff\EcCxI_Paper\Figures_LATEST\Supplementary\Processing\ALL_Processing_png\Slide2.PNG"/>
                    <pic:cNvPicPr>
                      <a:picLocks noChangeAspect="1" noChangeArrowheads="1"/>
                    </pic:cNvPicPr>
                  </pic:nvPicPr>
                  <pic:blipFill rotWithShape="1">
                    <a:blip r:embed="rId26">
                      <a:extLst>
                        <a:ext uri="{28A0092B-C50C-407E-A947-70E740481C1C}">
                          <a14:useLocalDpi xmlns:a14="http://schemas.microsoft.com/office/drawing/2010/main" val="0"/>
                        </a:ext>
                      </a:extLst>
                    </a:blip>
                    <a:srcRect b="8922"/>
                    <a:stretch/>
                  </pic:blipFill>
                  <pic:spPr bwMode="auto">
                    <a:xfrm>
                      <a:off x="0" y="0"/>
                      <a:ext cx="4868760" cy="6400800"/>
                    </a:xfrm>
                    <a:prstGeom prst="rect">
                      <a:avLst/>
                    </a:prstGeom>
                    <a:noFill/>
                    <a:ln>
                      <a:noFill/>
                    </a:ln>
                    <a:extLst>
                      <a:ext uri="{53640926-AAD7-44D8-BBD7-CCE9431645EC}">
                        <a14:shadowObscured xmlns:a14="http://schemas.microsoft.com/office/drawing/2010/main"/>
                      </a:ext>
                    </a:extLst>
                  </pic:spPr>
                </pic:pic>
              </a:graphicData>
            </a:graphic>
          </wp:inline>
        </w:drawing>
      </w:r>
    </w:p>
    <w:p w14:paraId="5634097E" w14:textId="36D855F8" w:rsidR="005B5A1A" w:rsidRPr="00E97FC1" w:rsidRDefault="005B5A1A" w:rsidP="005B5A1A">
      <w:pPr>
        <w:pStyle w:val="Caption"/>
      </w:pPr>
      <w:bookmarkStart w:id="76" w:name="_Toc121834103"/>
      <w:bookmarkStart w:id="77" w:name="_Toc128136619"/>
      <w:r w:rsidRPr="00E97FC1">
        <w:t xml:space="preserve">Figure </w:t>
      </w:r>
      <w:r w:rsidR="00CC7652">
        <w:fldChar w:fldCharType="begin"/>
      </w:r>
      <w:r w:rsidR="00CC7652">
        <w:instrText xml:space="preserve"> STYLEREF 1 \s </w:instrText>
      </w:r>
      <w:r w:rsidR="00CC7652">
        <w:fldChar w:fldCharType="separate"/>
      </w:r>
      <w:r w:rsidR="00ED1816">
        <w:rPr>
          <w:noProof/>
        </w:rPr>
        <w:t>2</w:t>
      </w:r>
      <w:r w:rsidR="00CC7652">
        <w:fldChar w:fldCharType="end"/>
      </w:r>
      <w:r w:rsidR="00CC7652">
        <w:t>.</w:t>
      </w:r>
      <w:r w:rsidR="00CC7652">
        <w:fldChar w:fldCharType="begin"/>
      </w:r>
      <w:r w:rsidR="00CC7652">
        <w:instrText xml:space="preserve"> SEQ Figure \* ARABIC \s 1 </w:instrText>
      </w:r>
      <w:r w:rsidR="00CC7652">
        <w:fldChar w:fldCharType="separate"/>
      </w:r>
      <w:r w:rsidR="00ED1816">
        <w:rPr>
          <w:noProof/>
        </w:rPr>
        <w:t>2</w:t>
      </w:r>
      <w:r w:rsidR="00CC7652">
        <w:fldChar w:fldCharType="end"/>
      </w:r>
      <w:r w:rsidRPr="00E97FC1">
        <w:t xml:space="preserve"> Processing scheme of DDM_NADH dataset</w:t>
      </w:r>
      <w:bookmarkEnd w:id="76"/>
      <w:bookmarkEnd w:id="77"/>
    </w:p>
    <w:p w14:paraId="255D1632" w14:textId="3F75CFA9" w:rsidR="005B5A1A" w:rsidRPr="00E97FC1" w:rsidRDefault="00D07557" w:rsidP="005B5A1A">
      <w:pPr>
        <w:rPr>
          <w:i/>
          <w:sz w:val="20"/>
          <w:lang w:val="en-GB"/>
        </w:rPr>
      </w:pPr>
      <w:r w:rsidRPr="00E97FC1">
        <w:rPr>
          <w:i/>
          <w:sz w:val="20"/>
          <w:lang w:val="en-GB"/>
        </w:rPr>
        <w:t>Figure ada</w:t>
      </w:r>
      <w:r w:rsidR="005B5A1A" w:rsidRPr="00E97FC1">
        <w:rPr>
          <w:i/>
          <w:sz w:val="20"/>
          <w:lang w:val="en-GB"/>
        </w:rPr>
        <w:t xml:space="preserve">pted from </w:t>
      </w:r>
      <w:r w:rsidR="005B5A1A" w:rsidRPr="00E97FC1">
        <w:rPr>
          <w:i/>
          <w:sz w:val="20"/>
          <w:lang w:val="en-GB"/>
        </w:rPr>
        <w:fldChar w:fldCharType="begin" w:fldLock="1"/>
      </w:r>
      <w:r w:rsidR="00776703" w:rsidRPr="00E97FC1">
        <w:rPr>
          <w:i/>
          <w:sz w:val="20"/>
          <w:lang w:val="en-GB"/>
        </w:rPr>
        <w:instrText>ADDIN CSL_CITATION {"citationItems":[{"id":"ITEM-1","itemData":{"DOI":"10.1038/s41586-022-05199-7","ISSN":"1476-4687 (Electronic)","PMID":"36104567","abstract":"Complex I is the first enzyme in the respiratory chain, which is responsible for  energy production in mitochondria and bacteria(1). Complex I couples the transfer of two electrons from NADH to quinone and the translocation of four protons across the membrane(2), but the coupling mechanism remains contentious. Here we present cryo-electron microscopy structures of Escherichia coli complex I (EcCI) in different redox states, including catalytic turnover. EcCI exists mostly in the open state, in which the quinone cavity is exposed to the cytosol, allowing access for water molecules, which enable quinone movements. Unlike the mammalian paralogues(3), EcCI can convert to the closed state only during turnover, showing that closed and open states are genuine turnover intermediates. The open-to-closed transition results in the tightly engulfed quinone cavity being connected to the central axis of the membrane arm, a source of substrate protons. Consistently, the proportion of the closed state increases with increasing pH. We propose a detailed but straightforward and robust mechanism comprising a 'domino effect' series of proton transfers and electrostatic interactions: the forward wave ('dominoes stacking') primes the pump, and the reverse wave ('dominoes falling') results in the ejection of all pumped protons from the distal subunit NuoL. This mechanism explains why protons exit exclusively from the NuoL subunit and is supported by our mutagenesis data. We contend that this is a universal coupling mechanism of complex I and related enzymes.","author":[{"dropping-particle":"","family":"Kravchuk","given":"Vladyslav","non-dropping-particle":"","parse-names":false,"suffix":""},{"dropping-particle":"","family":"Petrova","given":"Olga","non-dropping-particle":"","parse-names":false,"suffix":""},{"dropping-particle":"","family":"Kampjut","given":"Domen","non-dropping-particle":"","parse-names":false,"suffix":""},{"dropping-particle":"","family":"Wojciechowska-Bason","given":"Anna","non-dropping-particle":"","parse-names":false,"suffix":""},{"dropping-particle":"","family":"Breese","given":"Zara","non-dropping-particle":"","parse-names":false,"suffix":""},{"dropping-particle":"","family":"Sazanov","given":"Leonid","non-dropping-particle":"","parse-names":false,"suffix":""}],"container-title":"Nature","id":"ITEM-1","issue":"7928","issued":{"date-parts":[["2022","9"]]},"language":"eng","page":"808-814","publisher-place":"England","title":"A universal coupling mechanism of respiratory complex I.","type":"article-journal","volume":"609"},"uris":["http://www.mendeley.com/documents/?uuid=24646b16-1332-4c29-8894-c41094c65033"]}],"mendeley":{"formattedCitation":"(Kravchuk &lt;i&gt;et al&lt;/i&gt;, 2022)","plainTextFormattedCitation":"(Kravchuk et al, 2022)","previouslyFormattedCitation":"(Kravchuk &lt;i&gt;et al&lt;/i&gt;, 2022)"},"properties":{"noteIndex":0},"schema":"https://github.com/citation-style-language/schema/raw/master/csl-citation.json"}</w:instrText>
      </w:r>
      <w:r w:rsidR="005B5A1A" w:rsidRPr="00E97FC1">
        <w:rPr>
          <w:i/>
          <w:sz w:val="20"/>
          <w:lang w:val="en-GB"/>
        </w:rPr>
        <w:fldChar w:fldCharType="separate"/>
      </w:r>
      <w:r w:rsidR="00E55873" w:rsidRPr="00E97FC1">
        <w:rPr>
          <w:noProof/>
          <w:sz w:val="20"/>
          <w:lang w:val="en-GB"/>
        </w:rPr>
        <w:t xml:space="preserve">(Kravchuk </w:t>
      </w:r>
      <w:r w:rsidR="00E55873" w:rsidRPr="00E97FC1">
        <w:rPr>
          <w:i/>
          <w:noProof/>
          <w:sz w:val="20"/>
          <w:lang w:val="en-GB"/>
        </w:rPr>
        <w:t>et al</w:t>
      </w:r>
      <w:r w:rsidR="00E55873" w:rsidRPr="00E97FC1">
        <w:rPr>
          <w:noProof/>
          <w:sz w:val="20"/>
          <w:lang w:val="en-GB"/>
        </w:rPr>
        <w:t>, 2022)</w:t>
      </w:r>
      <w:r w:rsidR="005B5A1A" w:rsidRPr="00E97FC1">
        <w:rPr>
          <w:i/>
          <w:sz w:val="20"/>
          <w:lang w:val="en-GB"/>
        </w:rPr>
        <w:fldChar w:fldCharType="end"/>
      </w:r>
    </w:p>
    <w:p w14:paraId="7F293375" w14:textId="77777777" w:rsidR="005B5A1A" w:rsidRPr="00E97FC1" w:rsidRDefault="005B5A1A" w:rsidP="0028028E">
      <w:pPr>
        <w:ind w:firstLine="720"/>
        <w:rPr>
          <w:rFonts w:cs="Times New Roman"/>
          <w:noProof/>
          <w:szCs w:val="40"/>
          <w:lang w:val="en-GB"/>
        </w:rPr>
      </w:pPr>
    </w:p>
    <w:p w14:paraId="6AA811A7" w14:textId="77777777" w:rsidR="00E355FC" w:rsidRPr="00E97FC1" w:rsidRDefault="00FD11C5" w:rsidP="005B5A1A">
      <w:pPr>
        <w:ind w:firstLine="720"/>
        <w:rPr>
          <w:rFonts w:cs="Times New Roman"/>
          <w:szCs w:val="40"/>
          <w:lang w:val="en-GB"/>
        </w:rPr>
      </w:pPr>
      <w:r w:rsidRPr="00E97FC1">
        <w:rPr>
          <w:rFonts w:cs="Times New Roman"/>
          <w:szCs w:val="40"/>
          <w:lang w:val="en-GB"/>
        </w:rPr>
        <w:lastRenderedPageBreak/>
        <w:t>For DDM_NADH</w:t>
      </w:r>
      <w:r w:rsidRPr="00E97FC1" w:rsidDel="00783829">
        <w:rPr>
          <w:rFonts w:cs="Times New Roman"/>
          <w:szCs w:val="40"/>
          <w:lang w:val="en-GB"/>
        </w:rPr>
        <w:t xml:space="preserve"> </w:t>
      </w:r>
      <w:r w:rsidRPr="00E97FC1">
        <w:rPr>
          <w:rFonts w:cs="Times New Roman"/>
          <w:szCs w:val="40"/>
          <w:lang w:val="en-GB"/>
        </w:rPr>
        <w:t xml:space="preserve">dataset (Figure </w:t>
      </w:r>
      <w:r w:rsidR="00E355FC" w:rsidRPr="00E97FC1">
        <w:rPr>
          <w:rFonts w:cs="Times New Roman"/>
          <w:szCs w:val="40"/>
          <w:lang w:val="en-GB"/>
        </w:rPr>
        <w:t>2.2</w:t>
      </w:r>
      <w:r w:rsidRPr="00E97FC1">
        <w:rPr>
          <w:rFonts w:cs="Times New Roman"/>
          <w:szCs w:val="40"/>
          <w:lang w:val="en-GB"/>
        </w:rPr>
        <w:t xml:space="preserve">), 303k particles were picked with Gautomatch and 306k particles with RELION’s Autopick using </w:t>
      </w:r>
      <w:r w:rsidRPr="00E97FC1">
        <w:rPr>
          <w:rFonts w:cs="Times New Roman"/>
          <w:i/>
          <w:szCs w:val="40"/>
          <w:lang w:val="en-GB"/>
        </w:rPr>
        <w:t>Ec</w:t>
      </w:r>
      <w:r w:rsidRPr="00E97FC1">
        <w:rPr>
          <w:rFonts w:cs="Times New Roman"/>
          <w:szCs w:val="40"/>
          <w:lang w:val="en-GB"/>
        </w:rPr>
        <w:t xml:space="preserve">CI structure as a 3D template and joined with duplicates removal (441k unique particles). Particles were extracted 2X binned and cleaned using one round of 2D (290k particles remained) and one round of 3D classifications (226k particles remained). The 3D classification was done with k = 4 and T = 8 in four steps: 45 iterations with 7.5° global angular search, 10 iterations with 3.7° global angular search, 25 iterations with 1.8° local angular search and 10 iterations with 0.9° local angular search. Good classes were re-extracted at the full pixel size, followed by duplicates removal (194k particles remained). Next, particles were refined into a single “consensus” structure, followed by per-particle defocus and per-particle trajectory refinement using CtfRefine and Polishing tools. Refined particles were subject to FRC classification with k = 6 and T = 4. This resulted in six resting state classes that differed from each other only by the degree of openness. The four best classes were combined into one consensus resting class. The final density map was formed from focus-refined PA and MA maps. The PA and MA maps were aligned on the most populated class (class 4) and merged using “vop max” command in Chimera software. </w:t>
      </w:r>
    </w:p>
    <w:p w14:paraId="4CBA2123" w14:textId="77777777" w:rsidR="0028101F" w:rsidRPr="00E97FC1" w:rsidRDefault="00FD11C5" w:rsidP="0028028E">
      <w:pPr>
        <w:ind w:firstLine="720"/>
        <w:rPr>
          <w:rFonts w:cs="Times New Roman"/>
          <w:szCs w:val="40"/>
          <w:lang w:val="en-GB"/>
        </w:rPr>
      </w:pPr>
      <w:r w:rsidRPr="00E97FC1">
        <w:rPr>
          <w:rFonts w:cs="Times New Roman"/>
          <w:szCs w:val="40"/>
          <w:lang w:val="en-GB"/>
        </w:rPr>
        <w:t xml:space="preserve">For DDM/LMNG_Turnover_pH6 dataset (Figure </w:t>
      </w:r>
      <w:r w:rsidR="006A79C5" w:rsidRPr="00E97FC1">
        <w:rPr>
          <w:rFonts w:cs="Times New Roman"/>
          <w:szCs w:val="40"/>
          <w:lang w:val="en-GB"/>
        </w:rPr>
        <w:t>2.3</w:t>
      </w:r>
      <w:r w:rsidRPr="00E97FC1">
        <w:rPr>
          <w:rFonts w:cs="Times New Roman"/>
          <w:szCs w:val="40"/>
          <w:lang w:val="en-GB"/>
        </w:rPr>
        <w:t xml:space="preserve">), 773k particles were picked with RELION’s Autopick using </w:t>
      </w:r>
      <w:r w:rsidRPr="00E97FC1">
        <w:rPr>
          <w:rFonts w:cs="Times New Roman"/>
          <w:i/>
          <w:szCs w:val="40"/>
          <w:lang w:val="en-GB"/>
        </w:rPr>
        <w:t>Ec</w:t>
      </w:r>
      <w:r w:rsidRPr="00E97FC1">
        <w:rPr>
          <w:rFonts w:cs="Times New Roman"/>
          <w:szCs w:val="40"/>
          <w:lang w:val="en-GB"/>
        </w:rPr>
        <w:t xml:space="preserve">CI structure as a 3D template. Particles were extracted 2X binned and cleaned using one round of 2D (629k particles remained) and one round of 3D classifications (269k particles remained). The 3D classification was done with k = 6 and T = 4 in three steps: 25 iterations with 7.5° global angular search, 5 iterations with 3.7° global angular search and 10 iterations with 1.8° local angular search. Good classes were re-extracted at the full pixel size. Next, particles were refined into a single “consensus” structure, followed by per-micrograph aberrations (two rounds), per-particle defocus (two rounds) and per-particle trajectory refinement using CtfRefine and Bayesian polishing tools. Another cleaning step was performed: particles were aligned on the PA and classified without searches with a loose mask around PA; then same was done for MD (204k particles remained). </w:t>
      </w:r>
    </w:p>
    <w:p w14:paraId="1B962404" w14:textId="5C8EB7AE" w:rsidR="0028101F" w:rsidRPr="00E97FC1" w:rsidRDefault="005B2DD5" w:rsidP="0028028E">
      <w:pPr>
        <w:ind w:firstLine="720"/>
        <w:rPr>
          <w:rFonts w:cs="Times New Roman"/>
          <w:szCs w:val="40"/>
          <w:lang w:val="en-GB"/>
        </w:rPr>
      </w:pPr>
      <w:r w:rsidRPr="005B2DD5">
        <w:rPr>
          <w:rFonts w:cs="Times New Roman"/>
          <w:noProof/>
          <w:szCs w:val="40"/>
        </w:rPr>
        <w:lastRenderedPageBreak/>
        <w:drawing>
          <wp:inline distT="0" distB="0" distL="0" distR="0" wp14:anchorId="7519552D" wp14:editId="1E7F9233">
            <wp:extent cx="4434354" cy="6400800"/>
            <wp:effectExtent l="0" t="0" r="4445" b="0"/>
            <wp:docPr id="240" name="Picture 240" descr="C:\Users\vkravchu\Desktop\DesktopStuff\EcCxI_Paper\Figures_LATEST\Supplementary\Processing\ALL_Processing_png\Slid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descr="C:\Users\vkravchu\Desktop\DesktopStuff\EcCxI_Paper\Figures_LATEST\Supplementary\Processing\ALL_Processing_png\Slide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434354" cy="6400800"/>
                    </a:xfrm>
                    <a:prstGeom prst="rect">
                      <a:avLst/>
                    </a:prstGeom>
                    <a:noFill/>
                    <a:ln>
                      <a:noFill/>
                    </a:ln>
                  </pic:spPr>
                </pic:pic>
              </a:graphicData>
            </a:graphic>
          </wp:inline>
        </w:drawing>
      </w:r>
    </w:p>
    <w:p w14:paraId="69F0814C" w14:textId="39192153" w:rsidR="0028101F" w:rsidRPr="00E97FC1" w:rsidRDefault="0028101F" w:rsidP="0028101F">
      <w:pPr>
        <w:pStyle w:val="Caption"/>
      </w:pPr>
      <w:bookmarkStart w:id="78" w:name="_Toc121834104"/>
      <w:bookmarkStart w:id="79" w:name="_Toc128136620"/>
      <w:r w:rsidRPr="00E97FC1">
        <w:t xml:space="preserve">Figure </w:t>
      </w:r>
      <w:r w:rsidR="00CC7652">
        <w:fldChar w:fldCharType="begin"/>
      </w:r>
      <w:r w:rsidR="00CC7652">
        <w:instrText xml:space="preserve"> STYLEREF 1 \s </w:instrText>
      </w:r>
      <w:r w:rsidR="00CC7652">
        <w:fldChar w:fldCharType="separate"/>
      </w:r>
      <w:r w:rsidR="00ED1816">
        <w:rPr>
          <w:noProof/>
        </w:rPr>
        <w:t>2</w:t>
      </w:r>
      <w:r w:rsidR="00CC7652">
        <w:fldChar w:fldCharType="end"/>
      </w:r>
      <w:r w:rsidR="00CC7652">
        <w:t>.</w:t>
      </w:r>
      <w:r w:rsidR="00CC7652">
        <w:fldChar w:fldCharType="begin"/>
      </w:r>
      <w:r w:rsidR="00CC7652">
        <w:instrText xml:space="preserve"> SEQ Figure \* ARABIC \s 1 </w:instrText>
      </w:r>
      <w:r w:rsidR="00CC7652">
        <w:fldChar w:fldCharType="separate"/>
      </w:r>
      <w:r w:rsidR="00ED1816">
        <w:rPr>
          <w:noProof/>
        </w:rPr>
        <w:t>3</w:t>
      </w:r>
      <w:r w:rsidR="00CC7652">
        <w:fldChar w:fldCharType="end"/>
      </w:r>
      <w:r w:rsidRPr="00E97FC1">
        <w:t xml:space="preserve"> Processing scheme of </w:t>
      </w:r>
      <w:r w:rsidRPr="00E97FC1">
        <w:rPr>
          <w:szCs w:val="40"/>
        </w:rPr>
        <w:t>DDM/LMNG_Turnover_pH6</w:t>
      </w:r>
      <w:r w:rsidRPr="00E97FC1">
        <w:t xml:space="preserve"> dataset</w:t>
      </w:r>
      <w:bookmarkEnd w:id="78"/>
      <w:bookmarkEnd w:id="79"/>
    </w:p>
    <w:p w14:paraId="4A9D2444" w14:textId="3C741F71" w:rsidR="0028101F" w:rsidRPr="00E97FC1" w:rsidRDefault="0028101F" w:rsidP="0028101F">
      <w:pPr>
        <w:rPr>
          <w:i/>
          <w:sz w:val="20"/>
          <w:lang w:val="en-GB"/>
        </w:rPr>
      </w:pPr>
      <w:r w:rsidRPr="00E97FC1">
        <w:rPr>
          <w:i/>
          <w:sz w:val="20"/>
          <w:lang w:val="en-GB"/>
        </w:rPr>
        <w:t xml:space="preserve">Figure </w:t>
      </w:r>
      <w:r w:rsidR="00D07557" w:rsidRPr="00E97FC1">
        <w:rPr>
          <w:i/>
          <w:sz w:val="20"/>
          <w:lang w:val="en-GB"/>
        </w:rPr>
        <w:t>adapted from</w:t>
      </w:r>
      <w:r w:rsidRPr="00E97FC1">
        <w:rPr>
          <w:i/>
          <w:sz w:val="20"/>
          <w:lang w:val="en-GB"/>
        </w:rPr>
        <w:t xml:space="preserve"> </w:t>
      </w:r>
      <w:r w:rsidRPr="00E97FC1">
        <w:rPr>
          <w:i/>
          <w:sz w:val="20"/>
          <w:lang w:val="en-GB"/>
        </w:rPr>
        <w:fldChar w:fldCharType="begin" w:fldLock="1"/>
      </w:r>
      <w:r w:rsidR="00776703" w:rsidRPr="00E97FC1">
        <w:rPr>
          <w:i/>
          <w:sz w:val="20"/>
          <w:lang w:val="en-GB"/>
        </w:rPr>
        <w:instrText>ADDIN CSL_CITATION {"citationItems":[{"id":"ITEM-1","itemData":{"DOI":"10.1038/s41586-022-05199-7","ISSN":"1476-4687 (Electronic)","PMID":"36104567","abstract":"Complex I is the first enzyme in the respiratory chain, which is responsible for  energy production in mitochondria and bacteria(1). Complex I couples the transfer of two electrons from NADH to quinone and the translocation of four protons across the membrane(2), but the coupling mechanism remains contentious. Here we present cryo-electron microscopy structures of Escherichia coli complex I (EcCI) in different redox states, including catalytic turnover. EcCI exists mostly in the open state, in which the quinone cavity is exposed to the cytosol, allowing access for water molecules, which enable quinone movements. Unlike the mammalian paralogues(3), EcCI can convert to the closed state only during turnover, showing that closed and open states are genuine turnover intermediates. The open-to-closed transition results in the tightly engulfed quinone cavity being connected to the central axis of the membrane arm, a source of substrate protons. Consistently, the proportion of the closed state increases with increasing pH. We propose a detailed but straightforward and robust mechanism comprising a 'domino effect' series of proton transfers and electrostatic interactions: the forward wave ('dominoes stacking') primes the pump, and the reverse wave ('dominoes falling') results in the ejection of all pumped protons from the distal subunit NuoL. This mechanism explains why protons exit exclusively from the NuoL subunit and is supported by our mutagenesis data. We contend that this is a universal coupling mechanism of complex I and related enzymes.","author":[{"dropping-particle":"","family":"Kravchuk","given":"Vladyslav","non-dropping-particle":"","parse-names":false,"suffix":""},{"dropping-particle":"","family":"Petrova","given":"Olga","non-dropping-particle":"","parse-names":false,"suffix":""},{"dropping-particle":"","family":"Kampjut","given":"Domen","non-dropping-particle":"","parse-names":false,"suffix":""},{"dropping-particle":"","family":"Wojciechowska-Bason","given":"Anna","non-dropping-particle":"","parse-names":false,"suffix":""},{"dropping-particle":"","family":"Breese","given":"Zara","non-dropping-particle":"","parse-names":false,"suffix":""},{"dropping-particle":"","family":"Sazanov","given":"Leonid","non-dropping-particle":"","parse-names":false,"suffix":""}],"container-title":"Nature","id":"ITEM-1","issue":"7928","issued":{"date-parts":[["2022","9"]]},"language":"eng","page":"808-814","publisher-place":"England","title":"A universal coupling mechanism of respiratory complex I.","type":"article-journal","volume":"609"},"uris":["http://www.mendeley.com/documents/?uuid=24646b16-1332-4c29-8894-c41094c65033"]}],"mendeley":{"formattedCitation":"(Kravchuk &lt;i&gt;et al&lt;/i&gt;, 2022)","plainTextFormattedCitation":"(Kravchuk et al, 2022)","previouslyFormattedCitation":"(Kravchuk &lt;i&gt;et al&lt;/i&gt;, 2022)"},"properties":{"noteIndex":0},"schema":"https://github.com/citation-style-language/schema/raw/master/csl-citation.json"}</w:instrText>
      </w:r>
      <w:r w:rsidRPr="00E97FC1">
        <w:rPr>
          <w:i/>
          <w:sz w:val="20"/>
          <w:lang w:val="en-GB"/>
        </w:rPr>
        <w:fldChar w:fldCharType="separate"/>
      </w:r>
      <w:r w:rsidR="00E55873" w:rsidRPr="00E97FC1">
        <w:rPr>
          <w:noProof/>
          <w:sz w:val="20"/>
          <w:lang w:val="en-GB"/>
        </w:rPr>
        <w:t xml:space="preserve">(Kravchuk </w:t>
      </w:r>
      <w:r w:rsidR="00E55873" w:rsidRPr="00E97FC1">
        <w:rPr>
          <w:i/>
          <w:noProof/>
          <w:sz w:val="20"/>
          <w:lang w:val="en-GB"/>
        </w:rPr>
        <w:t>et al</w:t>
      </w:r>
      <w:r w:rsidR="00E55873" w:rsidRPr="00E97FC1">
        <w:rPr>
          <w:noProof/>
          <w:sz w:val="20"/>
          <w:lang w:val="en-GB"/>
        </w:rPr>
        <w:t>, 2022)</w:t>
      </w:r>
      <w:r w:rsidRPr="00E97FC1">
        <w:rPr>
          <w:i/>
          <w:sz w:val="20"/>
          <w:lang w:val="en-GB"/>
        </w:rPr>
        <w:fldChar w:fldCharType="end"/>
      </w:r>
    </w:p>
    <w:p w14:paraId="09850E83" w14:textId="77777777" w:rsidR="0028101F" w:rsidRPr="00E97FC1" w:rsidRDefault="0028101F" w:rsidP="0028101F">
      <w:pPr>
        <w:pStyle w:val="Caption"/>
        <w:rPr>
          <w:szCs w:val="40"/>
        </w:rPr>
      </w:pPr>
    </w:p>
    <w:p w14:paraId="508A67D8" w14:textId="77777777" w:rsidR="00FD11C5" w:rsidRPr="00E97FC1" w:rsidRDefault="00FD11C5" w:rsidP="0028028E">
      <w:pPr>
        <w:ind w:firstLine="720"/>
        <w:rPr>
          <w:rFonts w:cs="Times New Roman"/>
          <w:szCs w:val="40"/>
          <w:lang w:val="en-GB"/>
        </w:rPr>
      </w:pPr>
      <w:r w:rsidRPr="00E97FC1">
        <w:rPr>
          <w:rFonts w:cs="Times New Roman"/>
          <w:szCs w:val="40"/>
          <w:lang w:val="en-GB"/>
        </w:rPr>
        <w:t xml:space="preserve">Afterwards, we performed FRC classification with k = 4 and T = 4. This resulted in two resting classes and two open classes that differed from each other by degree of openness. The two resting classes were combined into one consensus resting class. The final density map was formed from focus-refined PA and MA maps. The PA and MA maps were aligned on the most populated resting class (class 3) and merged using “vop max” command in Chimera software. The particles from the two open classes were joined and FRC classified with k = 6 and T = 10. </w:t>
      </w:r>
      <w:r w:rsidRPr="00E97FC1">
        <w:rPr>
          <w:rFonts w:cs="Times New Roman"/>
          <w:szCs w:val="40"/>
          <w:lang w:val="en-GB"/>
        </w:rPr>
        <w:lastRenderedPageBreak/>
        <w:t>This resulted in three good classes: one closed and two open. The two open classes were combined into one consensus open class. The final density map for the open class was formed from focus-refined PA and MA maps filtered by</w:t>
      </w:r>
      <w:r w:rsidR="006B318B" w:rsidRPr="00E97FC1">
        <w:rPr>
          <w:rFonts w:cs="Times New Roman"/>
          <w:szCs w:val="40"/>
          <w:lang w:val="en-GB"/>
        </w:rPr>
        <w:t xml:space="preserve"> local resolution. The PA and MA</w:t>
      </w:r>
      <w:r w:rsidRPr="00E97FC1">
        <w:rPr>
          <w:rFonts w:cs="Times New Roman"/>
          <w:szCs w:val="40"/>
          <w:lang w:val="en-GB"/>
        </w:rPr>
        <w:t xml:space="preserve"> maps were aligned on the most populated open class (class 4) and merged using “vop max” command in chimera software. The final density map for the closed class was formed from globally filtered (to the value of 0.143 FSC cut-off) focus-refined maps of NuoFEG, NuoAJKHCD (the PA-MA junction subunits) and NuoNML combined using “vop max” command in chimera software. These three focus areas were selected to achieve the improved density throughout MA, in view of limited resolution of the closed class. </w:t>
      </w:r>
    </w:p>
    <w:p w14:paraId="68BEA268" w14:textId="77777777" w:rsidR="00FD11C5" w:rsidRPr="00E97FC1" w:rsidRDefault="00FD11C5" w:rsidP="0028028E">
      <w:pPr>
        <w:ind w:firstLine="720"/>
        <w:rPr>
          <w:rFonts w:cs="Times New Roman"/>
          <w:szCs w:val="40"/>
          <w:lang w:val="en-GB"/>
        </w:rPr>
      </w:pPr>
      <w:r w:rsidRPr="00E97FC1">
        <w:rPr>
          <w:rFonts w:cs="Times New Roman"/>
          <w:szCs w:val="40"/>
          <w:lang w:val="en-GB"/>
        </w:rPr>
        <w:t xml:space="preserve">For DDM/LMNG_Apo dataset (Figure </w:t>
      </w:r>
      <w:r w:rsidR="00692E30" w:rsidRPr="00E97FC1">
        <w:rPr>
          <w:rFonts w:cs="Times New Roman"/>
          <w:szCs w:val="40"/>
          <w:lang w:val="en-GB"/>
        </w:rPr>
        <w:t>2.4</w:t>
      </w:r>
      <w:r w:rsidRPr="00E97FC1">
        <w:rPr>
          <w:rFonts w:cs="Times New Roman"/>
          <w:szCs w:val="40"/>
          <w:lang w:val="en-GB"/>
        </w:rPr>
        <w:t xml:space="preserve">), 918k particles were picked with RELION’s Autopick using </w:t>
      </w:r>
      <w:r w:rsidRPr="00E97FC1">
        <w:rPr>
          <w:rFonts w:cs="Times New Roman"/>
          <w:i/>
          <w:szCs w:val="40"/>
          <w:lang w:val="en-GB"/>
        </w:rPr>
        <w:t>Ec</w:t>
      </w:r>
      <w:r w:rsidRPr="00E97FC1">
        <w:rPr>
          <w:rFonts w:cs="Times New Roman"/>
          <w:szCs w:val="40"/>
          <w:lang w:val="en-GB"/>
        </w:rPr>
        <w:t>CI structure as a 3D template. Particles were extracted at 2x the physical pixel size and cleaned using two rounds of 2D (487k particles remained) and one round of 3D classifications (387k particles remained). The first round of 2D classification was done with k =100 and T = 2 and the second round was done with k = 20 and T = 2.5 on each good class (obtained from the first round) separately. Afterwards, all good 2D classes were joined together. The 3D classification was done with k = 4 and T = 4 in three steps: 20 iterations with 7.5° global angular search, 10 iterations with 3.7° global angular search and 15 iterations with 1.8° local angular search. Good classes were re-extracted at the full pixel size. Next, particles were refined into a single “consensus” structure, followed by per-micrograph aberrations (two rounds), per-particle defocus (two rounds) and per-particle trajectory refinement using CtfRefine and Bayesian polishing tools. Another cleaning step was performed: particles were aligned on the PA and classified without searches with a loose mask around PA; then same was done for MA (366k particles remained). Afterwards, we performed FRC classification with k = 4 and T = 4. This resulted in two resting state classes and two open state classes that differed from each other by the degree of openness. The two resting classes were combined into one consensus resting class. The final density map was formed from focus-refined PA and MA maps. The PA and MA maps were aligned on the most populated resting state class and merged using “vop max” command in chimera software. The same procedure was done to obtain the final composite open class map.</w:t>
      </w:r>
    </w:p>
    <w:p w14:paraId="746960EC" w14:textId="60F85FF9" w:rsidR="00692E30" w:rsidRPr="00E97FC1" w:rsidRDefault="000951A5" w:rsidP="0028028E">
      <w:pPr>
        <w:ind w:firstLine="720"/>
        <w:rPr>
          <w:rFonts w:cs="Times New Roman"/>
          <w:szCs w:val="40"/>
          <w:lang w:val="en-GB"/>
        </w:rPr>
      </w:pPr>
      <w:r w:rsidRPr="000951A5">
        <w:rPr>
          <w:rFonts w:cs="Times New Roman"/>
          <w:noProof/>
          <w:szCs w:val="40"/>
        </w:rPr>
        <w:lastRenderedPageBreak/>
        <w:drawing>
          <wp:inline distT="0" distB="0" distL="0" distR="0" wp14:anchorId="4B8B447C" wp14:editId="16C90592">
            <wp:extent cx="4649694" cy="6400800"/>
            <wp:effectExtent l="0" t="0" r="0" b="0"/>
            <wp:docPr id="30" name="Picture 30" descr="C:\Users\vkravchu\Desktop\DesktopStuff\EcCxI_Paper\Figures_LATEST\Supplementary\Processing\ALL_Process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C:\Users\vkravchu\Desktop\DesktopStuff\EcCxI_Paper\Figures_LATEST\Supplementary\Processing\ALL_Processing.png"/>
                    <pic:cNvPicPr>
                      <a:picLocks noChangeAspect="1" noChangeArrowheads="1"/>
                    </pic:cNvPicPr>
                  </pic:nvPicPr>
                  <pic:blipFill rotWithShape="1">
                    <a:blip r:embed="rId28">
                      <a:extLst>
                        <a:ext uri="{28A0092B-C50C-407E-A947-70E740481C1C}">
                          <a14:useLocalDpi xmlns:a14="http://schemas.microsoft.com/office/drawing/2010/main" val="0"/>
                        </a:ext>
                      </a:extLst>
                    </a:blip>
                    <a:srcRect r="698" b="5297"/>
                    <a:stretch/>
                  </pic:blipFill>
                  <pic:spPr bwMode="auto">
                    <a:xfrm>
                      <a:off x="0" y="0"/>
                      <a:ext cx="4649694" cy="6400800"/>
                    </a:xfrm>
                    <a:prstGeom prst="rect">
                      <a:avLst/>
                    </a:prstGeom>
                    <a:noFill/>
                    <a:ln>
                      <a:noFill/>
                    </a:ln>
                    <a:extLst>
                      <a:ext uri="{53640926-AAD7-44D8-BBD7-CCE9431645EC}">
                        <a14:shadowObscured xmlns:a14="http://schemas.microsoft.com/office/drawing/2010/main"/>
                      </a:ext>
                    </a:extLst>
                  </pic:spPr>
                </pic:pic>
              </a:graphicData>
            </a:graphic>
          </wp:inline>
        </w:drawing>
      </w:r>
    </w:p>
    <w:p w14:paraId="09B82238" w14:textId="7D4C073C" w:rsidR="00692E30" w:rsidRPr="00E97FC1" w:rsidRDefault="00692E30" w:rsidP="00692E30">
      <w:pPr>
        <w:pStyle w:val="Caption"/>
      </w:pPr>
      <w:bookmarkStart w:id="80" w:name="_Toc121834105"/>
      <w:bookmarkStart w:id="81" w:name="_Toc128136621"/>
      <w:r w:rsidRPr="00E97FC1">
        <w:t xml:space="preserve">Figure </w:t>
      </w:r>
      <w:r w:rsidR="00CC7652">
        <w:fldChar w:fldCharType="begin"/>
      </w:r>
      <w:r w:rsidR="00CC7652">
        <w:instrText xml:space="preserve"> STYLEREF 1 \s </w:instrText>
      </w:r>
      <w:r w:rsidR="00CC7652">
        <w:fldChar w:fldCharType="separate"/>
      </w:r>
      <w:r w:rsidR="00ED1816">
        <w:rPr>
          <w:noProof/>
        </w:rPr>
        <w:t>2</w:t>
      </w:r>
      <w:r w:rsidR="00CC7652">
        <w:fldChar w:fldCharType="end"/>
      </w:r>
      <w:r w:rsidR="00CC7652">
        <w:t>.</w:t>
      </w:r>
      <w:r w:rsidR="00CC7652">
        <w:fldChar w:fldCharType="begin"/>
      </w:r>
      <w:r w:rsidR="00CC7652">
        <w:instrText xml:space="preserve"> SEQ Figure \* ARABIC \s 1 </w:instrText>
      </w:r>
      <w:r w:rsidR="00CC7652">
        <w:fldChar w:fldCharType="separate"/>
      </w:r>
      <w:r w:rsidR="00ED1816">
        <w:rPr>
          <w:noProof/>
        </w:rPr>
        <w:t>4</w:t>
      </w:r>
      <w:r w:rsidR="00CC7652">
        <w:fldChar w:fldCharType="end"/>
      </w:r>
      <w:r w:rsidRPr="00E97FC1">
        <w:t xml:space="preserve"> Processing scheme of </w:t>
      </w:r>
      <w:r w:rsidRPr="00E97FC1">
        <w:rPr>
          <w:szCs w:val="40"/>
        </w:rPr>
        <w:t>DDM/LMNG_APO</w:t>
      </w:r>
      <w:r w:rsidRPr="00E97FC1">
        <w:t xml:space="preserve"> dataset</w:t>
      </w:r>
      <w:bookmarkEnd w:id="80"/>
      <w:bookmarkEnd w:id="81"/>
    </w:p>
    <w:p w14:paraId="780561C8" w14:textId="33F0D94D" w:rsidR="00692E30" w:rsidRPr="00E97FC1" w:rsidRDefault="00692E30" w:rsidP="00692E30">
      <w:pPr>
        <w:rPr>
          <w:i/>
          <w:sz w:val="20"/>
          <w:lang w:val="en-GB"/>
        </w:rPr>
      </w:pPr>
      <w:r w:rsidRPr="00E97FC1">
        <w:rPr>
          <w:i/>
          <w:sz w:val="20"/>
          <w:lang w:val="en-GB"/>
        </w:rPr>
        <w:t xml:space="preserve">Figure </w:t>
      </w:r>
      <w:r w:rsidR="00D07557" w:rsidRPr="00E97FC1">
        <w:rPr>
          <w:i/>
          <w:sz w:val="20"/>
          <w:lang w:val="en-GB"/>
        </w:rPr>
        <w:t>adapted from</w:t>
      </w:r>
      <w:r w:rsidRPr="00E97FC1">
        <w:rPr>
          <w:i/>
          <w:sz w:val="20"/>
          <w:lang w:val="en-GB"/>
        </w:rPr>
        <w:t xml:space="preserve"> </w:t>
      </w:r>
      <w:r w:rsidRPr="00E97FC1">
        <w:rPr>
          <w:i/>
          <w:sz w:val="20"/>
          <w:lang w:val="en-GB"/>
        </w:rPr>
        <w:fldChar w:fldCharType="begin" w:fldLock="1"/>
      </w:r>
      <w:r w:rsidR="00776703" w:rsidRPr="00E97FC1">
        <w:rPr>
          <w:i/>
          <w:sz w:val="20"/>
          <w:lang w:val="en-GB"/>
        </w:rPr>
        <w:instrText>ADDIN CSL_CITATION {"citationItems":[{"id":"ITEM-1","itemData":{"DOI":"10.1038/s41586-022-05199-7","ISSN":"1476-4687 (Electronic)","PMID":"36104567","abstract":"Complex I is the first enzyme in the respiratory chain, which is responsible for  energy production in mitochondria and bacteria(1). Complex I couples the transfer of two electrons from NADH to quinone and the translocation of four protons across the membrane(2), but the coupling mechanism remains contentious. Here we present cryo-electron microscopy structures of Escherichia coli complex I (EcCI) in different redox states, including catalytic turnover. EcCI exists mostly in the open state, in which the quinone cavity is exposed to the cytosol, allowing access for water molecules, which enable quinone movements. Unlike the mammalian paralogues(3), EcCI can convert to the closed state only during turnover, showing that closed and open states are genuine turnover intermediates. The open-to-closed transition results in the tightly engulfed quinone cavity being connected to the central axis of the membrane arm, a source of substrate protons. Consistently, the proportion of the closed state increases with increasing pH. We propose a detailed but straightforward and robust mechanism comprising a 'domino effect' series of proton transfers and electrostatic interactions: the forward wave ('dominoes stacking') primes the pump, and the reverse wave ('dominoes falling') results in the ejection of all pumped protons from the distal subunit NuoL. This mechanism explains why protons exit exclusively from the NuoL subunit and is supported by our mutagenesis data. We contend that this is a universal coupling mechanism of complex I and related enzymes.","author":[{"dropping-particle":"","family":"Kravchuk","given":"Vladyslav","non-dropping-particle":"","parse-names":false,"suffix":""},{"dropping-particle":"","family":"Petrova","given":"Olga","non-dropping-particle":"","parse-names":false,"suffix":""},{"dropping-particle":"","family":"Kampjut","given":"Domen","non-dropping-particle":"","parse-names":false,"suffix":""},{"dropping-particle":"","family":"Wojciechowska-Bason","given":"Anna","non-dropping-particle":"","parse-names":false,"suffix":""},{"dropping-particle":"","family":"Breese","given":"Zara","non-dropping-particle":"","parse-names":false,"suffix":""},{"dropping-particle":"","family":"Sazanov","given":"Leonid","non-dropping-particle":"","parse-names":false,"suffix":""}],"container-title":"Nature","id":"ITEM-1","issue":"7928","issued":{"date-parts":[["2022","9"]]},"language":"eng","page":"808-814","publisher-place":"England","title":"A universal coupling mechanism of respiratory complex I.","type":"article-journal","volume":"609"},"uris":["http://www.mendeley.com/documents/?uuid=24646b16-1332-4c29-8894-c41094c65033"]}],"mendeley":{"formattedCitation":"(Kravchuk &lt;i&gt;et al&lt;/i&gt;, 2022)","plainTextFormattedCitation":"(Kravchuk et al, 2022)","previouslyFormattedCitation":"(Kravchuk &lt;i&gt;et al&lt;/i&gt;, 2022)"},"properties":{"noteIndex":0},"schema":"https://github.com/citation-style-language/schema/raw/master/csl-citation.json"}</w:instrText>
      </w:r>
      <w:r w:rsidRPr="00E97FC1">
        <w:rPr>
          <w:i/>
          <w:sz w:val="20"/>
          <w:lang w:val="en-GB"/>
        </w:rPr>
        <w:fldChar w:fldCharType="separate"/>
      </w:r>
      <w:r w:rsidR="00E55873" w:rsidRPr="00E97FC1">
        <w:rPr>
          <w:noProof/>
          <w:sz w:val="20"/>
          <w:lang w:val="en-GB"/>
        </w:rPr>
        <w:t xml:space="preserve">(Kravchuk </w:t>
      </w:r>
      <w:r w:rsidR="00E55873" w:rsidRPr="00E97FC1">
        <w:rPr>
          <w:i/>
          <w:noProof/>
          <w:sz w:val="20"/>
          <w:lang w:val="en-GB"/>
        </w:rPr>
        <w:t>et al</w:t>
      </w:r>
      <w:r w:rsidR="00E55873" w:rsidRPr="00E97FC1">
        <w:rPr>
          <w:noProof/>
          <w:sz w:val="20"/>
          <w:lang w:val="en-GB"/>
        </w:rPr>
        <w:t>, 2022)</w:t>
      </w:r>
      <w:r w:rsidRPr="00E97FC1">
        <w:rPr>
          <w:i/>
          <w:sz w:val="20"/>
          <w:lang w:val="en-GB"/>
        </w:rPr>
        <w:fldChar w:fldCharType="end"/>
      </w:r>
    </w:p>
    <w:p w14:paraId="018532A4" w14:textId="77777777" w:rsidR="00692E30" w:rsidRPr="00E97FC1" w:rsidRDefault="00692E30" w:rsidP="00692E30">
      <w:pPr>
        <w:pStyle w:val="Caption"/>
        <w:rPr>
          <w:szCs w:val="40"/>
        </w:rPr>
      </w:pPr>
    </w:p>
    <w:p w14:paraId="6DF47027" w14:textId="77777777" w:rsidR="00692E30" w:rsidRPr="00E97FC1" w:rsidRDefault="00FD11C5" w:rsidP="0028028E">
      <w:pPr>
        <w:ind w:firstLine="720"/>
        <w:rPr>
          <w:rFonts w:cs="Times New Roman"/>
          <w:szCs w:val="40"/>
          <w:lang w:val="en-GB"/>
        </w:rPr>
      </w:pPr>
      <w:r w:rsidRPr="00E97FC1">
        <w:rPr>
          <w:rFonts w:cs="Times New Roman"/>
          <w:szCs w:val="40"/>
          <w:lang w:val="en-GB"/>
        </w:rPr>
        <w:t>For DDM/LMNG_PieA dataset (Figure</w:t>
      </w:r>
      <w:r w:rsidR="00692E30" w:rsidRPr="00E97FC1">
        <w:rPr>
          <w:rFonts w:cs="Times New Roman"/>
          <w:szCs w:val="40"/>
          <w:lang w:val="en-GB"/>
        </w:rPr>
        <w:t xml:space="preserve"> 2.5</w:t>
      </w:r>
      <w:r w:rsidRPr="00E97FC1">
        <w:rPr>
          <w:rFonts w:cs="Times New Roman"/>
          <w:szCs w:val="40"/>
          <w:lang w:val="en-GB"/>
        </w:rPr>
        <w:t xml:space="preserve">), 463k particles were picked with Gautomatch using 2D projections of 3D </w:t>
      </w:r>
      <w:r w:rsidRPr="00E97FC1">
        <w:rPr>
          <w:rFonts w:cs="Times New Roman"/>
          <w:i/>
          <w:szCs w:val="40"/>
          <w:lang w:val="en-GB"/>
        </w:rPr>
        <w:t>Ec</w:t>
      </w:r>
      <w:r w:rsidRPr="00E97FC1">
        <w:rPr>
          <w:rFonts w:cs="Times New Roman"/>
          <w:szCs w:val="40"/>
          <w:lang w:val="en-GB"/>
        </w:rPr>
        <w:t xml:space="preserve">CI structure (obtained from previous datasets) as a template. Particles were extracted 2X binned and cleaned using two rounds of 2D (256k particles remained) and one round of 3D classifications (233k particles remained). The first round of 2D classification was done with k =100 and T = 2 and the second round was done </w:t>
      </w:r>
      <w:r w:rsidRPr="00E97FC1">
        <w:rPr>
          <w:rFonts w:cs="Times New Roman"/>
          <w:szCs w:val="40"/>
          <w:lang w:val="en-GB"/>
        </w:rPr>
        <w:lastRenderedPageBreak/>
        <w:t xml:space="preserve">with k = 20 and T = 2.5 on each good class (obtained from the first round) separately. Afterwards, all good 2D classes were joined together and duplicates removed. </w:t>
      </w:r>
    </w:p>
    <w:p w14:paraId="4920486E" w14:textId="77777777" w:rsidR="005B2DD5" w:rsidRDefault="005B2DD5" w:rsidP="0028028E">
      <w:pPr>
        <w:ind w:firstLine="720"/>
        <w:rPr>
          <w:rFonts w:cs="Times New Roman"/>
          <w:noProof/>
          <w:szCs w:val="40"/>
        </w:rPr>
      </w:pPr>
    </w:p>
    <w:p w14:paraId="557F794F" w14:textId="5F5E8BA6" w:rsidR="00692E30" w:rsidRPr="00E97FC1" w:rsidRDefault="005B2DD5" w:rsidP="0028028E">
      <w:pPr>
        <w:ind w:firstLine="720"/>
        <w:rPr>
          <w:rFonts w:cs="Times New Roman"/>
          <w:szCs w:val="40"/>
          <w:lang w:val="en-GB"/>
        </w:rPr>
      </w:pPr>
      <w:r w:rsidRPr="005B2DD5">
        <w:rPr>
          <w:rFonts w:cs="Times New Roman"/>
          <w:noProof/>
          <w:szCs w:val="40"/>
        </w:rPr>
        <w:drawing>
          <wp:inline distT="0" distB="0" distL="0" distR="0" wp14:anchorId="58C0FB29" wp14:editId="413B8EBF">
            <wp:extent cx="4901933" cy="6035040"/>
            <wp:effectExtent l="0" t="0" r="0" b="3810"/>
            <wp:docPr id="243" name="Picture 243" descr="C:\Users\vkravchu\Desktop\DesktopStuff\EcCxI_Paper\Figures_LATEST\Supplementary\Processing\ALL_Processing_png\Slid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descr="C:\Users\vkravchu\Desktop\DesktopStuff\EcCxI_Paper\Figures_LATEST\Supplementary\Processing\ALL_Processing_png\Slide5.PNG"/>
                    <pic:cNvPicPr>
                      <a:picLocks noChangeAspect="1" noChangeArrowheads="1"/>
                    </pic:cNvPicPr>
                  </pic:nvPicPr>
                  <pic:blipFill rotWithShape="1">
                    <a:blip r:embed="rId29">
                      <a:extLst>
                        <a:ext uri="{28A0092B-C50C-407E-A947-70E740481C1C}">
                          <a14:useLocalDpi xmlns:a14="http://schemas.microsoft.com/office/drawing/2010/main" val="0"/>
                        </a:ext>
                      </a:extLst>
                    </a:blip>
                    <a:srcRect b="14788"/>
                    <a:stretch/>
                  </pic:blipFill>
                  <pic:spPr bwMode="auto">
                    <a:xfrm>
                      <a:off x="0" y="0"/>
                      <a:ext cx="4901933" cy="6035040"/>
                    </a:xfrm>
                    <a:prstGeom prst="rect">
                      <a:avLst/>
                    </a:prstGeom>
                    <a:noFill/>
                    <a:ln>
                      <a:noFill/>
                    </a:ln>
                    <a:extLst>
                      <a:ext uri="{53640926-AAD7-44D8-BBD7-CCE9431645EC}">
                        <a14:shadowObscured xmlns:a14="http://schemas.microsoft.com/office/drawing/2010/main"/>
                      </a:ext>
                    </a:extLst>
                  </pic:spPr>
                </pic:pic>
              </a:graphicData>
            </a:graphic>
          </wp:inline>
        </w:drawing>
      </w:r>
    </w:p>
    <w:p w14:paraId="165DBBB8" w14:textId="2A7AADE8" w:rsidR="00692E30" w:rsidRPr="00E97FC1" w:rsidRDefault="00692E30" w:rsidP="00692E30">
      <w:pPr>
        <w:pStyle w:val="Caption"/>
      </w:pPr>
      <w:bookmarkStart w:id="82" w:name="_Toc121834106"/>
      <w:bookmarkStart w:id="83" w:name="_Toc128136622"/>
      <w:r w:rsidRPr="00E97FC1">
        <w:t xml:space="preserve">Figure </w:t>
      </w:r>
      <w:r w:rsidR="00CC7652">
        <w:fldChar w:fldCharType="begin"/>
      </w:r>
      <w:r w:rsidR="00CC7652">
        <w:instrText xml:space="preserve"> STYLEREF 1 \s </w:instrText>
      </w:r>
      <w:r w:rsidR="00CC7652">
        <w:fldChar w:fldCharType="separate"/>
      </w:r>
      <w:r w:rsidR="00ED1816">
        <w:rPr>
          <w:noProof/>
        </w:rPr>
        <w:t>2</w:t>
      </w:r>
      <w:r w:rsidR="00CC7652">
        <w:fldChar w:fldCharType="end"/>
      </w:r>
      <w:r w:rsidR="00CC7652">
        <w:t>.</w:t>
      </w:r>
      <w:r w:rsidR="00CC7652">
        <w:fldChar w:fldCharType="begin"/>
      </w:r>
      <w:r w:rsidR="00CC7652">
        <w:instrText xml:space="preserve"> SEQ Figure \* ARABIC \s 1 </w:instrText>
      </w:r>
      <w:r w:rsidR="00CC7652">
        <w:fldChar w:fldCharType="separate"/>
      </w:r>
      <w:r w:rsidR="00ED1816">
        <w:rPr>
          <w:noProof/>
        </w:rPr>
        <w:t>5</w:t>
      </w:r>
      <w:r w:rsidR="00CC7652">
        <w:fldChar w:fldCharType="end"/>
      </w:r>
      <w:r w:rsidRPr="00E97FC1">
        <w:t xml:space="preserve"> Processing scheme of </w:t>
      </w:r>
      <w:r w:rsidRPr="00E97FC1">
        <w:rPr>
          <w:szCs w:val="40"/>
        </w:rPr>
        <w:t>DDM/LMNG_</w:t>
      </w:r>
      <w:r w:rsidR="00EA32AC" w:rsidRPr="00E97FC1">
        <w:rPr>
          <w:szCs w:val="40"/>
        </w:rPr>
        <w:t>PieA</w:t>
      </w:r>
      <w:r w:rsidRPr="00E97FC1">
        <w:t xml:space="preserve"> dataset</w:t>
      </w:r>
      <w:bookmarkEnd w:id="82"/>
      <w:bookmarkEnd w:id="83"/>
    </w:p>
    <w:p w14:paraId="24F74A87" w14:textId="11F7EA81" w:rsidR="00692E30" w:rsidRPr="00E97FC1" w:rsidRDefault="00692E30" w:rsidP="00692E30">
      <w:pPr>
        <w:rPr>
          <w:i/>
          <w:sz w:val="20"/>
          <w:lang w:val="en-GB"/>
        </w:rPr>
      </w:pPr>
      <w:r w:rsidRPr="00E97FC1">
        <w:rPr>
          <w:i/>
          <w:sz w:val="20"/>
          <w:lang w:val="en-GB"/>
        </w:rPr>
        <w:t xml:space="preserve">Figure </w:t>
      </w:r>
      <w:r w:rsidR="00D07557" w:rsidRPr="00E97FC1">
        <w:rPr>
          <w:i/>
          <w:sz w:val="20"/>
          <w:lang w:val="en-GB"/>
        </w:rPr>
        <w:t>adapted from</w:t>
      </w:r>
      <w:r w:rsidRPr="00E97FC1">
        <w:rPr>
          <w:i/>
          <w:sz w:val="20"/>
          <w:lang w:val="en-GB"/>
        </w:rPr>
        <w:t xml:space="preserve"> </w:t>
      </w:r>
      <w:r w:rsidRPr="00E97FC1">
        <w:rPr>
          <w:i/>
          <w:sz w:val="20"/>
          <w:lang w:val="en-GB"/>
        </w:rPr>
        <w:fldChar w:fldCharType="begin" w:fldLock="1"/>
      </w:r>
      <w:r w:rsidR="00776703" w:rsidRPr="00E97FC1">
        <w:rPr>
          <w:i/>
          <w:sz w:val="20"/>
          <w:lang w:val="en-GB"/>
        </w:rPr>
        <w:instrText>ADDIN CSL_CITATION {"citationItems":[{"id":"ITEM-1","itemData":{"DOI":"10.1038/s41586-022-05199-7","ISSN":"1476-4687 (Electronic)","PMID":"36104567","abstract":"Complex I is the first enzyme in the respiratory chain, which is responsible for  energy production in mitochondria and bacteria(1). Complex I couples the transfer of two electrons from NADH to quinone and the translocation of four protons across the membrane(2), but the coupling mechanism remains contentious. Here we present cryo-electron microscopy structures of Escherichia coli complex I (EcCI) in different redox states, including catalytic turnover. EcCI exists mostly in the open state, in which the quinone cavity is exposed to the cytosol, allowing access for water molecules, which enable quinone movements. Unlike the mammalian paralogues(3), EcCI can convert to the closed state only during turnover, showing that closed and open states are genuine turnover intermediates. The open-to-closed transition results in the tightly engulfed quinone cavity being connected to the central axis of the membrane arm, a source of substrate protons. Consistently, the proportion of the closed state increases with increasing pH. We propose a detailed but straightforward and robust mechanism comprising a 'domino effect' series of proton transfers and electrostatic interactions: the forward wave ('dominoes stacking') primes the pump, and the reverse wave ('dominoes falling') results in the ejection of all pumped protons from the distal subunit NuoL. This mechanism explains why protons exit exclusively from the NuoL subunit and is supported by our mutagenesis data. We contend that this is a universal coupling mechanism of complex I and related enzymes.","author":[{"dropping-particle":"","family":"Kravchuk","given":"Vladyslav","non-dropping-particle":"","parse-names":false,"suffix":""},{"dropping-particle":"","family":"Petrova","given":"Olga","non-dropping-particle":"","parse-names":false,"suffix":""},{"dropping-particle":"","family":"Kampjut","given":"Domen","non-dropping-particle":"","parse-names":false,"suffix":""},{"dropping-particle":"","family":"Wojciechowska-Bason","given":"Anna","non-dropping-particle":"","parse-names":false,"suffix":""},{"dropping-particle":"","family":"Breese","given":"Zara","non-dropping-particle":"","parse-names":false,"suffix":""},{"dropping-particle":"","family":"Sazanov","given":"Leonid","non-dropping-particle":"","parse-names":false,"suffix":""}],"container-title":"Nature","id":"ITEM-1","issue":"7928","issued":{"date-parts":[["2022","9"]]},"language":"eng","page":"808-814","publisher-place":"England","title":"A universal coupling mechanism of respiratory complex I.","type":"article-journal","volume":"609"},"uris":["http://www.mendeley.com/documents/?uuid=24646b16-1332-4c29-8894-c41094c65033"]}],"mendeley":{"formattedCitation":"(Kravchuk &lt;i&gt;et al&lt;/i&gt;, 2022)","plainTextFormattedCitation":"(Kravchuk et al, 2022)","previouslyFormattedCitation":"(Kravchuk &lt;i&gt;et al&lt;/i&gt;, 2022)"},"properties":{"noteIndex":0},"schema":"https://github.com/citation-style-language/schema/raw/master/csl-citation.json"}</w:instrText>
      </w:r>
      <w:r w:rsidRPr="00E97FC1">
        <w:rPr>
          <w:i/>
          <w:sz w:val="20"/>
          <w:lang w:val="en-GB"/>
        </w:rPr>
        <w:fldChar w:fldCharType="separate"/>
      </w:r>
      <w:r w:rsidR="00E55873" w:rsidRPr="00E97FC1">
        <w:rPr>
          <w:noProof/>
          <w:sz w:val="20"/>
          <w:lang w:val="en-GB"/>
        </w:rPr>
        <w:t xml:space="preserve">(Kravchuk </w:t>
      </w:r>
      <w:r w:rsidR="00E55873" w:rsidRPr="00E97FC1">
        <w:rPr>
          <w:i/>
          <w:noProof/>
          <w:sz w:val="20"/>
          <w:lang w:val="en-GB"/>
        </w:rPr>
        <w:t>et al</w:t>
      </w:r>
      <w:r w:rsidR="00E55873" w:rsidRPr="00E97FC1">
        <w:rPr>
          <w:noProof/>
          <w:sz w:val="20"/>
          <w:lang w:val="en-GB"/>
        </w:rPr>
        <w:t>, 2022)</w:t>
      </w:r>
      <w:r w:rsidRPr="00E97FC1">
        <w:rPr>
          <w:i/>
          <w:sz w:val="20"/>
          <w:lang w:val="en-GB"/>
        </w:rPr>
        <w:fldChar w:fldCharType="end"/>
      </w:r>
    </w:p>
    <w:p w14:paraId="3DF2D7DD" w14:textId="77777777" w:rsidR="00692E30" w:rsidRPr="00E97FC1" w:rsidRDefault="00692E30" w:rsidP="00692E30">
      <w:pPr>
        <w:pStyle w:val="Caption"/>
        <w:rPr>
          <w:szCs w:val="40"/>
        </w:rPr>
      </w:pPr>
    </w:p>
    <w:p w14:paraId="28500351" w14:textId="77777777" w:rsidR="00FD11C5" w:rsidRPr="00E97FC1" w:rsidRDefault="00FD11C5" w:rsidP="0028028E">
      <w:pPr>
        <w:ind w:firstLine="720"/>
        <w:rPr>
          <w:rFonts w:cs="Times New Roman"/>
          <w:szCs w:val="40"/>
          <w:lang w:val="en-GB"/>
        </w:rPr>
      </w:pPr>
      <w:r w:rsidRPr="00E97FC1">
        <w:rPr>
          <w:rFonts w:cs="Times New Roman"/>
          <w:szCs w:val="40"/>
          <w:lang w:val="en-GB"/>
        </w:rPr>
        <w:t xml:space="preserve">The 3D classification was done with k = 5 and T = 4 in three steps: 25 iterations with 7.5° global angular search, 12 iterations with 3.7° global angular search and 7 iterations with 1.8° local angular search. Good classes were re-extracted at the full pixel size. Next, particles were refined into a single “consensus” structure, followed by per-micrograph aberrations (two </w:t>
      </w:r>
      <w:r w:rsidRPr="00E97FC1">
        <w:rPr>
          <w:rFonts w:cs="Times New Roman"/>
          <w:szCs w:val="40"/>
          <w:lang w:val="en-GB"/>
        </w:rPr>
        <w:lastRenderedPageBreak/>
        <w:t xml:space="preserve">rounds), per-particle defocus (two rounds) and per-particle trajectory refinement using CtfRefine and Bayesian polishing tools. Another cleaning step was performed: particles were aligned on the PA and classified without searches with a loose mask around PA; then same was done for MA (214k particles remained). Afterwards, we performed FRC classification with k = 4 and T = 4. This resulted in three poor (low resolution) resting state classes and one open state class. Because of low resolution (&gt; 4 Å) and absence of differences between the other resting classes, we did not model DDM/LMNG_PieA resting class. The final density map for the open class was formed from focus-refined PA and MA maps. The PA and MA maps were aligned on the entire initial map and merged using “vop max” command in Chimera software. </w:t>
      </w:r>
    </w:p>
    <w:p w14:paraId="209BFF96" w14:textId="77777777" w:rsidR="00692E30" w:rsidRPr="00E97FC1" w:rsidRDefault="00692E30" w:rsidP="0028028E">
      <w:pPr>
        <w:ind w:firstLine="720"/>
        <w:rPr>
          <w:rFonts w:cs="Times New Roman"/>
          <w:szCs w:val="40"/>
          <w:lang w:val="en-GB"/>
        </w:rPr>
      </w:pPr>
      <w:r w:rsidRPr="00E97FC1">
        <w:rPr>
          <w:rFonts w:cs="Times New Roman"/>
          <w:szCs w:val="40"/>
          <w:lang w:val="en-GB"/>
        </w:rPr>
        <w:t>For DDM/LMNG_NADH+FMN dataset (</w:t>
      </w:r>
      <w:r w:rsidR="00FD11C5" w:rsidRPr="00E97FC1">
        <w:rPr>
          <w:rFonts w:cs="Times New Roman"/>
          <w:szCs w:val="40"/>
          <w:lang w:val="en-GB"/>
        </w:rPr>
        <w:t>Figure</w:t>
      </w:r>
      <w:r w:rsidRPr="00E97FC1">
        <w:rPr>
          <w:rFonts w:cs="Times New Roman"/>
          <w:szCs w:val="40"/>
          <w:lang w:val="en-GB"/>
        </w:rPr>
        <w:t xml:space="preserve"> 2.6</w:t>
      </w:r>
      <w:r w:rsidR="00FD11C5" w:rsidRPr="00E97FC1">
        <w:rPr>
          <w:rFonts w:cs="Times New Roman"/>
          <w:szCs w:val="40"/>
          <w:lang w:val="en-GB"/>
        </w:rPr>
        <w:t xml:space="preserve">), 563k particles were picked with AutoPick using </w:t>
      </w:r>
      <w:r w:rsidR="00FD11C5" w:rsidRPr="00E97FC1">
        <w:rPr>
          <w:rFonts w:cs="Times New Roman"/>
          <w:i/>
          <w:szCs w:val="40"/>
          <w:lang w:val="en-GB"/>
        </w:rPr>
        <w:t>Ec</w:t>
      </w:r>
      <w:r w:rsidR="00FD11C5" w:rsidRPr="00E97FC1">
        <w:rPr>
          <w:rFonts w:cs="Times New Roman"/>
          <w:szCs w:val="40"/>
          <w:lang w:val="en-GB"/>
        </w:rPr>
        <w:t>CI structure as a 3D template.</w:t>
      </w:r>
    </w:p>
    <w:p w14:paraId="1BA8EA12" w14:textId="0BE63A48" w:rsidR="00692E30" w:rsidRPr="00E97FC1" w:rsidRDefault="009252CD" w:rsidP="0028028E">
      <w:pPr>
        <w:ind w:firstLine="720"/>
        <w:rPr>
          <w:rFonts w:cs="Times New Roman"/>
          <w:szCs w:val="40"/>
          <w:lang w:val="en-GB"/>
        </w:rPr>
      </w:pPr>
      <w:r w:rsidRPr="009252CD">
        <w:rPr>
          <w:rFonts w:cs="Times New Roman"/>
          <w:noProof/>
          <w:szCs w:val="40"/>
        </w:rPr>
        <w:drawing>
          <wp:inline distT="0" distB="0" distL="0" distR="0" wp14:anchorId="5F2D1272" wp14:editId="1B12306F">
            <wp:extent cx="4498565" cy="5120640"/>
            <wp:effectExtent l="0" t="0" r="0" b="3810"/>
            <wp:docPr id="244" name="Picture 244" descr="C:\Users\vkravchu\Desktop\DesktopStuff\EcCxI_Paper\Figures_LATEST\Supplementary\Processing\ALL_Processing_png\Slid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descr="C:\Users\vkravchu\Desktop\DesktopStuff\EcCxI_Paper\Figures_LATEST\Supplementary\Processing\ALL_Processing_png\Slide6.PNG"/>
                    <pic:cNvPicPr>
                      <a:picLocks noChangeAspect="1" noChangeArrowheads="1"/>
                    </pic:cNvPicPr>
                  </pic:nvPicPr>
                  <pic:blipFill rotWithShape="1">
                    <a:blip r:embed="rId30">
                      <a:extLst>
                        <a:ext uri="{28A0092B-C50C-407E-A947-70E740481C1C}">
                          <a14:useLocalDpi xmlns:a14="http://schemas.microsoft.com/office/drawing/2010/main" val="0"/>
                        </a:ext>
                      </a:extLst>
                    </a:blip>
                    <a:srcRect b="21216"/>
                    <a:stretch/>
                  </pic:blipFill>
                  <pic:spPr bwMode="auto">
                    <a:xfrm>
                      <a:off x="0" y="0"/>
                      <a:ext cx="4498565" cy="5120640"/>
                    </a:xfrm>
                    <a:prstGeom prst="rect">
                      <a:avLst/>
                    </a:prstGeom>
                    <a:noFill/>
                    <a:ln>
                      <a:noFill/>
                    </a:ln>
                    <a:extLst>
                      <a:ext uri="{53640926-AAD7-44D8-BBD7-CCE9431645EC}">
                        <a14:shadowObscured xmlns:a14="http://schemas.microsoft.com/office/drawing/2010/main"/>
                      </a:ext>
                    </a:extLst>
                  </pic:spPr>
                </pic:pic>
              </a:graphicData>
            </a:graphic>
          </wp:inline>
        </w:drawing>
      </w:r>
    </w:p>
    <w:p w14:paraId="3A288071" w14:textId="3274F501" w:rsidR="00692E30" w:rsidRPr="00E97FC1" w:rsidRDefault="00692E30" w:rsidP="00692E30">
      <w:pPr>
        <w:pStyle w:val="Caption"/>
      </w:pPr>
      <w:bookmarkStart w:id="84" w:name="_Toc121834107"/>
      <w:bookmarkStart w:id="85" w:name="_Toc128136623"/>
      <w:r w:rsidRPr="00E97FC1">
        <w:t xml:space="preserve">Figure </w:t>
      </w:r>
      <w:r w:rsidR="00CC7652">
        <w:fldChar w:fldCharType="begin"/>
      </w:r>
      <w:r w:rsidR="00CC7652">
        <w:instrText xml:space="preserve"> STYLEREF 1 \s </w:instrText>
      </w:r>
      <w:r w:rsidR="00CC7652">
        <w:fldChar w:fldCharType="separate"/>
      </w:r>
      <w:r w:rsidR="00ED1816">
        <w:rPr>
          <w:noProof/>
        </w:rPr>
        <w:t>2</w:t>
      </w:r>
      <w:r w:rsidR="00CC7652">
        <w:fldChar w:fldCharType="end"/>
      </w:r>
      <w:r w:rsidR="00CC7652">
        <w:t>.</w:t>
      </w:r>
      <w:r w:rsidR="00CC7652">
        <w:fldChar w:fldCharType="begin"/>
      </w:r>
      <w:r w:rsidR="00CC7652">
        <w:instrText xml:space="preserve"> SEQ Figure \* ARABIC \s 1 </w:instrText>
      </w:r>
      <w:r w:rsidR="00CC7652">
        <w:fldChar w:fldCharType="separate"/>
      </w:r>
      <w:r w:rsidR="00ED1816">
        <w:rPr>
          <w:noProof/>
        </w:rPr>
        <w:t>6</w:t>
      </w:r>
      <w:r w:rsidR="00CC7652">
        <w:fldChar w:fldCharType="end"/>
      </w:r>
      <w:r w:rsidRPr="00E97FC1">
        <w:t xml:space="preserve"> Processing scheme of </w:t>
      </w:r>
      <w:r w:rsidRPr="00E97FC1">
        <w:rPr>
          <w:szCs w:val="40"/>
        </w:rPr>
        <w:t>DDM/LMNG_</w:t>
      </w:r>
      <w:r w:rsidR="00EA32AC" w:rsidRPr="00E97FC1">
        <w:rPr>
          <w:szCs w:val="40"/>
        </w:rPr>
        <w:t>NADH+FMN</w:t>
      </w:r>
      <w:r w:rsidRPr="00E97FC1">
        <w:t xml:space="preserve"> dataset</w:t>
      </w:r>
      <w:bookmarkEnd w:id="84"/>
      <w:bookmarkEnd w:id="85"/>
    </w:p>
    <w:p w14:paraId="3ED448F7" w14:textId="70BFD87D" w:rsidR="00692E30" w:rsidRPr="00E97FC1" w:rsidRDefault="00692E30" w:rsidP="00692E30">
      <w:pPr>
        <w:rPr>
          <w:i/>
          <w:sz w:val="20"/>
          <w:lang w:val="en-GB"/>
        </w:rPr>
      </w:pPr>
      <w:r w:rsidRPr="00E97FC1">
        <w:rPr>
          <w:i/>
          <w:sz w:val="20"/>
          <w:lang w:val="en-GB"/>
        </w:rPr>
        <w:t xml:space="preserve">Figure </w:t>
      </w:r>
      <w:r w:rsidR="00D07557" w:rsidRPr="00E97FC1">
        <w:rPr>
          <w:i/>
          <w:sz w:val="20"/>
          <w:lang w:val="en-GB"/>
        </w:rPr>
        <w:t>adapted from</w:t>
      </w:r>
      <w:r w:rsidRPr="00E97FC1">
        <w:rPr>
          <w:i/>
          <w:sz w:val="20"/>
          <w:lang w:val="en-GB"/>
        </w:rPr>
        <w:t xml:space="preserve"> </w:t>
      </w:r>
      <w:r w:rsidRPr="00E97FC1">
        <w:rPr>
          <w:i/>
          <w:sz w:val="20"/>
          <w:lang w:val="en-GB"/>
        </w:rPr>
        <w:fldChar w:fldCharType="begin" w:fldLock="1"/>
      </w:r>
      <w:r w:rsidR="00776703" w:rsidRPr="00E97FC1">
        <w:rPr>
          <w:i/>
          <w:sz w:val="20"/>
          <w:lang w:val="en-GB"/>
        </w:rPr>
        <w:instrText>ADDIN CSL_CITATION {"citationItems":[{"id":"ITEM-1","itemData":{"DOI":"10.1038/s41586-022-05199-7","ISSN":"1476-4687 (Electronic)","PMID":"36104567","abstract":"Complex I is the first enzyme in the respiratory chain, which is responsible for  energy production in mitochondria and bacteria(1). Complex I couples the transfer of two electrons from NADH to quinone and the translocation of four protons across the membrane(2), but the coupling mechanism remains contentious. Here we present cryo-electron microscopy structures of Escherichia coli complex I (EcCI) in different redox states, including catalytic turnover. EcCI exists mostly in the open state, in which the quinone cavity is exposed to the cytosol, allowing access for water molecules, which enable quinone movements. Unlike the mammalian paralogues(3), EcCI can convert to the closed state only during turnover, showing that closed and open states are genuine turnover intermediates. The open-to-closed transition results in the tightly engulfed quinone cavity being connected to the central axis of the membrane arm, a source of substrate protons. Consistently, the proportion of the closed state increases with increasing pH. We propose a detailed but straightforward and robust mechanism comprising a 'domino effect' series of proton transfers and electrostatic interactions: the forward wave ('dominoes stacking') primes the pump, and the reverse wave ('dominoes falling') results in the ejection of all pumped protons from the distal subunit NuoL. This mechanism explains why protons exit exclusively from the NuoL subunit and is supported by our mutagenesis data. We contend that this is a universal coupling mechanism of complex I and related enzymes.","author":[{"dropping-particle":"","family":"Kravchuk","given":"Vladyslav","non-dropping-particle":"","parse-names":false,"suffix":""},{"dropping-particle":"","family":"Petrova","given":"Olga","non-dropping-particle":"","parse-names":false,"suffix":""},{"dropping-particle":"","family":"Kampjut","given":"Domen","non-dropping-particle":"","parse-names":false,"suffix":""},{"dropping-particle":"","family":"Wojciechowska-Bason","given":"Anna","non-dropping-particle":"","parse-names":false,"suffix":""},{"dropping-particle":"","family":"Breese","given":"Zara","non-dropping-particle":"","parse-names":false,"suffix":""},{"dropping-particle":"","family":"Sazanov","given":"Leonid","non-dropping-particle":"","parse-names":false,"suffix":""}],"container-title":"Nature","id":"ITEM-1","issue":"7928","issued":{"date-parts":[["2022","9"]]},"language":"eng","page":"808-814","publisher-place":"England","title":"A universal coupling mechanism of respiratory complex I.","type":"article-journal","volume":"609"},"uris":["http://www.mendeley.com/documents/?uuid=24646b16-1332-4c29-8894-c41094c65033"]}],"mendeley":{"formattedCitation":"(Kravchuk &lt;i&gt;et al&lt;/i&gt;, 2022)","plainTextFormattedCitation":"(Kravchuk et al, 2022)","previouslyFormattedCitation":"(Kravchuk &lt;i&gt;et al&lt;/i&gt;, 2022)"},"properties":{"noteIndex":0},"schema":"https://github.com/citation-style-language/schema/raw/master/csl-citation.json"}</w:instrText>
      </w:r>
      <w:r w:rsidRPr="00E97FC1">
        <w:rPr>
          <w:i/>
          <w:sz w:val="20"/>
          <w:lang w:val="en-GB"/>
        </w:rPr>
        <w:fldChar w:fldCharType="separate"/>
      </w:r>
      <w:r w:rsidR="00E55873" w:rsidRPr="00E97FC1">
        <w:rPr>
          <w:noProof/>
          <w:sz w:val="20"/>
          <w:lang w:val="en-GB"/>
        </w:rPr>
        <w:t xml:space="preserve">(Kravchuk </w:t>
      </w:r>
      <w:r w:rsidR="00E55873" w:rsidRPr="00E97FC1">
        <w:rPr>
          <w:i/>
          <w:noProof/>
          <w:sz w:val="20"/>
          <w:lang w:val="en-GB"/>
        </w:rPr>
        <w:t>et al</w:t>
      </w:r>
      <w:r w:rsidR="00E55873" w:rsidRPr="00E97FC1">
        <w:rPr>
          <w:noProof/>
          <w:sz w:val="20"/>
          <w:lang w:val="en-GB"/>
        </w:rPr>
        <w:t>, 2022)</w:t>
      </w:r>
      <w:r w:rsidRPr="00E97FC1">
        <w:rPr>
          <w:i/>
          <w:sz w:val="20"/>
          <w:lang w:val="en-GB"/>
        </w:rPr>
        <w:fldChar w:fldCharType="end"/>
      </w:r>
    </w:p>
    <w:p w14:paraId="7100045E" w14:textId="77777777" w:rsidR="00692E30" w:rsidRPr="00E97FC1" w:rsidRDefault="00692E30" w:rsidP="00692E30">
      <w:pPr>
        <w:pStyle w:val="Caption"/>
        <w:rPr>
          <w:szCs w:val="40"/>
        </w:rPr>
      </w:pPr>
    </w:p>
    <w:p w14:paraId="28B485C8" w14:textId="77777777" w:rsidR="00FD11C5" w:rsidRPr="00E97FC1" w:rsidRDefault="00FD11C5" w:rsidP="0028028E">
      <w:pPr>
        <w:ind w:firstLine="720"/>
        <w:rPr>
          <w:rFonts w:cs="Times New Roman"/>
          <w:szCs w:val="40"/>
          <w:lang w:val="en-GB"/>
        </w:rPr>
      </w:pPr>
      <w:r w:rsidRPr="00E97FC1">
        <w:rPr>
          <w:rFonts w:cs="Times New Roman"/>
          <w:szCs w:val="40"/>
          <w:lang w:val="en-GB"/>
        </w:rPr>
        <w:lastRenderedPageBreak/>
        <w:t xml:space="preserve"> Particles were extracted 2X binned and cleaned using one round of 2D (498k particles remained) and one round of 3D classifications (145k particles remained). The 3D classification was done with k = 6 and T = 4 in three steps: 20 iterations with 7.5° global angular search, 5 iterations with 3.7° global angular search and 15 iterations with 1.8° local angular search. Good classes were re-extracted at the full pixel size. Next, particles were refined into a single “consensus” structure, followed by per-micrograph aberrations (two rounds), per-particle defocus (two rounds) and per-particle trajectory refinement using CtfRefine and Bayesian polishing tools. Another cleaning step was performed: particles were aligned on the PA and classified without searches with a loose mask around PA; then same was done for MA (122k particles remained). Afterwards, we performed FRC classification with k = 4 and T = 4. This resulted in three poor (low resolution) resting classes and one open class. Because of low resolution (&gt; 4 Å) and absence of differences between the other resting classes, we did not model DDM/LMNG_NADH+FMN resting class. The final density map for the open class was formed from focus-refined PA and MA maps. The PA and MA maps were aligned on the entire initial map and merged using “vop max” command in Chimera software.</w:t>
      </w:r>
    </w:p>
    <w:p w14:paraId="307D1868" w14:textId="16F92BF5" w:rsidR="00FD11C5" w:rsidRPr="00E97FC1" w:rsidRDefault="00FD11C5" w:rsidP="0028028E">
      <w:pPr>
        <w:ind w:firstLine="720"/>
        <w:rPr>
          <w:rFonts w:cs="Times New Roman"/>
          <w:szCs w:val="40"/>
          <w:lang w:val="en-GB"/>
        </w:rPr>
      </w:pPr>
      <w:r w:rsidRPr="00E97FC1">
        <w:rPr>
          <w:rFonts w:cs="Times New Roman"/>
          <w:szCs w:val="40"/>
          <w:lang w:val="en-GB"/>
        </w:rPr>
        <w:t xml:space="preserve">For DDM/LMNG_DQ </w:t>
      </w:r>
      <w:r w:rsidR="00EA32AC" w:rsidRPr="00E97FC1">
        <w:rPr>
          <w:rFonts w:cs="Times New Roman"/>
          <w:szCs w:val="40"/>
          <w:lang w:val="en-GB"/>
        </w:rPr>
        <w:t>dataset (</w:t>
      </w:r>
      <w:r w:rsidRPr="00E97FC1">
        <w:rPr>
          <w:rFonts w:cs="Times New Roman"/>
          <w:szCs w:val="40"/>
          <w:lang w:val="en-GB"/>
        </w:rPr>
        <w:t xml:space="preserve">Figure </w:t>
      </w:r>
      <w:r w:rsidR="00EA32AC" w:rsidRPr="00E97FC1">
        <w:rPr>
          <w:rFonts w:cs="Times New Roman"/>
          <w:szCs w:val="40"/>
          <w:lang w:val="en-GB"/>
        </w:rPr>
        <w:t>2.7</w:t>
      </w:r>
      <w:r w:rsidRPr="00E97FC1">
        <w:rPr>
          <w:rFonts w:cs="Times New Roman"/>
          <w:szCs w:val="40"/>
          <w:lang w:val="en-GB"/>
        </w:rPr>
        <w:t xml:space="preserve">), 825k particles were picked with RELION’s Autopick using </w:t>
      </w:r>
      <w:r w:rsidRPr="00E97FC1">
        <w:rPr>
          <w:rFonts w:cs="Times New Roman"/>
          <w:i/>
          <w:szCs w:val="40"/>
          <w:lang w:val="en-GB"/>
        </w:rPr>
        <w:t>Ec</w:t>
      </w:r>
      <w:r w:rsidR="00E80E22" w:rsidRPr="00E97FC1">
        <w:rPr>
          <w:rFonts w:cs="Times New Roman"/>
          <w:szCs w:val="40"/>
          <w:lang w:val="en-GB"/>
        </w:rPr>
        <w:t>C</w:t>
      </w:r>
      <w:r w:rsidRPr="00E97FC1">
        <w:rPr>
          <w:rFonts w:cs="Times New Roman"/>
          <w:szCs w:val="40"/>
          <w:lang w:val="en-GB"/>
        </w:rPr>
        <w:t>I structure as a 3D template. Particles were extracted 2X binned and cleaned using two rounds of 3D classifications. The first round of 3D classification was done with k = 6 and T = 4, 20 iterations with 7.5° global angular search (417k particles remained). The second round of 3D classification was done with k = 4 and T = 4 in three steps: 15 iterations with 7.5° global angular search, 10 iterations with 3.7° global angular search and 15 iterations with 1.8° local angular search (137k particles remained).  Good classes were re-extracted at the full pixel size. Next, particles were refined into a single “consensus” structure, followed by per-micrograph aberrations (two rounds), per-particle defocus (two rounds) and per-particle trajectory refinement using CtfRefine and Bayesian polishing tools. Another cleaning step was performed: particles were aligned on the PA and classified without searches with a loose mask around PA; then same was done for MD (123k particles remained). Afterwards, we performed FRC classification with k = 4 and T = 4. This resulted in three resting state classes and one open state class that differed from each other by the degree of openness. The three resting state classes were combined into one consensus resting state class. The final density map was formed from focus-refined PA and MA maps. The PA and MA maps were aligned on the most populated resting state class and merged using “vop max” command in Chimera software. The same procedure was done to obtain the final composite open state class map.</w:t>
      </w:r>
    </w:p>
    <w:p w14:paraId="4A1E23F3" w14:textId="77777777" w:rsidR="00EA32AC" w:rsidRPr="00E97FC1" w:rsidRDefault="00EA32AC" w:rsidP="0028028E">
      <w:pPr>
        <w:ind w:firstLine="720"/>
        <w:rPr>
          <w:rFonts w:cs="Times New Roman"/>
          <w:szCs w:val="40"/>
          <w:lang w:val="en-GB"/>
        </w:rPr>
      </w:pPr>
    </w:p>
    <w:p w14:paraId="0155F6C6" w14:textId="4CB41CEC" w:rsidR="00EA32AC" w:rsidRPr="00E97FC1" w:rsidRDefault="009252CD" w:rsidP="0028028E">
      <w:pPr>
        <w:ind w:firstLine="720"/>
        <w:rPr>
          <w:rFonts w:cs="Times New Roman"/>
          <w:szCs w:val="40"/>
          <w:lang w:val="en-GB"/>
        </w:rPr>
      </w:pPr>
      <w:r w:rsidRPr="009252CD">
        <w:rPr>
          <w:rFonts w:cs="Times New Roman"/>
          <w:noProof/>
          <w:szCs w:val="40"/>
        </w:rPr>
        <w:lastRenderedPageBreak/>
        <w:drawing>
          <wp:inline distT="0" distB="0" distL="0" distR="0" wp14:anchorId="204D4855" wp14:editId="6017FEE2">
            <wp:extent cx="4617762" cy="5943600"/>
            <wp:effectExtent l="0" t="0" r="0" b="0"/>
            <wp:docPr id="245" name="Picture 245" descr="C:\Users\vkravchu\Desktop\DesktopStuff\EcCxI_Paper\Figures_LATEST\Supplementary\Processing\ALL_Processing_png\Slid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descr="C:\Users\vkravchu\Desktop\DesktopStuff\EcCxI_Paper\Figures_LATEST\Supplementary\Processing\ALL_Processing_png\Slide7.PNG"/>
                    <pic:cNvPicPr>
                      <a:picLocks noChangeAspect="1" noChangeArrowheads="1"/>
                    </pic:cNvPicPr>
                  </pic:nvPicPr>
                  <pic:blipFill rotWithShape="1">
                    <a:blip r:embed="rId31">
                      <a:extLst>
                        <a:ext uri="{28A0092B-C50C-407E-A947-70E740481C1C}">
                          <a14:useLocalDpi xmlns:a14="http://schemas.microsoft.com/office/drawing/2010/main" val="0"/>
                        </a:ext>
                      </a:extLst>
                    </a:blip>
                    <a:srcRect b="10915"/>
                    <a:stretch/>
                  </pic:blipFill>
                  <pic:spPr bwMode="auto">
                    <a:xfrm>
                      <a:off x="0" y="0"/>
                      <a:ext cx="4617762" cy="5943600"/>
                    </a:xfrm>
                    <a:prstGeom prst="rect">
                      <a:avLst/>
                    </a:prstGeom>
                    <a:noFill/>
                    <a:ln>
                      <a:noFill/>
                    </a:ln>
                    <a:extLst>
                      <a:ext uri="{53640926-AAD7-44D8-BBD7-CCE9431645EC}">
                        <a14:shadowObscured xmlns:a14="http://schemas.microsoft.com/office/drawing/2010/main"/>
                      </a:ext>
                    </a:extLst>
                  </pic:spPr>
                </pic:pic>
              </a:graphicData>
            </a:graphic>
          </wp:inline>
        </w:drawing>
      </w:r>
    </w:p>
    <w:p w14:paraId="59E8C712" w14:textId="046951FA" w:rsidR="00EA32AC" w:rsidRPr="00E97FC1" w:rsidRDefault="00EA32AC" w:rsidP="00EA32AC">
      <w:pPr>
        <w:pStyle w:val="Caption"/>
      </w:pPr>
      <w:bookmarkStart w:id="86" w:name="_Toc121834108"/>
      <w:bookmarkStart w:id="87" w:name="_Toc128136624"/>
      <w:r w:rsidRPr="00E97FC1">
        <w:t xml:space="preserve">Figure </w:t>
      </w:r>
      <w:r w:rsidR="00CC7652">
        <w:fldChar w:fldCharType="begin"/>
      </w:r>
      <w:r w:rsidR="00CC7652">
        <w:instrText xml:space="preserve"> STYLEREF 1 \s </w:instrText>
      </w:r>
      <w:r w:rsidR="00CC7652">
        <w:fldChar w:fldCharType="separate"/>
      </w:r>
      <w:r w:rsidR="00ED1816">
        <w:rPr>
          <w:noProof/>
        </w:rPr>
        <w:t>2</w:t>
      </w:r>
      <w:r w:rsidR="00CC7652">
        <w:fldChar w:fldCharType="end"/>
      </w:r>
      <w:r w:rsidR="00CC7652">
        <w:t>.</w:t>
      </w:r>
      <w:r w:rsidR="00CC7652">
        <w:fldChar w:fldCharType="begin"/>
      </w:r>
      <w:r w:rsidR="00CC7652">
        <w:instrText xml:space="preserve"> SEQ Figure \* ARABIC \s 1 </w:instrText>
      </w:r>
      <w:r w:rsidR="00CC7652">
        <w:fldChar w:fldCharType="separate"/>
      </w:r>
      <w:r w:rsidR="00ED1816">
        <w:rPr>
          <w:noProof/>
        </w:rPr>
        <w:t>7</w:t>
      </w:r>
      <w:r w:rsidR="00CC7652">
        <w:fldChar w:fldCharType="end"/>
      </w:r>
      <w:r w:rsidRPr="00E97FC1">
        <w:t xml:space="preserve"> Processing scheme of </w:t>
      </w:r>
      <w:r w:rsidRPr="00E97FC1">
        <w:rPr>
          <w:szCs w:val="40"/>
        </w:rPr>
        <w:t>DDM/LMNG_DQ</w:t>
      </w:r>
      <w:r w:rsidRPr="00E97FC1">
        <w:t xml:space="preserve"> dataset</w:t>
      </w:r>
      <w:bookmarkEnd w:id="86"/>
      <w:bookmarkEnd w:id="87"/>
    </w:p>
    <w:p w14:paraId="5229DFC5" w14:textId="7C9CDEBE" w:rsidR="00EA32AC" w:rsidRPr="00E97FC1" w:rsidRDefault="00EA32AC" w:rsidP="00EA32AC">
      <w:pPr>
        <w:rPr>
          <w:i/>
          <w:sz w:val="20"/>
          <w:lang w:val="en-GB"/>
        </w:rPr>
      </w:pPr>
      <w:r w:rsidRPr="00E97FC1">
        <w:rPr>
          <w:i/>
          <w:sz w:val="20"/>
          <w:lang w:val="en-GB"/>
        </w:rPr>
        <w:t xml:space="preserve">Figure </w:t>
      </w:r>
      <w:r w:rsidR="00D07557" w:rsidRPr="00E97FC1">
        <w:rPr>
          <w:i/>
          <w:sz w:val="20"/>
          <w:lang w:val="en-GB"/>
        </w:rPr>
        <w:t>adapted from</w:t>
      </w:r>
      <w:r w:rsidRPr="00E97FC1">
        <w:rPr>
          <w:i/>
          <w:sz w:val="20"/>
          <w:lang w:val="en-GB"/>
        </w:rPr>
        <w:t xml:space="preserve"> </w:t>
      </w:r>
      <w:r w:rsidRPr="00E97FC1">
        <w:rPr>
          <w:i/>
          <w:sz w:val="20"/>
          <w:lang w:val="en-GB"/>
        </w:rPr>
        <w:fldChar w:fldCharType="begin" w:fldLock="1"/>
      </w:r>
      <w:r w:rsidR="00776703" w:rsidRPr="00E97FC1">
        <w:rPr>
          <w:i/>
          <w:sz w:val="20"/>
          <w:lang w:val="en-GB"/>
        </w:rPr>
        <w:instrText>ADDIN CSL_CITATION {"citationItems":[{"id":"ITEM-1","itemData":{"DOI":"10.1038/s41586-022-05199-7","ISSN":"1476-4687 (Electronic)","PMID":"36104567","abstract":"Complex I is the first enzyme in the respiratory chain, which is responsible for  energy production in mitochondria and bacteria(1). Complex I couples the transfer of two electrons from NADH to quinone and the translocation of four protons across the membrane(2), but the coupling mechanism remains contentious. Here we present cryo-electron microscopy structures of Escherichia coli complex I (EcCI) in different redox states, including catalytic turnover. EcCI exists mostly in the open state, in which the quinone cavity is exposed to the cytosol, allowing access for water molecules, which enable quinone movements. Unlike the mammalian paralogues(3), EcCI can convert to the closed state only during turnover, showing that closed and open states are genuine turnover intermediates. The open-to-closed transition results in the tightly engulfed quinone cavity being connected to the central axis of the membrane arm, a source of substrate protons. Consistently, the proportion of the closed state increases with increasing pH. We propose a detailed but straightforward and robust mechanism comprising a 'domino effect' series of proton transfers and electrostatic interactions: the forward wave ('dominoes stacking') primes the pump, and the reverse wave ('dominoes falling') results in the ejection of all pumped protons from the distal subunit NuoL. This mechanism explains why protons exit exclusively from the NuoL subunit and is supported by our mutagenesis data. We contend that this is a universal coupling mechanism of complex I and related enzymes.","author":[{"dropping-particle":"","family":"Kravchuk","given":"Vladyslav","non-dropping-particle":"","parse-names":false,"suffix":""},{"dropping-particle":"","family":"Petrova","given":"Olga","non-dropping-particle":"","parse-names":false,"suffix":""},{"dropping-particle":"","family":"Kampjut","given":"Domen","non-dropping-particle":"","parse-names":false,"suffix":""},{"dropping-particle":"","family":"Wojciechowska-Bason","given":"Anna","non-dropping-particle":"","parse-names":false,"suffix":""},{"dropping-particle":"","family":"Breese","given":"Zara","non-dropping-particle":"","parse-names":false,"suffix":""},{"dropping-particle":"","family":"Sazanov","given":"Leonid","non-dropping-particle":"","parse-names":false,"suffix":""}],"container-title":"Nature","id":"ITEM-1","issue":"7928","issued":{"date-parts":[["2022","9"]]},"language":"eng","page":"808-814","publisher-place":"England","title":"A universal coupling mechanism of respiratory complex I.","type":"article-journal","volume":"609"},"uris":["http://www.mendeley.com/documents/?uuid=24646b16-1332-4c29-8894-c41094c65033"]}],"mendeley":{"formattedCitation":"(Kravchuk &lt;i&gt;et al&lt;/i&gt;, 2022)","plainTextFormattedCitation":"(Kravchuk et al, 2022)","previouslyFormattedCitation":"(Kravchuk &lt;i&gt;et al&lt;/i&gt;, 2022)"},"properties":{"noteIndex":0},"schema":"https://github.com/citation-style-language/schema/raw/master/csl-citation.json"}</w:instrText>
      </w:r>
      <w:r w:rsidRPr="00E97FC1">
        <w:rPr>
          <w:i/>
          <w:sz w:val="20"/>
          <w:lang w:val="en-GB"/>
        </w:rPr>
        <w:fldChar w:fldCharType="separate"/>
      </w:r>
      <w:r w:rsidR="00E55873" w:rsidRPr="00E97FC1">
        <w:rPr>
          <w:noProof/>
          <w:sz w:val="20"/>
          <w:lang w:val="en-GB"/>
        </w:rPr>
        <w:t xml:space="preserve">(Kravchuk </w:t>
      </w:r>
      <w:r w:rsidR="00E55873" w:rsidRPr="00E97FC1">
        <w:rPr>
          <w:i/>
          <w:noProof/>
          <w:sz w:val="20"/>
          <w:lang w:val="en-GB"/>
        </w:rPr>
        <w:t>et al</w:t>
      </w:r>
      <w:r w:rsidR="00E55873" w:rsidRPr="00E97FC1">
        <w:rPr>
          <w:noProof/>
          <w:sz w:val="20"/>
          <w:lang w:val="en-GB"/>
        </w:rPr>
        <w:t>, 2022)</w:t>
      </w:r>
      <w:r w:rsidRPr="00E97FC1">
        <w:rPr>
          <w:i/>
          <w:sz w:val="20"/>
          <w:lang w:val="en-GB"/>
        </w:rPr>
        <w:fldChar w:fldCharType="end"/>
      </w:r>
    </w:p>
    <w:p w14:paraId="2B7A72E4" w14:textId="77777777" w:rsidR="00EA32AC" w:rsidRPr="00E97FC1" w:rsidRDefault="00FD11C5" w:rsidP="0028028E">
      <w:pPr>
        <w:ind w:firstLine="720"/>
        <w:rPr>
          <w:rFonts w:cs="Times New Roman"/>
          <w:szCs w:val="40"/>
          <w:lang w:val="en-GB"/>
        </w:rPr>
      </w:pPr>
      <w:r w:rsidRPr="00E97FC1">
        <w:rPr>
          <w:rFonts w:cs="Times New Roman"/>
          <w:szCs w:val="40"/>
          <w:lang w:val="en-GB"/>
        </w:rPr>
        <w:t>For DDM/LMNG_Turnover_pH8 dataset</w:t>
      </w:r>
      <w:r w:rsidR="00EA32AC" w:rsidRPr="00E97FC1">
        <w:rPr>
          <w:rFonts w:cs="Times New Roman"/>
          <w:szCs w:val="40"/>
          <w:lang w:val="en-GB"/>
        </w:rPr>
        <w:t xml:space="preserve"> (</w:t>
      </w:r>
      <w:r w:rsidRPr="00E97FC1">
        <w:rPr>
          <w:rFonts w:cs="Times New Roman"/>
          <w:szCs w:val="40"/>
          <w:lang w:val="en-GB"/>
        </w:rPr>
        <w:t xml:space="preserve">Figure </w:t>
      </w:r>
      <w:r w:rsidR="00EA32AC" w:rsidRPr="00E97FC1">
        <w:rPr>
          <w:rFonts w:cs="Times New Roman"/>
          <w:szCs w:val="40"/>
          <w:lang w:val="en-GB"/>
        </w:rPr>
        <w:t>2.8</w:t>
      </w:r>
      <w:r w:rsidRPr="00E97FC1">
        <w:rPr>
          <w:rFonts w:cs="Times New Roman"/>
          <w:szCs w:val="40"/>
          <w:lang w:val="en-GB"/>
        </w:rPr>
        <w:t xml:space="preserve">), 1.65 million particles were picked with RELION’s Autopick using </w:t>
      </w:r>
      <w:r w:rsidRPr="00E97FC1">
        <w:rPr>
          <w:rFonts w:cs="Times New Roman"/>
          <w:i/>
          <w:szCs w:val="40"/>
          <w:lang w:val="en-GB"/>
        </w:rPr>
        <w:t>Ec</w:t>
      </w:r>
      <w:r w:rsidRPr="00E97FC1">
        <w:rPr>
          <w:rFonts w:cs="Times New Roman"/>
          <w:szCs w:val="40"/>
          <w:lang w:val="en-GB"/>
        </w:rPr>
        <w:t xml:space="preserve">CI structure as a 3D template. Particles were extracted 2X binned and cleaned using one round of 2D (870k particles remained) and one round of 3D classifications (325k particles remained). The 3D classification was done with k = 4 and T = 4 in three steps: 20 iterations with 7.5° global angular search, 10 iterations with 3.7° global angular search and 10 iterations with 1.8° local angular search. Good classes were re-extracted at the full pixel size. Next, particles were refined into a single “consensus” structure, followed by per-micrograph aberrations (two rounds), per-particle defocus (two rounds) and per-particle trajectory refinement using CtfRefine and Bayesian polishing tools. </w:t>
      </w:r>
      <w:r w:rsidRPr="00E97FC1">
        <w:rPr>
          <w:rFonts w:cs="Times New Roman"/>
          <w:szCs w:val="40"/>
          <w:lang w:val="en-GB"/>
        </w:rPr>
        <w:lastRenderedPageBreak/>
        <w:t>Afterwards, we performed FRC classification with k = 6 and T = 10. This resulted in two resting classes, two open classes, one closed and one junk class. The two resting classes were combined into one consensus resting class.</w:t>
      </w:r>
    </w:p>
    <w:p w14:paraId="13966501" w14:textId="2FD544FB" w:rsidR="00EA32AC" w:rsidRPr="00E97FC1" w:rsidRDefault="009252CD" w:rsidP="0028028E">
      <w:pPr>
        <w:ind w:firstLine="720"/>
        <w:rPr>
          <w:rFonts w:cs="Times New Roman"/>
          <w:szCs w:val="40"/>
          <w:lang w:val="en-GB"/>
        </w:rPr>
      </w:pPr>
      <w:r w:rsidRPr="009252CD">
        <w:rPr>
          <w:rFonts w:cs="Times New Roman"/>
          <w:noProof/>
          <w:szCs w:val="40"/>
        </w:rPr>
        <w:drawing>
          <wp:inline distT="0" distB="0" distL="0" distR="0" wp14:anchorId="5139B4CB" wp14:editId="4D1B5BEE">
            <wp:extent cx="4430187" cy="6400800"/>
            <wp:effectExtent l="0" t="0" r="8890" b="0"/>
            <wp:docPr id="246" name="Picture 246" descr="C:\Users\vkravchu\Desktop\DesktopStuff\EcCxI_Paper\Figures_LATEST\Supplementary\Processing\ALL_Processing_png\Slid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descr="C:\Users\vkravchu\Desktop\DesktopStuff\EcCxI_Paper\Figures_LATEST\Supplementary\Processing\ALL_Processing_png\Slide8.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30187" cy="6400800"/>
                    </a:xfrm>
                    <a:prstGeom prst="rect">
                      <a:avLst/>
                    </a:prstGeom>
                    <a:noFill/>
                    <a:ln>
                      <a:noFill/>
                    </a:ln>
                  </pic:spPr>
                </pic:pic>
              </a:graphicData>
            </a:graphic>
          </wp:inline>
        </w:drawing>
      </w:r>
    </w:p>
    <w:p w14:paraId="0BAD987B" w14:textId="7029BAE8" w:rsidR="00EA32AC" w:rsidRPr="00E97FC1" w:rsidRDefault="00EA32AC" w:rsidP="00EA32AC">
      <w:pPr>
        <w:pStyle w:val="Caption"/>
      </w:pPr>
      <w:bookmarkStart w:id="88" w:name="_Toc121834109"/>
      <w:bookmarkStart w:id="89" w:name="_Toc128136625"/>
      <w:r w:rsidRPr="00E97FC1">
        <w:t xml:space="preserve">Figure </w:t>
      </w:r>
      <w:r w:rsidR="00CC7652">
        <w:fldChar w:fldCharType="begin"/>
      </w:r>
      <w:r w:rsidR="00CC7652">
        <w:instrText xml:space="preserve"> STYLEREF 1 \s </w:instrText>
      </w:r>
      <w:r w:rsidR="00CC7652">
        <w:fldChar w:fldCharType="separate"/>
      </w:r>
      <w:r w:rsidR="00ED1816">
        <w:rPr>
          <w:noProof/>
        </w:rPr>
        <w:t>2</w:t>
      </w:r>
      <w:r w:rsidR="00CC7652">
        <w:fldChar w:fldCharType="end"/>
      </w:r>
      <w:r w:rsidR="00CC7652">
        <w:t>.</w:t>
      </w:r>
      <w:r w:rsidR="00CC7652">
        <w:fldChar w:fldCharType="begin"/>
      </w:r>
      <w:r w:rsidR="00CC7652">
        <w:instrText xml:space="preserve"> SEQ Figure \* ARABIC \s 1 </w:instrText>
      </w:r>
      <w:r w:rsidR="00CC7652">
        <w:fldChar w:fldCharType="separate"/>
      </w:r>
      <w:r w:rsidR="00ED1816">
        <w:rPr>
          <w:noProof/>
        </w:rPr>
        <w:t>8</w:t>
      </w:r>
      <w:r w:rsidR="00CC7652">
        <w:fldChar w:fldCharType="end"/>
      </w:r>
      <w:r w:rsidRPr="00E97FC1">
        <w:t xml:space="preserve"> Processing scheme of </w:t>
      </w:r>
      <w:r w:rsidRPr="00E97FC1">
        <w:rPr>
          <w:szCs w:val="40"/>
        </w:rPr>
        <w:t>DDM/LMNG_Turnover_pH8</w:t>
      </w:r>
      <w:r w:rsidRPr="00E97FC1">
        <w:t xml:space="preserve"> dataset</w:t>
      </w:r>
      <w:bookmarkEnd w:id="88"/>
      <w:bookmarkEnd w:id="89"/>
    </w:p>
    <w:p w14:paraId="1DBF543E" w14:textId="6BF5D154" w:rsidR="00EA32AC" w:rsidRPr="00E97FC1" w:rsidRDefault="00EA32AC" w:rsidP="00EA32AC">
      <w:pPr>
        <w:rPr>
          <w:i/>
          <w:sz w:val="20"/>
          <w:lang w:val="en-GB"/>
        </w:rPr>
      </w:pPr>
      <w:r w:rsidRPr="00E97FC1">
        <w:rPr>
          <w:i/>
          <w:sz w:val="20"/>
          <w:lang w:val="en-GB"/>
        </w:rPr>
        <w:t xml:space="preserve">Figure </w:t>
      </w:r>
      <w:r w:rsidR="00D07557" w:rsidRPr="00E97FC1">
        <w:rPr>
          <w:i/>
          <w:sz w:val="20"/>
          <w:lang w:val="en-GB"/>
        </w:rPr>
        <w:t>adapted from</w:t>
      </w:r>
      <w:r w:rsidRPr="00E97FC1">
        <w:rPr>
          <w:i/>
          <w:sz w:val="20"/>
          <w:lang w:val="en-GB"/>
        </w:rPr>
        <w:t xml:space="preserve"> </w:t>
      </w:r>
      <w:r w:rsidRPr="00E97FC1">
        <w:rPr>
          <w:i/>
          <w:sz w:val="20"/>
          <w:lang w:val="en-GB"/>
        </w:rPr>
        <w:fldChar w:fldCharType="begin" w:fldLock="1"/>
      </w:r>
      <w:r w:rsidR="00776703" w:rsidRPr="00E97FC1">
        <w:rPr>
          <w:i/>
          <w:sz w:val="20"/>
          <w:lang w:val="en-GB"/>
        </w:rPr>
        <w:instrText>ADDIN CSL_CITATION {"citationItems":[{"id":"ITEM-1","itemData":{"DOI":"10.1038/s41586-022-05199-7","ISSN":"1476-4687 (Electronic)","PMID":"36104567","abstract":"Complex I is the first enzyme in the respiratory chain, which is responsible for  energy production in mitochondria and bacteria(1). Complex I couples the transfer of two electrons from NADH to quinone and the translocation of four protons across the membrane(2), but the coupling mechanism remains contentious. Here we present cryo-electron microscopy structures of Escherichia coli complex I (EcCI) in different redox states, including catalytic turnover. EcCI exists mostly in the open state, in which the quinone cavity is exposed to the cytosol, allowing access for water molecules, which enable quinone movements. Unlike the mammalian paralogues(3), EcCI can convert to the closed state only during turnover, showing that closed and open states are genuine turnover intermediates. The open-to-closed transition results in the tightly engulfed quinone cavity being connected to the central axis of the membrane arm, a source of substrate protons. Consistently, the proportion of the closed state increases with increasing pH. We propose a detailed but straightforward and robust mechanism comprising a 'domino effect' series of proton transfers and electrostatic interactions: the forward wave ('dominoes stacking') primes the pump, and the reverse wave ('dominoes falling') results in the ejection of all pumped protons from the distal subunit NuoL. This mechanism explains why protons exit exclusively from the NuoL subunit and is supported by our mutagenesis data. We contend that this is a universal coupling mechanism of complex I and related enzymes.","author":[{"dropping-particle":"","family":"Kravchuk","given":"Vladyslav","non-dropping-particle":"","parse-names":false,"suffix":""},{"dropping-particle":"","family":"Petrova","given":"Olga","non-dropping-particle":"","parse-names":false,"suffix":""},{"dropping-particle":"","family":"Kampjut","given":"Domen","non-dropping-particle":"","parse-names":false,"suffix":""},{"dropping-particle":"","family":"Wojciechowska-Bason","given":"Anna","non-dropping-particle":"","parse-names":false,"suffix":""},{"dropping-particle":"","family":"Breese","given":"Zara","non-dropping-particle":"","parse-names":false,"suffix":""},{"dropping-particle":"","family":"Sazanov","given":"Leonid","non-dropping-particle":"","parse-names":false,"suffix":""}],"container-title":"Nature","id":"ITEM-1","issue":"7928","issued":{"date-parts":[["2022","9"]]},"language":"eng","page":"808-814","publisher-place":"England","title":"A universal coupling mechanism of respiratory complex I.","type":"article-journal","volume":"609"},"uris":["http://www.mendeley.com/documents/?uuid=24646b16-1332-4c29-8894-c41094c65033"]}],"mendeley":{"formattedCitation":"(Kravchuk &lt;i&gt;et al&lt;/i&gt;, 2022)","plainTextFormattedCitation":"(Kravchuk et al, 2022)","previouslyFormattedCitation":"(Kravchuk &lt;i&gt;et al&lt;/i&gt;, 2022)"},"properties":{"noteIndex":0},"schema":"https://github.com/citation-style-language/schema/raw/master/csl-citation.json"}</w:instrText>
      </w:r>
      <w:r w:rsidRPr="00E97FC1">
        <w:rPr>
          <w:i/>
          <w:sz w:val="20"/>
          <w:lang w:val="en-GB"/>
        </w:rPr>
        <w:fldChar w:fldCharType="separate"/>
      </w:r>
      <w:r w:rsidR="00E55873" w:rsidRPr="00E97FC1">
        <w:rPr>
          <w:noProof/>
          <w:sz w:val="20"/>
          <w:lang w:val="en-GB"/>
        </w:rPr>
        <w:t xml:space="preserve">(Kravchuk </w:t>
      </w:r>
      <w:r w:rsidR="00E55873" w:rsidRPr="00E97FC1">
        <w:rPr>
          <w:i/>
          <w:noProof/>
          <w:sz w:val="20"/>
          <w:lang w:val="en-GB"/>
        </w:rPr>
        <w:t>et al</w:t>
      </w:r>
      <w:r w:rsidR="00E55873" w:rsidRPr="00E97FC1">
        <w:rPr>
          <w:noProof/>
          <w:sz w:val="20"/>
          <w:lang w:val="en-GB"/>
        </w:rPr>
        <w:t>, 2022)</w:t>
      </w:r>
      <w:r w:rsidRPr="00E97FC1">
        <w:rPr>
          <w:i/>
          <w:sz w:val="20"/>
          <w:lang w:val="en-GB"/>
        </w:rPr>
        <w:fldChar w:fldCharType="end"/>
      </w:r>
    </w:p>
    <w:p w14:paraId="500F92C8" w14:textId="77777777" w:rsidR="00EA32AC" w:rsidRPr="00E97FC1" w:rsidRDefault="00EA32AC" w:rsidP="00EA32AC">
      <w:pPr>
        <w:pStyle w:val="Caption"/>
        <w:rPr>
          <w:szCs w:val="40"/>
        </w:rPr>
      </w:pPr>
    </w:p>
    <w:p w14:paraId="007EEEB5" w14:textId="77777777" w:rsidR="00FD11C5" w:rsidRPr="00E97FC1" w:rsidRDefault="00FD11C5" w:rsidP="0028028E">
      <w:pPr>
        <w:ind w:firstLine="720"/>
        <w:rPr>
          <w:rFonts w:cs="Times New Roman"/>
          <w:szCs w:val="40"/>
          <w:lang w:val="en-GB"/>
        </w:rPr>
      </w:pPr>
      <w:r w:rsidRPr="00E97FC1">
        <w:rPr>
          <w:rFonts w:cs="Times New Roman"/>
          <w:szCs w:val="40"/>
          <w:lang w:val="en-GB"/>
        </w:rPr>
        <w:t xml:space="preserve">The final density map was formed from focus-refined PA and MA maps. The PA and MA maps were aligned on the most populated resting class and merged using “vop max” command in Chimera software. The particles from the two open and the closed classes were </w:t>
      </w:r>
      <w:r w:rsidRPr="00E97FC1">
        <w:rPr>
          <w:rFonts w:cs="Times New Roman"/>
          <w:szCs w:val="40"/>
          <w:lang w:val="en-GB"/>
        </w:rPr>
        <w:lastRenderedPageBreak/>
        <w:t xml:space="preserve">joined and FRC classified with k = 6 and T = 64. This resulted in three open, one closed and two open-ready classes. Same type classes were combined into consensus classes. The final density map for each class was formed from focus-refined PA and MA maps filtered by local resolution. The PA and MD maps were aligned on the most populated class and merged using “vop max” command in chimera software. </w:t>
      </w:r>
    </w:p>
    <w:p w14:paraId="20984662" w14:textId="77777777" w:rsidR="00F07C4D" w:rsidRPr="00E97FC1" w:rsidRDefault="00FD11C5" w:rsidP="0028028E">
      <w:pPr>
        <w:ind w:firstLine="720"/>
        <w:rPr>
          <w:rFonts w:cs="Times New Roman"/>
          <w:szCs w:val="40"/>
          <w:lang w:val="en-GB"/>
        </w:rPr>
      </w:pPr>
      <w:r w:rsidRPr="00E97FC1">
        <w:rPr>
          <w:rFonts w:cs="Times New Roman"/>
          <w:szCs w:val="40"/>
          <w:lang w:val="en-GB"/>
        </w:rPr>
        <w:t>For LMNG_Apo dataset</w:t>
      </w:r>
      <w:r w:rsidR="00F07C4D" w:rsidRPr="00E97FC1">
        <w:rPr>
          <w:rFonts w:cs="Times New Roman"/>
          <w:szCs w:val="40"/>
          <w:lang w:val="en-GB"/>
        </w:rPr>
        <w:t xml:space="preserve"> (Figure 2.9</w:t>
      </w:r>
      <w:r w:rsidRPr="00E97FC1">
        <w:rPr>
          <w:rFonts w:cs="Times New Roman"/>
          <w:szCs w:val="40"/>
          <w:lang w:val="en-GB"/>
        </w:rPr>
        <w:t xml:space="preserve">), ~1 million particles were picked with RELION’s Autopick using </w:t>
      </w:r>
      <w:r w:rsidRPr="00E97FC1">
        <w:rPr>
          <w:rFonts w:cs="Times New Roman"/>
          <w:i/>
          <w:szCs w:val="40"/>
          <w:lang w:val="en-GB"/>
        </w:rPr>
        <w:t>Ec</w:t>
      </w:r>
      <w:r w:rsidRPr="00E97FC1">
        <w:rPr>
          <w:rFonts w:cs="Times New Roman"/>
          <w:szCs w:val="40"/>
          <w:lang w:val="en-GB"/>
        </w:rPr>
        <w:t xml:space="preserve">CI structure as a 3D template. </w:t>
      </w:r>
    </w:p>
    <w:p w14:paraId="0CD0F306" w14:textId="290CAA38" w:rsidR="00F07C4D" w:rsidRPr="00E97FC1" w:rsidRDefault="009252CD" w:rsidP="0028028E">
      <w:pPr>
        <w:ind w:firstLine="720"/>
        <w:rPr>
          <w:rFonts w:cs="Times New Roman"/>
          <w:szCs w:val="40"/>
          <w:lang w:val="en-GB"/>
        </w:rPr>
      </w:pPr>
      <w:r w:rsidRPr="009252CD">
        <w:rPr>
          <w:rFonts w:cs="Times New Roman"/>
          <w:noProof/>
          <w:szCs w:val="40"/>
        </w:rPr>
        <w:drawing>
          <wp:inline distT="0" distB="0" distL="0" distR="0" wp14:anchorId="22896EA0" wp14:editId="393DDF0A">
            <wp:extent cx="4920017" cy="6217920"/>
            <wp:effectExtent l="0" t="0" r="0" b="0"/>
            <wp:docPr id="247" name="Picture 247" descr="C:\Users\vkravchu\Desktop\DesktopStuff\EcCxI_Paper\Figures_LATEST\Supplementary\Processing\ALL_Processing_png\Slid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descr="C:\Users\vkravchu\Desktop\DesktopStuff\EcCxI_Paper\Figures_LATEST\Supplementary\Processing\ALL_Processing_png\Slide9.PNG"/>
                    <pic:cNvPicPr>
                      <a:picLocks noChangeAspect="1" noChangeArrowheads="1"/>
                    </pic:cNvPicPr>
                  </pic:nvPicPr>
                  <pic:blipFill rotWithShape="1">
                    <a:blip r:embed="rId33">
                      <a:extLst>
                        <a:ext uri="{28A0092B-C50C-407E-A947-70E740481C1C}">
                          <a14:useLocalDpi xmlns:a14="http://schemas.microsoft.com/office/drawing/2010/main" val="0"/>
                        </a:ext>
                      </a:extLst>
                    </a:blip>
                    <a:srcRect b="12528"/>
                    <a:stretch/>
                  </pic:blipFill>
                  <pic:spPr bwMode="auto">
                    <a:xfrm>
                      <a:off x="0" y="0"/>
                      <a:ext cx="4920017" cy="6217920"/>
                    </a:xfrm>
                    <a:prstGeom prst="rect">
                      <a:avLst/>
                    </a:prstGeom>
                    <a:noFill/>
                    <a:ln>
                      <a:noFill/>
                    </a:ln>
                    <a:extLst>
                      <a:ext uri="{53640926-AAD7-44D8-BBD7-CCE9431645EC}">
                        <a14:shadowObscured xmlns:a14="http://schemas.microsoft.com/office/drawing/2010/main"/>
                      </a:ext>
                    </a:extLst>
                  </pic:spPr>
                </pic:pic>
              </a:graphicData>
            </a:graphic>
          </wp:inline>
        </w:drawing>
      </w:r>
    </w:p>
    <w:p w14:paraId="4707EEDB" w14:textId="2E70241F" w:rsidR="00F07C4D" w:rsidRPr="00E97FC1" w:rsidRDefault="00F07C4D" w:rsidP="00F07C4D">
      <w:pPr>
        <w:pStyle w:val="Caption"/>
      </w:pPr>
      <w:bookmarkStart w:id="90" w:name="_Toc121834110"/>
      <w:bookmarkStart w:id="91" w:name="_Toc128136626"/>
      <w:r w:rsidRPr="00E97FC1">
        <w:t xml:space="preserve">Figure </w:t>
      </w:r>
      <w:r w:rsidR="00CC7652">
        <w:fldChar w:fldCharType="begin"/>
      </w:r>
      <w:r w:rsidR="00CC7652">
        <w:instrText xml:space="preserve"> STYLEREF 1 \s </w:instrText>
      </w:r>
      <w:r w:rsidR="00CC7652">
        <w:fldChar w:fldCharType="separate"/>
      </w:r>
      <w:r w:rsidR="00ED1816">
        <w:rPr>
          <w:noProof/>
        </w:rPr>
        <w:t>2</w:t>
      </w:r>
      <w:r w:rsidR="00CC7652">
        <w:fldChar w:fldCharType="end"/>
      </w:r>
      <w:r w:rsidR="00CC7652">
        <w:t>.</w:t>
      </w:r>
      <w:r w:rsidR="00CC7652">
        <w:fldChar w:fldCharType="begin"/>
      </w:r>
      <w:r w:rsidR="00CC7652">
        <w:instrText xml:space="preserve"> SEQ Figure \* ARABIC \s 1 </w:instrText>
      </w:r>
      <w:r w:rsidR="00CC7652">
        <w:fldChar w:fldCharType="separate"/>
      </w:r>
      <w:r w:rsidR="00ED1816">
        <w:rPr>
          <w:noProof/>
        </w:rPr>
        <w:t>9</w:t>
      </w:r>
      <w:r w:rsidR="00CC7652">
        <w:fldChar w:fldCharType="end"/>
      </w:r>
      <w:r w:rsidRPr="00E97FC1">
        <w:t xml:space="preserve"> Processing scheme of </w:t>
      </w:r>
      <w:r w:rsidRPr="00E97FC1">
        <w:rPr>
          <w:szCs w:val="40"/>
        </w:rPr>
        <w:t>LMNG_APO</w:t>
      </w:r>
      <w:r w:rsidRPr="00E97FC1">
        <w:t xml:space="preserve"> dataset</w:t>
      </w:r>
      <w:bookmarkEnd w:id="90"/>
      <w:bookmarkEnd w:id="91"/>
    </w:p>
    <w:p w14:paraId="16631633" w14:textId="69D5CBE7" w:rsidR="00F07C4D" w:rsidRPr="00E97FC1" w:rsidRDefault="00F07C4D" w:rsidP="00F07C4D">
      <w:pPr>
        <w:rPr>
          <w:i/>
          <w:sz w:val="20"/>
          <w:lang w:val="en-GB"/>
        </w:rPr>
      </w:pPr>
      <w:r w:rsidRPr="00E97FC1">
        <w:rPr>
          <w:i/>
          <w:sz w:val="20"/>
          <w:lang w:val="en-GB"/>
        </w:rPr>
        <w:t xml:space="preserve">Figure </w:t>
      </w:r>
      <w:r w:rsidR="00D07557" w:rsidRPr="00E97FC1">
        <w:rPr>
          <w:i/>
          <w:sz w:val="20"/>
          <w:lang w:val="en-GB"/>
        </w:rPr>
        <w:t>adapted from</w:t>
      </w:r>
      <w:r w:rsidRPr="00E97FC1">
        <w:rPr>
          <w:i/>
          <w:sz w:val="20"/>
          <w:lang w:val="en-GB"/>
        </w:rPr>
        <w:t xml:space="preserve"> </w:t>
      </w:r>
      <w:r w:rsidRPr="00E97FC1">
        <w:rPr>
          <w:i/>
          <w:sz w:val="20"/>
          <w:lang w:val="en-GB"/>
        </w:rPr>
        <w:fldChar w:fldCharType="begin" w:fldLock="1"/>
      </w:r>
      <w:r w:rsidR="00776703" w:rsidRPr="00E97FC1">
        <w:rPr>
          <w:i/>
          <w:sz w:val="20"/>
          <w:lang w:val="en-GB"/>
        </w:rPr>
        <w:instrText>ADDIN CSL_CITATION {"citationItems":[{"id":"ITEM-1","itemData":{"DOI":"10.1038/s41586-022-05199-7","ISSN":"1476-4687 (Electronic)","PMID":"36104567","abstract":"Complex I is the first enzyme in the respiratory chain, which is responsible for  energy production in mitochondria and bacteria(1). Complex I couples the transfer of two electrons from NADH to quinone and the translocation of four protons across the membrane(2), but the coupling mechanism remains contentious. Here we present cryo-electron microscopy structures of Escherichia coli complex I (EcCI) in different redox states, including catalytic turnover. EcCI exists mostly in the open state, in which the quinone cavity is exposed to the cytosol, allowing access for water molecules, which enable quinone movements. Unlike the mammalian paralogues(3), EcCI can convert to the closed state only during turnover, showing that closed and open states are genuine turnover intermediates. The open-to-closed transition results in the tightly engulfed quinone cavity being connected to the central axis of the membrane arm, a source of substrate protons. Consistently, the proportion of the closed state increases with increasing pH. We propose a detailed but straightforward and robust mechanism comprising a 'domino effect' series of proton transfers and electrostatic interactions: the forward wave ('dominoes stacking') primes the pump, and the reverse wave ('dominoes falling') results in the ejection of all pumped protons from the distal subunit NuoL. This mechanism explains why protons exit exclusively from the NuoL subunit and is supported by our mutagenesis data. We contend that this is a universal coupling mechanism of complex I and related enzymes.","author":[{"dropping-particle":"","family":"Kravchuk","given":"Vladyslav","non-dropping-particle":"","parse-names":false,"suffix":""},{"dropping-particle":"","family":"Petrova","given":"Olga","non-dropping-particle":"","parse-names":false,"suffix":""},{"dropping-particle":"","family":"Kampjut","given":"Domen","non-dropping-particle":"","parse-names":false,"suffix":""},{"dropping-particle":"","family":"Wojciechowska-Bason","given":"Anna","non-dropping-particle":"","parse-names":false,"suffix":""},{"dropping-particle":"","family":"Breese","given":"Zara","non-dropping-particle":"","parse-names":false,"suffix":""},{"dropping-particle":"","family":"Sazanov","given":"Leonid","non-dropping-particle":"","parse-names":false,"suffix":""}],"container-title":"Nature","id":"ITEM-1","issue":"7928","issued":{"date-parts":[["2022","9"]]},"language":"eng","page":"808-814","publisher-place":"England","title":"A universal coupling mechanism of respiratory complex I.","type":"article-journal","volume":"609"},"uris":["http://www.mendeley.com/documents/?uuid=24646b16-1332-4c29-8894-c41094c65033"]}],"mendeley":{"formattedCitation":"(Kravchuk &lt;i&gt;et al&lt;/i&gt;, 2022)","plainTextFormattedCitation":"(Kravchuk et al, 2022)","previouslyFormattedCitation":"(Kravchuk &lt;i&gt;et al&lt;/i&gt;, 2022)"},"properties":{"noteIndex":0},"schema":"https://github.com/citation-style-language/schema/raw/master/csl-citation.json"}</w:instrText>
      </w:r>
      <w:r w:rsidRPr="00E97FC1">
        <w:rPr>
          <w:i/>
          <w:sz w:val="20"/>
          <w:lang w:val="en-GB"/>
        </w:rPr>
        <w:fldChar w:fldCharType="separate"/>
      </w:r>
      <w:r w:rsidR="00E55873" w:rsidRPr="00E97FC1">
        <w:rPr>
          <w:noProof/>
          <w:sz w:val="20"/>
          <w:lang w:val="en-GB"/>
        </w:rPr>
        <w:t xml:space="preserve">(Kravchuk </w:t>
      </w:r>
      <w:r w:rsidR="00E55873" w:rsidRPr="00E97FC1">
        <w:rPr>
          <w:i/>
          <w:noProof/>
          <w:sz w:val="20"/>
          <w:lang w:val="en-GB"/>
        </w:rPr>
        <w:t>et al</w:t>
      </w:r>
      <w:r w:rsidR="00E55873" w:rsidRPr="00E97FC1">
        <w:rPr>
          <w:noProof/>
          <w:sz w:val="20"/>
          <w:lang w:val="en-GB"/>
        </w:rPr>
        <w:t>, 2022)</w:t>
      </w:r>
      <w:r w:rsidRPr="00E97FC1">
        <w:rPr>
          <w:i/>
          <w:sz w:val="20"/>
          <w:lang w:val="en-GB"/>
        </w:rPr>
        <w:fldChar w:fldCharType="end"/>
      </w:r>
    </w:p>
    <w:p w14:paraId="72575B05" w14:textId="77777777" w:rsidR="00F07C4D" w:rsidRPr="00E97FC1" w:rsidRDefault="00F07C4D" w:rsidP="00F07C4D">
      <w:pPr>
        <w:pStyle w:val="Caption"/>
        <w:rPr>
          <w:szCs w:val="40"/>
        </w:rPr>
      </w:pPr>
    </w:p>
    <w:p w14:paraId="1C4BCD5F" w14:textId="77777777" w:rsidR="00FD11C5" w:rsidRPr="00E97FC1" w:rsidRDefault="00FD11C5" w:rsidP="0028028E">
      <w:pPr>
        <w:ind w:firstLine="720"/>
        <w:rPr>
          <w:rFonts w:cs="Times New Roman"/>
          <w:szCs w:val="40"/>
          <w:lang w:val="en-GB"/>
        </w:rPr>
      </w:pPr>
      <w:r w:rsidRPr="00E97FC1">
        <w:rPr>
          <w:rFonts w:cs="Times New Roman"/>
          <w:szCs w:val="40"/>
          <w:lang w:val="en-GB"/>
        </w:rPr>
        <w:lastRenderedPageBreak/>
        <w:t xml:space="preserve">Particles were extracted 2X binned and cleaned using one round of 2D (550k particles remained) and one round of 3D classifications (240k particles remained). The 3D classification was done with k = 4 and T = 4 in three steps: 20 iterations with 7.5° global angular search, 10 iterations with 3.7° global angular search and 10 iterations with 1.8° local angular search. Good classes were re-extracted at the full pixel size. Next, particles were refined into a single “consensus” structure, followed by per-micrograph aberrations (two rounds), per-particle defocus (two rounds) and per-particle trajectory refinement using CtfRefine and Bayesian polishing tools. Afterwards, we performed FRC classification with k = 6 and T = 10. This resulted in two resting classes, two open-ready classes, one open and one junk class. Structures of the resting and open classes were not built because of poor density (4.5-5 Å resolution).  The two open-ready classes were combined into one consensus class. The final density map was formed from globally filtered (to the value of 0.143 FSC cut-off) focus-refined maps of NuoFEG, NuoAJKHCD (the PA-MA junction subunits) and NuoNML combined using “vop max” command in chimera software. </w:t>
      </w:r>
    </w:p>
    <w:p w14:paraId="23128769" w14:textId="77777777" w:rsidR="00FD11C5" w:rsidRPr="00E97FC1" w:rsidRDefault="00FD11C5" w:rsidP="0028028E">
      <w:pPr>
        <w:ind w:firstLine="720"/>
        <w:rPr>
          <w:rFonts w:cs="Times New Roman"/>
          <w:szCs w:val="40"/>
          <w:lang w:val="en-GB"/>
        </w:rPr>
      </w:pPr>
      <w:r w:rsidRPr="00E97FC1">
        <w:rPr>
          <w:rFonts w:cs="Times New Roman"/>
          <w:szCs w:val="40"/>
          <w:lang w:val="en-GB"/>
        </w:rPr>
        <w:t>For LMNG_Turnover dataset</w:t>
      </w:r>
      <w:r w:rsidR="00653CEA" w:rsidRPr="00E97FC1">
        <w:rPr>
          <w:rFonts w:cs="Times New Roman"/>
          <w:szCs w:val="40"/>
          <w:lang w:val="en-GB"/>
        </w:rPr>
        <w:t xml:space="preserve"> (</w:t>
      </w:r>
      <w:r w:rsidRPr="00E97FC1">
        <w:rPr>
          <w:rFonts w:cs="Times New Roman"/>
          <w:szCs w:val="40"/>
          <w:lang w:val="en-GB"/>
        </w:rPr>
        <w:t>Figure</w:t>
      </w:r>
      <w:r w:rsidR="00653CEA" w:rsidRPr="00E97FC1">
        <w:rPr>
          <w:rFonts w:cs="Times New Roman"/>
          <w:szCs w:val="40"/>
          <w:lang w:val="en-GB"/>
        </w:rPr>
        <w:t xml:space="preserve"> 2.10</w:t>
      </w:r>
      <w:r w:rsidRPr="00E97FC1">
        <w:rPr>
          <w:rFonts w:cs="Times New Roman"/>
          <w:szCs w:val="40"/>
          <w:lang w:val="en-GB"/>
        </w:rPr>
        <w:t xml:space="preserve">), ~4.5 million particles were picked with RELION’s Autopick using </w:t>
      </w:r>
      <w:r w:rsidRPr="00E97FC1">
        <w:rPr>
          <w:rFonts w:cs="Times New Roman"/>
          <w:i/>
          <w:szCs w:val="40"/>
          <w:lang w:val="en-GB"/>
        </w:rPr>
        <w:t>Ec</w:t>
      </w:r>
      <w:r w:rsidRPr="00E97FC1">
        <w:rPr>
          <w:rFonts w:cs="Times New Roman"/>
          <w:szCs w:val="40"/>
          <w:lang w:val="en-GB"/>
        </w:rPr>
        <w:t xml:space="preserve">CI structure as a 3D template. Particles were extracted 2X binned and cleaned using one round of 2D (1.6 million particles remained) and one round of 3D classifications (708k particles remained). The 3D classification was done with k = 4 and T = 4 in three steps: 20 iterations with 7.5° global angular search, 10 iterations with 3.7° global angular search and 10 iterations with 1.8° local angular search. Good classes were re-extracted at the full pixel size. Next, particles were refined into a single “consensus” structure, followed by per-micrograph aberrations (two rounds), per-particle defocus (two rounds) and per-particle trajectory refinement using CtfRefine and Bayesian polishing tools. Afterwards, we performed FRC classification with k = 6 and T = 10. This resulted in 5 mixed (open, open-ready, resting) classes, and one closed class. The final density map for the closed class was formed from focus-refined PA and MA maps. The particles from the five classes were joined and FRC classified with k = 4 and T = 16. This resulted in two resting and two open-ready classes. The resting classes were combined into one consensus class. Open-ready classes were merged and subjected of another FRC classification with k = 6 and T = 64. This resulted in 5 open-ready classes with slightly different PA-MA angle and one open class. Open-ready classes were merged into one consensus class. The final density maps for each class were formed from focus-refined PA and MA maps filtered by local resolution. The PA and MA maps were aligned on the most populated class and merged using “vop max” command in chimera software. </w:t>
      </w:r>
    </w:p>
    <w:p w14:paraId="18E18F14" w14:textId="77777777" w:rsidR="00653CEA" w:rsidRPr="00E97FC1" w:rsidRDefault="00653CEA" w:rsidP="0028028E">
      <w:pPr>
        <w:ind w:firstLine="720"/>
        <w:rPr>
          <w:rFonts w:cs="Times New Roman"/>
          <w:szCs w:val="40"/>
          <w:lang w:val="en-GB"/>
        </w:rPr>
      </w:pPr>
    </w:p>
    <w:p w14:paraId="203AB421" w14:textId="7D4A1FFA" w:rsidR="00653CEA" w:rsidRPr="00E97FC1" w:rsidRDefault="009252CD" w:rsidP="0028028E">
      <w:pPr>
        <w:ind w:firstLine="720"/>
        <w:rPr>
          <w:rFonts w:cs="Times New Roman"/>
          <w:szCs w:val="40"/>
          <w:lang w:val="en-GB"/>
        </w:rPr>
      </w:pPr>
      <w:r w:rsidRPr="009252CD">
        <w:rPr>
          <w:rFonts w:cs="Times New Roman"/>
          <w:noProof/>
          <w:szCs w:val="40"/>
        </w:rPr>
        <w:lastRenderedPageBreak/>
        <w:drawing>
          <wp:inline distT="0" distB="0" distL="0" distR="0" wp14:anchorId="03329415" wp14:editId="2FA6018E">
            <wp:extent cx="4430187" cy="6400800"/>
            <wp:effectExtent l="0" t="0" r="8890" b="0"/>
            <wp:docPr id="248" name="Picture 248" descr="C:\Users\vkravchu\Desktop\DesktopStuff\EcCxI_Paper\Figures_LATEST\Supplementary\Processing\ALL_Processing_png\Slid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descr="C:\Users\vkravchu\Desktop\DesktopStuff\EcCxI_Paper\Figures_LATEST\Supplementary\Processing\ALL_Processing_png\Slide10.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30187" cy="6400800"/>
                    </a:xfrm>
                    <a:prstGeom prst="rect">
                      <a:avLst/>
                    </a:prstGeom>
                    <a:noFill/>
                    <a:ln>
                      <a:noFill/>
                    </a:ln>
                  </pic:spPr>
                </pic:pic>
              </a:graphicData>
            </a:graphic>
          </wp:inline>
        </w:drawing>
      </w:r>
    </w:p>
    <w:p w14:paraId="071D22DE" w14:textId="75EF39D4" w:rsidR="00653CEA" w:rsidRPr="00E97FC1" w:rsidRDefault="00653CEA" w:rsidP="00653CEA">
      <w:pPr>
        <w:pStyle w:val="Caption"/>
      </w:pPr>
      <w:bookmarkStart w:id="92" w:name="_Toc121834111"/>
      <w:bookmarkStart w:id="93" w:name="_Toc128136627"/>
      <w:r w:rsidRPr="00E97FC1">
        <w:t xml:space="preserve">Figure </w:t>
      </w:r>
      <w:r w:rsidR="00CC7652">
        <w:fldChar w:fldCharType="begin"/>
      </w:r>
      <w:r w:rsidR="00CC7652">
        <w:instrText xml:space="preserve"> STYLEREF 1 \s </w:instrText>
      </w:r>
      <w:r w:rsidR="00CC7652">
        <w:fldChar w:fldCharType="separate"/>
      </w:r>
      <w:r w:rsidR="00ED1816">
        <w:rPr>
          <w:noProof/>
        </w:rPr>
        <w:t>2</w:t>
      </w:r>
      <w:r w:rsidR="00CC7652">
        <w:fldChar w:fldCharType="end"/>
      </w:r>
      <w:r w:rsidR="00CC7652">
        <w:t>.</w:t>
      </w:r>
      <w:r w:rsidR="00CC7652">
        <w:fldChar w:fldCharType="begin"/>
      </w:r>
      <w:r w:rsidR="00CC7652">
        <w:instrText xml:space="preserve"> SEQ Figure \* ARABIC \s 1 </w:instrText>
      </w:r>
      <w:r w:rsidR="00CC7652">
        <w:fldChar w:fldCharType="separate"/>
      </w:r>
      <w:r w:rsidR="00ED1816">
        <w:rPr>
          <w:noProof/>
        </w:rPr>
        <w:t>10</w:t>
      </w:r>
      <w:r w:rsidR="00CC7652">
        <w:fldChar w:fldCharType="end"/>
      </w:r>
      <w:r w:rsidRPr="00E97FC1">
        <w:t xml:space="preserve"> Processing scheme of </w:t>
      </w:r>
      <w:r w:rsidRPr="00E97FC1">
        <w:rPr>
          <w:szCs w:val="40"/>
        </w:rPr>
        <w:t>LMNG_Turnover</w:t>
      </w:r>
      <w:r w:rsidRPr="00E97FC1">
        <w:t xml:space="preserve"> dataset</w:t>
      </w:r>
      <w:bookmarkEnd w:id="92"/>
      <w:bookmarkEnd w:id="93"/>
    </w:p>
    <w:p w14:paraId="03CF6011" w14:textId="6E378657" w:rsidR="00653CEA" w:rsidRPr="00E97FC1" w:rsidRDefault="00653CEA" w:rsidP="00653CEA">
      <w:pPr>
        <w:rPr>
          <w:i/>
          <w:sz w:val="20"/>
          <w:lang w:val="en-GB"/>
        </w:rPr>
      </w:pPr>
      <w:r w:rsidRPr="00E97FC1">
        <w:rPr>
          <w:i/>
          <w:sz w:val="20"/>
          <w:lang w:val="en-GB"/>
        </w:rPr>
        <w:t xml:space="preserve">Figure </w:t>
      </w:r>
      <w:r w:rsidR="00D07557" w:rsidRPr="00E97FC1">
        <w:rPr>
          <w:i/>
          <w:sz w:val="20"/>
          <w:lang w:val="en-GB"/>
        </w:rPr>
        <w:t>adapted from</w:t>
      </w:r>
      <w:r w:rsidRPr="00E97FC1">
        <w:rPr>
          <w:i/>
          <w:sz w:val="20"/>
          <w:lang w:val="en-GB"/>
        </w:rPr>
        <w:t xml:space="preserve"> </w:t>
      </w:r>
      <w:r w:rsidRPr="00E97FC1">
        <w:rPr>
          <w:i/>
          <w:sz w:val="20"/>
          <w:lang w:val="en-GB"/>
        </w:rPr>
        <w:fldChar w:fldCharType="begin" w:fldLock="1"/>
      </w:r>
      <w:r w:rsidR="00776703" w:rsidRPr="00E97FC1">
        <w:rPr>
          <w:i/>
          <w:sz w:val="20"/>
          <w:lang w:val="en-GB"/>
        </w:rPr>
        <w:instrText>ADDIN CSL_CITATION {"citationItems":[{"id":"ITEM-1","itemData":{"DOI":"10.1038/s41586-022-05199-7","ISSN":"1476-4687 (Electronic)","PMID":"36104567","abstract":"Complex I is the first enzyme in the respiratory chain, which is responsible for  energy production in mitochondria and bacteria(1). Complex I couples the transfer of two electrons from NADH to quinone and the translocation of four protons across the membrane(2), but the coupling mechanism remains contentious. Here we present cryo-electron microscopy structures of Escherichia coli complex I (EcCI) in different redox states, including catalytic turnover. EcCI exists mostly in the open state, in which the quinone cavity is exposed to the cytosol, allowing access for water molecules, which enable quinone movements. Unlike the mammalian paralogues(3), EcCI can convert to the closed state only during turnover, showing that closed and open states are genuine turnover intermediates. The open-to-closed transition results in the tightly engulfed quinone cavity being connected to the central axis of the membrane arm, a source of substrate protons. Consistently, the proportion of the closed state increases with increasing pH. We propose a detailed but straightforward and robust mechanism comprising a 'domino effect' series of proton transfers and electrostatic interactions: the forward wave ('dominoes stacking') primes the pump, and the reverse wave ('dominoes falling') results in the ejection of all pumped protons from the distal subunit NuoL. This mechanism explains why protons exit exclusively from the NuoL subunit and is supported by our mutagenesis data. We contend that this is a universal coupling mechanism of complex I and related enzymes.","author":[{"dropping-particle":"","family":"Kravchuk","given":"Vladyslav","non-dropping-particle":"","parse-names":false,"suffix":""},{"dropping-particle":"","family":"Petrova","given":"Olga","non-dropping-particle":"","parse-names":false,"suffix":""},{"dropping-particle":"","family":"Kampjut","given":"Domen","non-dropping-particle":"","parse-names":false,"suffix":""},{"dropping-particle":"","family":"Wojciechowska-Bason","given":"Anna","non-dropping-particle":"","parse-names":false,"suffix":""},{"dropping-particle":"","family":"Breese","given":"Zara","non-dropping-particle":"","parse-names":false,"suffix":""},{"dropping-particle":"","family":"Sazanov","given":"Leonid","non-dropping-particle":"","parse-names":false,"suffix":""}],"container-title":"Nature","id":"ITEM-1","issue":"7928","issued":{"date-parts":[["2022","9"]]},"language":"eng","page":"808-814","publisher-place":"England","title":"A universal coupling mechanism of respiratory complex I.","type":"article-journal","volume":"609"},"uris":["http://www.mendeley.com/documents/?uuid=24646b16-1332-4c29-8894-c41094c65033"]}],"mendeley":{"formattedCitation":"(Kravchuk &lt;i&gt;et al&lt;/i&gt;, 2022)","plainTextFormattedCitation":"(Kravchuk et al, 2022)","previouslyFormattedCitation":"(Kravchuk &lt;i&gt;et al&lt;/i&gt;, 2022)"},"properties":{"noteIndex":0},"schema":"https://github.com/citation-style-language/schema/raw/master/csl-citation.json"}</w:instrText>
      </w:r>
      <w:r w:rsidRPr="00E97FC1">
        <w:rPr>
          <w:i/>
          <w:sz w:val="20"/>
          <w:lang w:val="en-GB"/>
        </w:rPr>
        <w:fldChar w:fldCharType="separate"/>
      </w:r>
      <w:r w:rsidR="00E55873" w:rsidRPr="00E97FC1">
        <w:rPr>
          <w:noProof/>
          <w:sz w:val="20"/>
          <w:lang w:val="en-GB"/>
        </w:rPr>
        <w:t xml:space="preserve">(Kravchuk </w:t>
      </w:r>
      <w:r w:rsidR="00E55873" w:rsidRPr="00E97FC1">
        <w:rPr>
          <w:i/>
          <w:noProof/>
          <w:sz w:val="20"/>
          <w:lang w:val="en-GB"/>
        </w:rPr>
        <w:t>et al</w:t>
      </w:r>
      <w:r w:rsidR="00E55873" w:rsidRPr="00E97FC1">
        <w:rPr>
          <w:noProof/>
          <w:sz w:val="20"/>
          <w:lang w:val="en-GB"/>
        </w:rPr>
        <w:t>, 2022)</w:t>
      </w:r>
      <w:r w:rsidRPr="00E97FC1">
        <w:rPr>
          <w:i/>
          <w:sz w:val="20"/>
          <w:lang w:val="en-GB"/>
        </w:rPr>
        <w:fldChar w:fldCharType="end"/>
      </w:r>
    </w:p>
    <w:p w14:paraId="45A50F3E" w14:textId="77777777" w:rsidR="00653CEA" w:rsidRPr="00E97FC1" w:rsidRDefault="00653CEA" w:rsidP="00653CEA">
      <w:pPr>
        <w:pStyle w:val="Caption"/>
        <w:rPr>
          <w:szCs w:val="40"/>
        </w:rPr>
      </w:pPr>
    </w:p>
    <w:p w14:paraId="684697A9" w14:textId="77777777" w:rsidR="00FD11C5" w:rsidRPr="00E97FC1" w:rsidRDefault="00FD11C5" w:rsidP="0028028E">
      <w:pPr>
        <w:ind w:firstLine="720"/>
        <w:rPr>
          <w:rFonts w:cs="Times New Roman"/>
          <w:b/>
          <w:szCs w:val="40"/>
          <w:lang w:val="en-GB"/>
        </w:rPr>
      </w:pPr>
      <w:r w:rsidRPr="00E97FC1">
        <w:rPr>
          <w:rFonts w:cs="Times New Roman"/>
          <w:szCs w:val="40"/>
          <w:lang w:val="en-GB"/>
        </w:rPr>
        <w:t xml:space="preserve">All resolutions are based on the gold-standard (two halves of data refined independently) FSC = 0.143 criterion. Local masks used for focused refinement correspond to regions shown as local resolution maps of PA and MA in Supplementary Figures S1-S13. Masks were created in RELION with extend 7 and soft-edge 10 pixels command. All maps were post-processed, B-factor sharpened and filtered by local resolution in RELION. The </w:t>
      </w:r>
      <w:r w:rsidRPr="00E97FC1">
        <w:rPr>
          <w:rFonts w:cs="Times New Roman"/>
          <w:szCs w:val="40"/>
          <w:lang w:val="en-GB"/>
        </w:rPr>
        <w:lastRenderedPageBreak/>
        <w:t>density for the weaker features, such as some of bound quinones, is better defined in non-sharpened maps – these can be reproduced, if needed, using B-factor “Blur” feature in Coot.</w:t>
      </w:r>
    </w:p>
    <w:p w14:paraId="77351BF0" w14:textId="77777777" w:rsidR="00FD11C5" w:rsidRPr="00E97FC1" w:rsidRDefault="00FD11C5" w:rsidP="00FD11C5">
      <w:pPr>
        <w:rPr>
          <w:lang w:val="en-GB"/>
        </w:rPr>
      </w:pPr>
    </w:p>
    <w:p w14:paraId="4B7DB575" w14:textId="77777777" w:rsidR="009F243C" w:rsidRPr="00E97FC1" w:rsidRDefault="009F243C" w:rsidP="00F016AD">
      <w:pPr>
        <w:pStyle w:val="Heading2"/>
      </w:pPr>
      <w:bookmarkStart w:id="94" w:name="_Toc132640003"/>
      <w:r w:rsidRPr="00E97FC1">
        <w:t>Image processing: NDH</w:t>
      </w:r>
      <w:bookmarkEnd w:id="94"/>
    </w:p>
    <w:p w14:paraId="30A7194E" w14:textId="77777777" w:rsidR="00522474" w:rsidRPr="00E97FC1" w:rsidRDefault="00AF69F8" w:rsidP="0028028E">
      <w:pPr>
        <w:ind w:firstLine="720"/>
        <w:rPr>
          <w:rFonts w:cs="Times New Roman"/>
          <w:szCs w:val="40"/>
          <w:lang w:val="en-GB"/>
        </w:rPr>
      </w:pPr>
      <w:r w:rsidRPr="00E97FC1">
        <w:rPr>
          <w:rFonts w:cs="Times New Roman"/>
          <w:szCs w:val="40"/>
          <w:lang w:val="en-GB"/>
        </w:rPr>
        <w:t xml:space="preserve">For NDH_APO 2721 good micrographs (after filtering by CTF and motion) were collected. </w:t>
      </w:r>
    </w:p>
    <w:p w14:paraId="564FF5ED" w14:textId="77777777" w:rsidR="00A672F5" w:rsidRDefault="00A672F5" w:rsidP="0028028E">
      <w:pPr>
        <w:ind w:firstLine="720"/>
        <w:rPr>
          <w:rFonts w:cs="Times New Roman"/>
          <w:noProof/>
          <w:szCs w:val="40"/>
        </w:rPr>
      </w:pPr>
    </w:p>
    <w:p w14:paraId="158289F9" w14:textId="67E4F9CC" w:rsidR="00522474" w:rsidRPr="00E97FC1" w:rsidRDefault="00A672F5" w:rsidP="0028028E">
      <w:pPr>
        <w:ind w:firstLine="720"/>
        <w:rPr>
          <w:rFonts w:cs="Times New Roman"/>
          <w:szCs w:val="40"/>
          <w:lang w:val="en-GB"/>
        </w:rPr>
      </w:pPr>
      <w:r w:rsidRPr="00A672F5">
        <w:rPr>
          <w:rFonts w:cs="Times New Roman"/>
          <w:noProof/>
          <w:szCs w:val="40"/>
        </w:rPr>
        <w:drawing>
          <wp:inline distT="0" distB="0" distL="0" distR="0" wp14:anchorId="2B463EE8" wp14:editId="7B0664A6">
            <wp:extent cx="5588311" cy="6035040"/>
            <wp:effectExtent l="0" t="0" r="0" b="3810"/>
            <wp:docPr id="249" name="Picture 249" descr="C:\Users\vkravchu\Desktop\PhD thesis\NDH\NDH_pr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descr="C:\Users\vkravchu\Desktop\PhD thesis\NDH\NDH_proc.png"/>
                    <pic:cNvPicPr>
                      <a:picLocks noChangeAspect="1" noChangeArrowheads="1"/>
                    </pic:cNvPicPr>
                  </pic:nvPicPr>
                  <pic:blipFill rotWithShape="1">
                    <a:blip r:embed="rId35">
                      <a:extLst>
                        <a:ext uri="{28A0092B-C50C-407E-A947-70E740481C1C}">
                          <a14:useLocalDpi xmlns:a14="http://schemas.microsoft.com/office/drawing/2010/main" val="0"/>
                        </a:ext>
                      </a:extLst>
                    </a:blip>
                    <a:srcRect b="25254"/>
                    <a:stretch/>
                  </pic:blipFill>
                  <pic:spPr bwMode="auto">
                    <a:xfrm>
                      <a:off x="0" y="0"/>
                      <a:ext cx="5588311" cy="6035040"/>
                    </a:xfrm>
                    <a:prstGeom prst="rect">
                      <a:avLst/>
                    </a:prstGeom>
                    <a:noFill/>
                    <a:ln>
                      <a:noFill/>
                    </a:ln>
                    <a:extLst>
                      <a:ext uri="{53640926-AAD7-44D8-BBD7-CCE9431645EC}">
                        <a14:shadowObscured xmlns:a14="http://schemas.microsoft.com/office/drawing/2010/main"/>
                      </a:ext>
                    </a:extLst>
                  </pic:spPr>
                </pic:pic>
              </a:graphicData>
            </a:graphic>
          </wp:inline>
        </w:drawing>
      </w:r>
    </w:p>
    <w:p w14:paraId="4BF3D79E" w14:textId="4EB147CC" w:rsidR="00522474" w:rsidRPr="00E97FC1" w:rsidRDefault="00522474" w:rsidP="00522474">
      <w:pPr>
        <w:pStyle w:val="Caption"/>
        <w:rPr>
          <w:szCs w:val="40"/>
        </w:rPr>
      </w:pPr>
      <w:bookmarkStart w:id="95" w:name="_Toc128136628"/>
      <w:r w:rsidRPr="00E97FC1">
        <w:t xml:space="preserve">Figure </w:t>
      </w:r>
      <w:r w:rsidR="00CC7652">
        <w:fldChar w:fldCharType="begin"/>
      </w:r>
      <w:r w:rsidR="00CC7652">
        <w:instrText xml:space="preserve"> STYLEREF 1 \s </w:instrText>
      </w:r>
      <w:r w:rsidR="00CC7652">
        <w:fldChar w:fldCharType="separate"/>
      </w:r>
      <w:r w:rsidR="00ED1816">
        <w:rPr>
          <w:noProof/>
        </w:rPr>
        <w:t>2</w:t>
      </w:r>
      <w:r w:rsidR="00CC7652">
        <w:fldChar w:fldCharType="end"/>
      </w:r>
      <w:r w:rsidR="00CC7652">
        <w:t>.</w:t>
      </w:r>
      <w:r w:rsidR="00CC7652">
        <w:fldChar w:fldCharType="begin"/>
      </w:r>
      <w:r w:rsidR="00CC7652">
        <w:instrText xml:space="preserve"> SEQ Figure \* ARABIC \s 1 </w:instrText>
      </w:r>
      <w:r w:rsidR="00CC7652">
        <w:fldChar w:fldCharType="separate"/>
      </w:r>
      <w:r w:rsidR="00ED1816">
        <w:rPr>
          <w:noProof/>
        </w:rPr>
        <w:t>11</w:t>
      </w:r>
      <w:r w:rsidR="00CC7652">
        <w:fldChar w:fldCharType="end"/>
      </w:r>
      <w:r w:rsidRPr="00E97FC1">
        <w:t xml:space="preserve"> NDH Processing</w:t>
      </w:r>
      <w:bookmarkEnd w:id="95"/>
    </w:p>
    <w:p w14:paraId="64A3B125" w14:textId="1C468CF4" w:rsidR="00C5030A" w:rsidRPr="00E97FC1" w:rsidRDefault="00AF69F8" w:rsidP="0028028E">
      <w:pPr>
        <w:ind w:firstLine="720"/>
        <w:rPr>
          <w:lang w:val="en-GB"/>
        </w:rPr>
      </w:pPr>
      <w:r w:rsidRPr="00E97FC1">
        <w:rPr>
          <w:rFonts w:cs="Times New Roman"/>
          <w:szCs w:val="40"/>
          <w:lang w:val="en-GB"/>
        </w:rPr>
        <w:t xml:space="preserve">2D classes from automatically picked particles (Laplacian blob </w:t>
      </w:r>
      <w:r w:rsidRPr="00E97FC1">
        <w:rPr>
          <w:rFonts w:cs="Times New Roman"/>
          <w:szCs w:val="40"/>
          <w:lang w:val="en-GB"/>
        </w:rPr>
        <w:fldChar w:fldCharType="begin" w:fldLock="1"/>
      </w:r>
      <w:r w:rsidR="00776703" w:rsidRPr="00E97FC1">
        <w:rPr>
          <w:rFonts w:cs="Times New Roman"/>
          <w:szCs w:val="40"/>
          <w:lang w:val="en-GB"/>
        </w:rPr>
        <w:instrText>ADDIN CSL_CITATION {"citationItems":[{"id":"ITEM-1","itemData":{"DOI":"10.7554/eLife.42166","ISSN":"2050-084X (Electronic)","PMID":"30412051","abstract":"Here, we describe the third major release of RELION. CPU-based vector acceleration has been added in addition to GPU support, which provides flexibility in use of resources and avoids memory limitations. Reference-free autopicking with Laplacian-of-Gaussian filtering and execution of jobs from python allows non-interactive processing during acquisition, including 2D-classification, de novo model generation and 3D-classification. Per-particle refinement of CTF parameters and correction of estimated beam tilt provides higher resolution reconstructions when particles are at different heights in the ice, and/or coma-free alignment has not been optimal. Ewald sphere curvature correction improves resolution for large particles. We illustrate these developments with publicly available data sets: together with a Bayesian approach to beam-induced motion correction it leads to resolution improvements of 0.2-0.7 A compared to previous RELION versions.","author":[{"dropping-particle":"","family":"Zivanov","given":"Jasenko","non-dropping-particle":"","parse-names":false,"suffix":""},{"dropping-particle":"","family":"Nakane","given":"Takanori","non-dropping-particle":"","parse-names":false,"suffix":""},{"dropping-particle":"","family":"Forsberg","given":"Bjorn O","non-dropping-particle":"","parse-names":false,"suffix":""},{"dropping-particle":"","family":"Kimanius","given":"Dari","non-dropping-particle":"","parse-names":false,"suffix":""},{"dropping-particle":"","family":"Hagen","given":"Wim Jh","non-dropping-particle":"","parse-names":false,"suffix":""},{"dropping-particle":"","family":"Lindahl","given":"Erik","non-dropping-particle":"","parse-names":false,"suffix":""},{"dropping-particle":"","family":"Scheres","given":"Sjors Hw","non-dropping-particle":"","parse-names":false,"suffix":""}],"container-title":"eLife","id":"ITEM-1","issued":{"date-parts":[["2018","11"]]},"language":"eng","publisher-place":"England","title":"New tools for automated high-resolution cryo-EM structure determination in RELION-3.","type":"article-journal","volume":"7"},"uris":["http://www.mendeley.com/documents/?uuid=39d8297f-3cf3-460d-8716-0ec2c213682d"]}],"mendeley":{"formattedCitation":"(Zivanov &lt;i&gt;et al&lt;/i&gt;, 2018)","plainTextFormattedCitation":"(Zivanov et al, 2018)","previouslyFormattedCitation":"(Zivanov &lt;i&gt;et al&lt;/i&gt;, 2018)"},"properties":{"noteIndex":0},"schema":"https://github.com/citation-style-language/schema/raw/master/csl-citation.json"}</w:instrText>
      </w:r>
      <w:r w:rsidRPr="00E97FC1">
        <w:rPr>
          <w:rFonts w:cs="Times New Roman"/>
          <w:szCs w:val="40"/>
          <w:lang w:val="en-GB"/>
        </w:rPr>
        <w:fldChar w:fldCharType="separate"/>
      </w:r>
      <w:r w:rsidR="00E55873" w:rsidRPr="00E97FC1">
        <w:rPr>
          <w:rFonts w:cs="Times New Roman"/>
          <w:noProof/>
          <w:szCs w:val="40"/>
          <w:lang w:val="en-GB"/>
        </w:rPr>
        <w:t xml:space="preserve">(Zivanov </w:t>
      </w:r>
      <w:r w:rsidR="00E55873" w:rsidRPr="00E97FC1">
        <w:rPr>
          <w:rFonts w:cs="Times New Roman"/>
          <w:i/>
          <w:noProof/>
          <w:szCs w:val="40"/>
          <w:lang w:val="en-GB"/>
        </w:rPr>
        <w:t>et al</w:t>
      </w:r>
      <w:r w:rsidR="00E55873" w:rsidRPr="00E97FC1">
        <w:rPr>
          <w:rFonts w:cs="Times New Roman"/>
          <w:noProof/>
          <w:szCs w:val="40"/>
          <w:lang w:val="en-GB"/>
        </w:rPr>
        <w:t>, 2018)</w:t>
      </w:r>
      <w:r w:rsidRPr="00E97FC1">
        <w:rPr>
          <w:rFonts w:cs="Times New Roman"/>
          <w:szCs w:val="40"/>
          <w:lang w:val="en-GB"/>
        </w:rPr>
        <w:fldChar w:fldCharType="end"/>
      </w:r>
      <w:r w:rsidRPr="00E97FC1">
        <w:rPr>
          <w:rFonts w:cs="Times New Roman"/>
          <w:szCs w:val="40"/>
          <w:lang w:val="en-GB"/>
        </w:rPr>
        <w:t>) were used as a template to</w:t>
      </w:r>
      <w:r w:rsidR="00E83D85" w:rsidRPr="00E97FC1">
        <w:rPr>
          <w:rFonts w:cs="Times New Roman"/>
          <w:szCs w:val="40"/>
          <w:lang w:val="en-GB"/>
        </w:rPr>
        <w:t xml:space="preserve"> pick 438</w:t>
      </w:r>
      <w:r w:rsidRPr="00E97FC1">
        <w:rPr>
          <w:rFonts w:cs="Times New Roman"/>
          <w:szCs w:val="40"/>
          <w:lang w:val="en-GB"/>
        </w:rPr>
        <w:t>k particles using RELION’s Autopick</w:t>
      </w:r>
      <w:r w:rsidR="00E83D85" w:rsidRPr="00E97FC1">
        <w:rPr>
          <w:rFonts w:cs="Times New Roman"/>
          <w:szCs w:val="40"/>
          <w:lang w:val="en-GB"/>
        </w:rPr>
        <w:t xml:space="preserve"> and Gautomatch </w:t>
      </w:r>
      <w:r w:rsidR="00E83D85" w:rsidRPr="00E97FC1">
        <w:rPr>
          <w:rFonts w:cs="Times New Roman"/>
          <w:szCs w:val="40"/>
          <w:lang w:val="en-GB"/>
        </w:rPr>
        <w:lastRenderedPageBreak/>
        <w:t>v0.56 (K. Zhang software) combined. Particles were extracted 2X binned and cleaned using one round of 2D (300</w:t>
      </w:r>
      <w:r w:rsidR="004E254B" w:rsidRPr="00E97FC1">
        <w:rPr>
          <w:rFonts w:cs="Times New Roman"/>
          <w:szCs w:val="40"/>
          <w:lang w:val="en-GB"/>
        </w:rPr>
        <w:t>k particles remained) and two</w:t>
      </w:r>
      <w:r w:rsidR="00E83D85" w:rsidRPr="00E97FC1">
        <w:rPr>
          <w:rFonts w:cs="Times New Roman"/>
          <w:szCs w:val="40"/>
          <w:lang w:val="en-GB"/>
        </w:rPr>
        <w:t xml:space="preserve"> round</w:t>
      </w:r>
      <w:r w:rsidR="004E254B" w:rsidRPr="00E97FC1">
        <w:rPr>
          <w:rFonts w:cs="Times New Roman"/>
          <w:szCs w:val="40"/>
          <w:lang w:val="en-GB"/>
        </w:rPr>
        <w:t>s</w:t>
      </w:r>
      <w:r w:rsidR="00E83D85" w:rsidRPr="00E97FC1">
        <w:rPr>
          <w:rFonts w:cs="Times New Roman"/>
          <w:szCs w:val="40"/>
          <w:lang w:val="en-GB"/>
        </w:rPr>
        <w:t xml:space="preserve"> of 3D classifications (118k particles remained). </w:t>
      </w:r>
      <w:r w:rsidR="004E254B" w:rsidRPr="00E97FC1">
        <w:rPr>
          <w:rFonts w:cs="Times New Roman"/>
          <w:szCs w:val="40"/>
          <w:lang w:val="en-GB"/>
        </w:rPr>
        <w:t>The first</w:t>
      </w:r>
      <w:r w:rsidR="00E83D85" w:rsidRPr="00E97FC1">
        <w:rPr>
          <w:rFonts w:cs="Times New Roman"/>
          <w:szCs w:val="40"/>
          <w:lang w:val="en-GB"/>
        </w:rPr>
        <w:t xml:space="preserve"> 3D classification was done with k = </w:t>
      </w:r>
      <w:r w:rsidR="004E254B" w:rsidRPr="00E97FC1">
        <w:rPr>
          <w:rFonts w:cs="Times New Roman"/>
          <w:szCs w:val="40"/>
          <w:lang w:val="en-GB"/>
        </w:rPr>
        <w:t>6</w:t>
      </w:r>
      <w:r w:rsidR="00E83D85" w:rsidRPr="00E97FC1">
        <w:rPr>
          <w:rFonts w:cs="Times New Roman"/>
          <w:szCs w:val="40"/>
          <w:lang w:val="en-GB"/>
        </w:rPr>
        <w:t xml:space="preserve"> and T = 4</w:t>
      </w:r>
      <w:r w:rsidR="004E254B" w:rsidRPr="00E97FC1">
        <w:rPr>
          <w:rFonts w:cs="Times New Roman"/>
          <w:szCs w:val="40"/>
          <w:lang w:val="en-GB"/>
        </w:rPr>
        <w:t xml:space="preserve"> and the second</w:t>
      </w:r>
      <w:r w:rsidR="00522474" w:rsidRPr="00E97FC1">
        <w:rPr>
          <w:rFonts w:cs="Times New Roman"/>
          <w:szCs w:val="40"/>
          <w:lang w:val="en-GB"/>
        </w:rPr>
        <w:t xml:space="preserve"> with k = 4 and T = 5. </w:t>
      </w:r>
      <w:r w:rsidR="00E83D85" w:rsidRPr="00E97FC1">
        <w:rPr>
          <w:rFonts w:cs="Times New Roman"/>
          <w:szCs w:val="40"/>
          <w:lang w:val="en-GB"/>
        </w:rPr>
        <w:t xml:space="preserve">Low-pass filtered (40 Å) </w:t>
      </w:r>
      <w:r w:rsidR="00E83D85" w:rsidRPr="00E97FC1">
        <w:rPr>
          <w:rFonts w:cs="Times New Roman"/>
          <w:i/>
          <w:szCs w:val="40"/>
          <w:lang w:val="en-GB"/>
        </w:rPr>
        <w:t>Tt</w:t>
      </w:r>
      <w:r w:rsidR="00E83D85" w:rsidRPr="00E97FC1">
        <w:rPr>
          <w:rFonts w:cs="Times New Roman"/>
          <w:szCs w:val="40"/>
          <w:lang w:val="en-GB"/>
        </w:rPr>
        <w:t xml:space="preserve">CI (PDB 4HEA </w:t>
      </w:r>
      <w:r w:rsidR="00E83D85" w:rsidRPr="00E97FC1">
        <w:rPr>
          <w:rFonts w:cs="Times New Roman"/>
          <w:szCs w:val="40"/>
          <w:lang w:val="en-GB"/>
        </w:rPr>
        <w:fldChar w:fldCharType="begin" w:fldLock="1"/>
      </w:r>
      <w:r w:rsidR="00776703" w:rsidRPr="00E97FC1">
        <w:rPr>
          <w:rFonts w:cs="Times New Roman"/>
          <w:szCs w:val="40"/>
          <w:lang w:val="en-GB"/>
        </w:rPr>
        <w:instrText>ADDIN CSL_CITATION {"citationItems":[{"id":"ITEM-1","itemData":{"author":[{"dropping-particle":"","family":"Baradaran","given":"Rozbeh","non-dropping-particle":"","parse-names":false,"suffix":""},{"dropping-particle":"","family":"Berrisford","given":"John M","non-dropping-particle":"","parse-names":false,"suffix":""},{"dropping-particle":"","family":"Minhas","given":"Gurdeep S","non-dropping-particle":"","parse-names":false,"suffix":""},{"dropping-particle":"","family":"Sazanov","given":"Leonid A","non-dropping-particle":"","parse-names":false,"suffix":""}],"container-title":"Nature","id":"ITEM-1","issued":{"date-parts":[["2013","2","17"]]},"page":"443","publisher":"Nature Publishing Group, a division of Macmillan Publishers Limited. All Rights Reserved.","title":"Crystal structure of the entire respiratory complex I","type":"article-journal","volume":"494"},"uris":["http://www.mendeley.com/documents/?uuid=b734c581-3eb2-4088-870d-6a27b0018ab2"]}],"mendeley":{"formattedCitation":"(Baradaran &lt;i&gt;et al&lt;/i&gt;, 2013)","plainTextFormattedCitation":"(Baradaran et al, 2013)","previouslyFormattedCitation":"(Baradaran &lt;i&gt;et al&lt;/i&gt;, 2013)"},"properties":{"noteIndex":0},"schema":"https://github.com/citation-style-language/schema/raw/master/csl-citation.json"}</w:instrText>
      </w:r>
      <w:r w:rsidR="00E83D85" w:rsidRPr="00E97FC1">
        <w:rPr>
          <w:rFonts w:cs="Times New Roman"/>
          <w:szCs w:val="40"/>
          <w:lang w:val="en-GB"/>
        </w:rPr>
        <w:fldChar w:fldCharType="separate"/>
      </w:r>
      <w:r w:rsidR="00E55873" w:rsidRPr="00E97FC1">
        <w:rPr>
          <w:rFonts w:cs="Times New Roman"/>
          <w:noProof/>
          <w:szCs w:val="40"/>
          <w:lang w:val="en-GB"/>
        </w:rPr>
        <w:t xml:space="preserve">(Baradaran </w:t>
      </w:r>
      <w:r w:rsidR="00E55873" w:rsidRPr="00E97FC1">
        <w:rPr>
          <w:rFonts w:cs="Times New Roman"/>
          <w:i/>
          <w:noProof/>
          <w:szCs w:val="40"/>
          <w:lang w:val="en-GB"/>
        </w:rPr>
        <w:t>et al</w:t>
      </w:r>
      <w:r w:rsidR="00E55873" w:rsidRPr="00E97FC1">
        <w:rPr>
          <w:rFonts w:cs="Times New Roman"/>
          <w:noProof/>
          <w:szCs w:val="40"/>
          <w:lang w:val="en-GB"/>
        </w:rPr>
        <w:t>, 2013)</w:t>
      </w:r>
      <w:r w:rsidR="00E83D85" w:rsidRPr="00E97FC1">
        <w:rPr>
          <w:rFonts w:cs="Times New Roman"/>
          <w:szCs w:val="40"/>
          <w:lang w:val="en-GB"/>
        </w:rPr>
        <w:fldChar w:fldCharType="end"/>
      </w:r>
      <w:r w:rsidR="00E83D85" w:rsidRPr="00E97FC1">
        <w:rPr>
          <w:rFonts w:cs="Times New Roman"/>
          <w:szCs w:val="40"/>
          <w:lang w:val="en-GB"/>
        </w:rPr>
        <w:t>) structure with manually removed N-module was used as the initial model at the very first 3D classification</w:t>
      </w:r>
      <w:r w:rsidR="00E83D85" w:rsidRPr="00E97FC1">
        <w:rPr>
          <w:rFonts w:cs="Times New Roman"/>
          <w:i/>
          <w:szCs w:val="40"/>
          <w:lang w:val="en-GB"/>
        </w:rPr>
        <w:t xml:space="preserve">. </w:t>
      </w:r>
      <w:r w:rsidR="00E83D85" w:rsidRPr="00E97FC1">
        <w:rPr>
          <w:rFonts w:cs="Times New Roman"/>
          <w:szCs w:val="40"/>
          <w:lang w:val="en-GB"/>
        </w:rPr>
        <w:t>Good classes were re-extracted at the full pixel size. Next, particles were refined into a single “consensus” structure, followed by per-micrograph aberrations (two rounds), per-particle defocus (two rounds) and per-particle trajectory refinement using CtfRefine and Bayesian polishing tools. Afterwards</w:t>
      </w:r>
      <w:r w:rsidR="00C5030A" w:rsidRPr="00E97FC1">
        <w:rPr>
          <w:rFonts w:cs="Times New Roman"/>
          <w:szCs w:val="40"/>
          <w:lang w:val="en-GB"/>
        </w:rPr>
        <w:t>, another local 3D classification</w:t>
      </w:r>
      <w:r w:rsidR="00522474" w:rsidRPr="00E97FC1">
        <w:rPr>
          <w:rFonts w:cs="Times New Roman"/>
          <w:szCs w:val="40"/>
          <w:lang w:val="en-GB"/>
        </w:rPr>
        <w:t xml:space="preserve"> (with 1.8° and 0.9° angular searches)</w:t>
      </w:r>
      <w:r w:rsidR="00C5030A" w:rsidRPr="00E97FC1">
        <w:rPr>
          <w:rFonts w:cs="Times New Roman"/>
          <w:szCs w:val="40"/>
          <w:lang w:val="en-GB"/>
        </w:rPr>
        <w:t xml:space="preserve"> with k = 3</w:t>
      </w:r>
      <w:r w:rsidR="00E83D85" w:rsidRPr="00E97FC1">
        <w:rPr>
          <w:rFonts w:cs="Times New Roman"/>
          <w:szCs w:val="40"/>
          <w:lang w:val="en-GB"/>
        </w:rPr>
        <w:t xml:space="preserve"> and </w:t>
      </w:r>
      <w:r w:rsidR="004E254B" w:rsidRPr="00E97FC1">
        <w:rPr>
          <w:rFonts w:cs="Times New Roman"/>
          <w:szCs w:val="40"/>
          <w:lang w:val="en-GB"/>
        </w:rPr>
        <w:t>T = 8</w:t>
      </w:r>
      <w:r w:rsidR="00C5030A" w:rsidRPr="00E97FC1">
        <w:rPr>
          <w:rFonts w:cs="Times New Roman"/>
          <w:szCs w:val="40"/>
          <w:lang w:val="en-GB"/>
        </w:rPr>
        <w:t xml:space="preserve"> was performed</w:t>
      </w:r>
      <w:r w:rsidR="00E83D85" w:rsidRPr="00E97FC1">
        <w:rPr>
          <w:rFonts w:cs="Times New Roman"/>
          <w:szCs w:val="40"/>
          <w:lang w:val="en-GB"/>
        </w:rPr>
        <w:t xml:space="preserve">. This resulted in </w:t>
      </w:r>
      <w:r w:rsidR="00C5030A" w:rsidRPr="00E97FC1">
        <w:rPr>
          <w:rFonts w:cs="Times New Roman"/>
          <w:szCs w:val="40"/>
          <w:lang w:val="en-GB"/>
        </w:rPr>
        <w:t xml:space="preserve">a resting state, </w:t>
      </w:r>
      <w:r w:rsidR="00E83D85" w:rsidRPr="00E97FC1">
        <w:rPr>
          <w:rFonts w:cs="Times New Roman"/>
          <w:szCs w:val="40"/>
          <w:lang w:val="en-GB"/>
        </w:rPr>
        <w:t>open state</w:t>
      </w:r>
      <w:r w:rsidR="00C5030A" w:rsidRPr="00E97FC1">
        <w:rPr>
          <w:rFonts w:cs="Times New Roman"/>
          <w:szCs w:val="40"/>
          <w:lang w:val="en-GB"/>
        </w:rPr>
        <w:t xml:space="preserve"> and a junk</w:t>
      </w:r>
      <w:r w:rsidR="00E83D85" w:rsidRPr="00E97FC1">
        <w:rPr>
          <w:rFonts w:cs="Times New Roman"/>
          <w:szCs w:val="40"/>
          <w:lang w:val="en-GB"/>
        </w:rPr>
        <w:t xml:space="preserve"> class</w:t>
      </w:r>
      <w:r w:rsidR="00C5030A" w:rsidRPr="00E97FC1">
        <w:rPr>
          <w:rFonts w:cs="Times New Roman"/>
          <w:szCs w:val="40"/>
          <w:lang w:val="en-GB"/>
        </w:rPr>
        <w:t>es. Open and Resting classes where then separately refined.</w:t>
      </w:r>
    </w:p>
    <w:p w14:paraId="76CFD618" w14:textId="77777777" w:rsidR="00AF69F8" w:rsidRPr="00E97FC1" w:rsidRDefault="00AF69F8" w:rsidP="00AF69F8">
      <w:pPr>
        <w:ind w:firstLine="720"/>
        <w:rPr>
          <w:lang w:val="en-GB"/>
        </w:rPr>
      </w:pPr>
    </w:p>
    <w:p w14:paraId="1E554803" w14:textId="77777777" w:rsidR="009F243C" w:rsidRPr="00E97FC1" w:rsidRDefault="009F243C" w:rsidP="00F016AD">
      <w:pPr>
        <w:pStyle w:val="Heading2"/>
      </w:pPr>
      <w:bookmarkStart w:id="96" w:name="_Toc132640004"/>
      <w:r w:rsidRPr="00E97FC1">
        <w:t>Atomic model building and refinement</w:t>
      </w:r>
      <w:bookmarkEnd w:id="96"/>
    </w:p>
    <w:p w14:paraId="48B86724" w14:textId="77777777" w:rsidR="00B2551B" w:rsidRPr="00E97FC1" w:rsidRDefault="00B2551B" w:rsidP="000E177B">
      <w:pPr>
        <w:pStyle w:val="Heading3"/>
      </w:pPr>
      <w:bookmarkStart w:id="97" w:name="_Toc132640005"/>
      <w:r w:rsidRPr="00E97FC1">
        <w:t>Complex I model building</w:t>
      </w:r>
      <w:bookmarkEnd w:id="97"/>
    </w:p>
    <w:p w14:paraId="6559B7ED" w14:textId="1D6CA150" w:rsidR="0039228F" w:rsidRPr="00E97FC1" w:rsidRDefault="0039228F" w:rsidP="0028028E">
      <w:pPr>
        <w:ind w:firstLine="720"/>
        <w:rPr>
          <w:rFonts w:cs="Times New Roman"/>
          <w:szCs w:val="40"/>
          <w:lang w:val="en-GB"/>
        </w:rPr>
      </w:pPr>
      <w:r w:rsidRPr="00E97FC1">
        <w:rPr>
          <w:rFonts w:cs="Times New Roman"/>
          <w:szCs w:val="40"/>
          <w:lang w:val="en-GB"/>
        </w:rPr>
        <w:t xml:space="preserve">Initial models for the subunits of the peripheral arm, NuoH and NuoA were generated using homology modeling implemented in Phyre2 server </w:t>
      </w:r>
      <w:r w:rsidR="00D15237" w:rsidRPr="00E97FC1">
        <w:rPr>
          <w:rFonts w:cs="Times New Roman"/>
          <w:szCs w:val="40"/>
          <w:lang w:val="en-GB"/>
        </w:rPr>
        <w:fldChar w:fldCharType="begin" w:fldLock="1"/>
      </w:r>
      <w:r w:rsidR="00776703" w:rsidRPr="00E97FC1">
        <w:rPr>
          <w:rFonts w:cs="Times New Roman"/>
          <w:szCs w:val="40"/>
          <w:lang w:val="en-GB"/>
        </w:rPr>
        <w:instrText>ADDIN CSL_CITATION {"citationItems":[{"id":"ITEM-1","itemData":{"DOI":"10.1038/nprot.2015.053","ISSN":"1750-2799","abstract":"Phyre2 is a web-based tool for predicting and analyzing protein structure and function. Phyre2 uses advanced remote homology detection methods to build 3D models, predict ligand binding sites, and analyze amino acid variants in a protein sequence.","author":[{"dropping-particle":"","family":"Kelley","given":"Lawrence A","non-dropping-particle":"","parse-names":false,"suffix":""},{"dropping-particle":"","family":"Mezulis","given":"Stefans","non-dropping-particle":"","parse-names":false,"suffix":""},{"dropping-particle":"","family":"Yates","given":"Christopher M","non-dropping-particle":"","parse-names":false,"suffix":""},{"dropping-particle":"","family":"Wass","given":"Mark N","non-dropping-particle":"","parse-names":false,"suffix":""},{"dropping-particle":"","family":"Sternberg","given":"Michael J E","non-dropping-particle":"","parse-names":false,"suffix":""}],"container-title":"Nature Protocols","id":"ITEM-1","issue":"6","issued":{"date-parts":[["2015"]]},"page":"845-858","title":"The Phyre2 web portal for protein modeling, prediction and analysis","type":"article-journal","volume":"10"},"uris":["http://www.mendeley.com/documents/?uuid=75632dea-033d-4092-820c-6f297e0ea77b"]}],"mendeley":{"formattedCitation":"(Kelley &lt;i&gt;et al&lt;/i&gt;, 2015)","plainTextFormattedCitation":"(Kelley et al, 2015)","previouslyFormattedCitation":"(Kelley &lt;i&gt;et al&lt;/i&gt;, 2015)"},"properties":{"noteIndex":0},"schema":"https://github.com/citation-style-language/schema/raw/master/csl-citation.json"}</w:instrText>
      </w:r>
      <w:r w:rsidR="00D15237" w:rsidRPr="00E97FC1">
        <w:rPr>
          <w:rFonts w:cs="Times New Roman"/>
          <w:szCs w:val="40"/>
          <w:lang w:val="en-GB"/>
        </w:rPr>
        <w:fldChar w:fldCharType="separate"/>
      </w:r>
      <w:r w:rsidR="00E55873" w:rsidRPr="00E97FC1">
        <w:rPr>
          <w:rFonts w:cs="Times New Roman"/>
          <w:noProof/>
          <w:szCs w:val="40"/>
          <w:lang w:val="en-GB"/>
        </w:rPr>
        <w:t xml:space="preserve">(Kelley </w:t>
      </w:r>
      <w:r w:rsidR="00E55873" w:rsidRPr="00E97FC1">
        <w:rPr>
          <w:rFonts w:cs="Times New Roman"/>
          <w:i/>
          <w:noProof/>
          <w:szCs w:val="40"/>
          <w:lang w:val="en-GB"/>
        </w:rPr>
        <w:t>et al</w:t>
      </w:r>
      <w:r w:rsidR="00E55873" w:rsidRPr="00E97FC1">
        <w:rPr>
          <w:rFonts w:cs="Times New Roman"/>
          <w:noProof/>
          <w:szCs w:val="40"/>
          <w:lang w:val="en-GB"/>
        </w:rPr>
        <w:t>, 2015)</w:t>
      </w:r>
      <w:r w:rsidR="00D15237" w:rsidRPr="00E97FC1">
        <w:rPr>
          <w:rFonts w:cs="Times New Roman"/>
          <w:szCs w:val="40"/>
          <w:lang w:val="en-GB"/>
        </w:rPr>
        <w:fldChar w:fldCharType="end"/>
      </w:r>
      <w:r w:rsidRPr="00E97FC1">
        <w:rPr>
          <w:rFonts w:cs="Times New Roman"/>
          <w:szCs w:val="40"/>
          <w:lang w:val="en-GB"/>
        </w:rPr>
        <w:t xml:space="preserve">, using </w:t>
      </w:r>
      <w:r w:rsidRPr="00E97FC1">
        <w:rPr>
          <w:rFonts w:cs="Times New Roman"/>
          <w:i/>
          <w:szCs w:val="40"/>
          <w:lang w:val="en-GB"/>
        </w:rPr>
        <w:t>Tt</w:t>
      </w:r>
      <w:r w:rsidRPr="00E97FC1">
        <w:rPr>
          <w:rFonts w:cs="Times New Roman"/>
          <w:szCs w:val="40"/>
          <w:lang w:val="en-GB"/>
        </w:rPr>
        <w:t xml:space="preserve">CI (PDB 4HEA) as a template. Coordinates for the rest of the subunits were from the X-Ray structure of </w:t>
      </w:r>
      <w:r w:rsidRPr="00E97FC1">
        <w:rPr>
          <w:rFonts w:cs="Times New Roman"/>
          <w:i/>
          <w:szCs w:val="40"/>
          <w:lang w:val="en-GB"/>
        </w:rPr>
        <w:t>Ec</w:t>
      </w:r>
      <w:r w:rsidRPr="00E97FC1">
        <w:rPr>
          <w:rFonts w:cs="Times New Roman"/>
          <w:szCs w:val="40"/>
          <w:lang w:val="en-GB"/>
        </w:rPr>
        <w:t>CI membrane arm (PDB ID 3RKO</w:t>
      </w:r>
      <w:hyperlink w:anchor="_ENREF_9" w:tooltip="Efremov, 2011 #739" w:history="1"/>
      <w:r w:rsidRPr="00E97FC1">
        <w:rPr>
          <w:rFonts w:cs="Times New Roman"/>
          <w:szCs w:val="40"/>
          <w:lang w:val="en-GB"/>
        </w:rPr>
        <w:t xml:space="preserve"> </w:t>
      </w:r>
      <w:r w:rsidR="00D15237" w:rsidRPr="00E97FC1">
        <w:rPr>
          <w:rFonts w:cs="Times New Roman"/>
          <w:szCs w:val="40"/>
          <w:lang w:val="en-GB"/>
        </w:rPr>
        <w:fldChar w:fldCharType="begin" w:fldLock="1"/>
      </w:r>
      <w:r w:rsidR="00E55873" w:rsidRPr="00E97FC1">
        <w:rPr>
          <w:rFonts w:cs="Times New Roman"/>
          <w:szCs w:val="40"/>
          <w:lang w:val="en-GB"/>
        </w:rPr>
        <w:instrText>ADDIN CSL_CITATION {"citationItems":[{"id":"ITEM-1","itemData":{"DOI":"10.1038/nature10330","ISSN":"1476-4687 (Electronic)","PMID":"21822288","abstract":"Complex I is the first and largest enzyme of the respiratory chain, coupling electron transfer between NADH and ubiquinone to the translocation of four protons across the membrane. It has a central role in cellular energy production and has been implicated in many human neurodegenerative diseases. The L-shaped enzyme consists of hydrophilic and membrane domains. Previously, we determined the structure of the hydrophilic domain. Here we report the crystal structure of the Esherichia coli complex I membrane domain at 3.0 A resolution. It includes six subunits, NuoL, NuoM, NuoN, NuoA, NuoJ and NuoK, with 55 transmembrane helices. The fold of the homologous antiporter-like subunits L, M and N is novel, with two inverted structural repeats of five transmembrane helices arranged, unusually, face-to-back. Each repeat includes a discontinuous transmembrane helix and forms half of a channel across the membrane. A network of conserved polar residues connects the two half-channels, completing the proton translocation pathway. Unexpectedly, lysines rather than carboxylate residues act as the main elements of the proton pump in these subunits. The fourth probable proton-translocation channel is at the interface of subunits N, K, J and A. The structure indicates that proton translocation in complex I, uniquely, involves coordinated conformational changes in six symmetrical structural elements.","author":[{"dropping-particle":"","family":"Efremov","given":"Rouslan G","non-dropping-particle":"","parse-names":false,"suffix":""},{"dropping-particle":"","family":"Sazanov","given":"Leonid A","non-dropping-particle":"","parse-names":false,"suffix":""}],"container-title":"Nature","id":"ITEM-1","issue":"7361","issued":{"date-parts":[["2011","8"]]},"language":"eng","page":"414-420","publisher-place":"England","title":"Structure of the membrane domain of respiratory complex I.","type":"article-journal","volume":"476"},"uris":["http://www.mendeley.com/documents/?uuid=70e749ca-5ff6-4c28-b7a8-deff25e62773"]}],"mendeley":{"formattedCitation":"(Efremov &amp; Sazanov, 2011)","plainTextFormattedCitation":"(Efremov &amp; Sazanov, 2011)","previouslyFormattedCitation":"(Efremov &amp; Sazanov, 2011)"},"properties":{"noteIndex":0},"schema":"https://github.com/citation-style-language/schema/raw/master/csl-citation.json"}</w:instrText>
      </w:r>
      <w:r w:rsidR="00D15237" w:rsidRPr="00E97FC1">
        <w:rPr>
          <w:rFonts w:cs="Times New Roman"/>
          <w:szCs w:val="40"/>
          <w:lang w:val="en-GB"/>
        </w:rPr>
        <w:fldChar w:fldCharType="separate"/>
      </w:r>
      <w:r w:rsidR="00E55873" w:rsidRPr="00E97FC1">
        <w:rPr>
          <w:rFonts w:cs="Times New Roman"/>
          <w:noProof/>
          <w:szCs w:val="40"/>
          <w:lang w:val="en-GB"/>
        </w:rPr>
        <w:t>(Efremov &amp; Sazanov, 2011)</w:t>
      </w:r>
      <w:r w:rsidR="00D15237" w:rsidRPr="00E97FC1">
        <w:rPr>
          <w:rFonts w:cs="Times New Roman"/>
          <w:szCs w:val="40"/>
          <w:lang w:val="en-GB"/>
        </w:rPr>
        <w:fldChar w:fldCharType="end"/>
      </w:r>
      <w:r w:rsidRPr="00E97FC1">
        <w:rPr>
          <w:rFonts w:cs="Times New Roman"/>
          <w:szCs w:val="40"/>
          <w:lang w:val="en-GB"/>
        </w:rPr>
        <w:t xml:space="preserve">). All the subunits were fitted as rigid bodies with UCSF Chimera into the best resolved focus-refined maps of the peripheral and membrane arms. One round of five cycles of a real space refinement workflow in PHENIX </w:t>
      </w:r>
      <w:r w:rsidR="00D15237" w:rsidRPr="00E97FC1">
        <w:rPr>
          <w:rFonts w:cs="Times New Roman"/>
          <w:szCs w:val="40"/>
          <w:lang w:val="en-GB"/>
        </w:rPr>
        <w:fldChar w:fldCharType="begin" w:fldLock="1"/>
      </w:r>
      <w:r w:rsidR="00776703" w:rsidRPr="00E97FC1">
        <w:rPr>
          <w:rFonts w:cs="Times New Roman"/>
          <w:szCs w:val="40"/>
          <w:lang w:val="en-GB"/>
        </w:rPr>
        <w:instrText>ADDIN CSL_CITATION {"citationItems":[{"id":"ITEM-1","itemData":{"DOI":"10.1107/S0907444909052925","ISSN":"1399-0047 (Electronic)","PMID":"20124702","abstract":"Macromolecular X-ray crystallography is routinely applied to understand biological processes at a molecular level. However, significant time and effort are still required to solve and complete many of these structures because of the need for manual interpretation of complex numerical data using many software packages and the repeated use of interactive three-dimensional graphics. PHENIX has been developed to provide a comprehensive system for macromolecular crystallographic structure solution with an emphasis on the automation of all procedures. This has relied on the development of algorithms that minimize or eliminate subjective input, the development of algorithms that automate procedures that are traditionally performed by hand and, finally, the development of a framework that allows a tight integration between the algorithms.","author":[{"dropping-particle":"","family":"Adams","given":"Paul D","non-dropping-particle":"","parse-names":false,"suffix":""},{"dropping-particle":"V","family":"Afonine","given":"Pavel","non-dropping-particle":"","parse-names":false,"suffix":""},{"dropping-particle":"","family":"Bunkoczi","given":"Gabor","non-dropping-particle":"","parse-names":false,"suffix":""},{"dropping-particle":"","family":"Chen","given":"Vincent B","non-dropping-particle":"","parse-names":false,"suffix":""},{"dropping-particle":"","family":"Davis","given":"Ian W","non-dropping-particle":"","parse-names":false,"suffix":""},{"dropping-particle":"","family":"Echols","given":"Nathaniel","non-dropping-particle":"","parse-names":false,"suffix":""},{"dropping-particle":"","family":"Headd","given":"Jeffrey J","non-dropping-particle":"","parse-names":false,"suffix":""},{"dropping-particle":"","family":"Hung","given":"Li-Wei","non-dropping-particle":"","parse-names":false,"suffix":""},{"dropping-particle":"","family":"Kapral","given":"Gary J","non-dropping-particle":"","parse-names":false,"suffix":""},{"dropping-particle":"","family":"Grosse-Kunstleve","given":"Ralf W","non-dropping-particle":"","parse-names":false,"suffix":""},{"dropping-particle":"","family":"McCoy","given":"Airlie J","non-dropping-particle":"","parse-names":false,"suffix":""},{"dropping-particle":"","family":"Moriarty","given":"Nigel W","non-dropping-particle":"","parse-names":false,"suffix":""},{"dropping-particle":"","family":"Oeffner","given":"Robert","non-dropping-particle":"","parse-names":false,"suffix":""},{"dropping-particle":"","family":"Read","given":"Randy J","non-dropping-particle":"","parse-names":false,"suffix":""},{"dropping-particle":"","family":"Richardson","given":"David C","non-dropping-particle":"","parse-names":false,"suffix":""},{"dropping-particle":"","family":"Richardson","given":"Jane S","non-dropping-particle":"","parse-names":false,"suffix":""},{"dropping-particle":"","family":"Terwilliger","given":"Thomas C","non-dropping-particle":"","parse-names":false,"suffix":""},{"dropping-particle":"","family":"Zwart","given":"Peter H","non-dropping-particle":"","parse-names":false,"suffix":""}],"container-title":"Acta crystallographica. Section D, Biological crystallography","id":"ITEM-1","issue":"Pt 2","issued":{"date-parts":[["2010","2"]]},"language":"eng","page":"213-221","publisher-place":"United States","title":"PHENIX: a comprehensive Python-based system for macromolecular structure solution.","type":"article-journal","volume":"66"},"uris":["http://www.mendeley.com/documents/?uuid=9c776a53-34a8-45c5-8177-84c596a2400f"]}],"mendeley":{"formattedCitation":"(Adams &lt;i&gt;et al&lt;/i&gt;, 2010)","plainTextFormattedCitation":"(Adams et al, 2010)","previouslyFormattedCitation":"(Adams &lt;i&gt;et al&lt;/i&gt;, 2010)"},"properties":{"noteIndex":0},"schema":"https://github.com/citation-style-language/schema/raw/master/csl-citation.json"}</w:instrText>
      </w:r>
      <w:r w:rsidR="00D15237" w:rsidRPr="00E97FC1">
        <w:rPr>
          <w:rFonts w:cs="Times New Roman"/>
          <w:szCs w:val="40"/>
          <w:lang w:val="en-GB"/>
        </w:rPr>
        <w:fldChar w:fldCharType="separate"/>
      </w:r>
      <w:r w:rsidR="00E55873" w:rsidRPr="00E97FC1">
        <w:rPr>
          <w:rFonts w:cs="Times New Roman"/>
          <w:noProof/>
          <w:szCs w:val="40"/>
          <w:lang w:val="en-GB"/>
        </w:rPr>
        <w:t xml:space="preserve">(Adams </w:t>
      </w:r>
      <w:r w:rsidR="00E55873" w:rsidRPr="00E97FC1">
        <w:rPr>
          <w:rFonts w:cs="Times New Roman"/>
          <w:i/>
          <w:noProof/>
          <w:szCs w:val="40"/>
          <w:lang w:val="en-GB"/>
        </w:rPr>
        <w:t>et al</w:t>
      </w:r>
      <w:r w:rsidR="00E55873" w:rsidRPr="00E97FC1">
        <w:rPr>
          <w:rFonts w:cs="Times New Roman"/>
          <w:noProof/>
          <w:szCs w:val="40"/>
          <w:lang w:val="en-GB"/>
        </w:rPr>
        <w:t>, 2010)</w:t>
      </w:r>
      <w:r w:rsidR="00D15237" w:rsidRPr="00E97FC1">
        <w:rPr>
          <w:rFonts w:cs="Times New Roman"/>
          <w:szCs w:val="40"/>
          <w:lang w:val="en-GB"/>
        </w:rPr>
        <w:fldChar w:fldCharType="end"/>
      </w:r>
      <w:r w:rsidRPr="00E97FC1">
        <w:rPr>
          <w:rFonts w:cs="Times New Roman"/>
          <w:szCs w:val="40"/>
          <w:lang w:val="en-GB"/>
        </w:rPr>
        <w:t xml:space="preserve"> software was applied to resolve atom clashes and create the initial structure. Further, the initial structure was manually corrected in Coot </w:t>
      </w:r>
      <w:r w:rsidR="00D15237" w:rsidRPr="00E97FC1">
        <w:rPr>
          <w:rFonts w:cs="Times New Roman"/>
          <w:szCs w:val="40"/>
          <w:lang w:val="en-GB"/>
        </w:rPr>
        <w:fldChar w:fldCharType="begin" w:fldLock="1"/>
      </w:r>
      <w:r w:rsidR="00776703" w:rsidRPr="00E97FC1">
        <w:rPr>
          <w:rFonts w:cs="Times New Roman"/>
          <w:szCs w:val="40"/>
          <w:lang w:val="en-GB"/>
        </w:rPr>
        <w:instrText>ADDIN CSL_CITATION {"citationItems":[{"id":"ITEM-1","itemData":{"DOI":"10.1107/S0907444910007493","ISSN":"1399-0047 (Electronic)","PMID":"20383002","abstract":"Coot is a molecular-graphics application for model building and validation of biological macromolecules. The program displays electron-density maps and atomic models and allows model manipulations such as idealization, real-space refinement, manual rotation/translation, rigid-body fitting, ligand search, solvation, mutations, rotamers and Ramachandran idealization. Furthermore, tools are provided for model validation as well as interfaces to external programs for refinement, validation and graphics. The software is designed to be easy to learn for novice users, which is achieved by ensuring that tools for common tasks are 'discoverable' through familiar user-interface elements (menus and toolbars) or by intuitive behaviour (mouse controls). Recent developments have focused on providing tools for expert users, with customisable key bindings, extensions and an extensive scripting interface. The software is under rapid development, but has already achieved very widespread use within the crystallographic community. The current state of the software is presented, with a description of the facilities available and of some of the underlying methods employed.","author":[{"dropping-particle":"","family":"Emsley","given":"P","non-dropping-particle":"","parse-names":false,"suffix":""},{"dropping-particle":"","family":"Lohkamp","given":"B","non-dropping-particle":"","parse-names":false,"suffix":""},{"dropping-particle":"","family":"Scott","given":"W G","non-dropping-particle":"","parse-names":false,"suffix":""},{"dropping-particle":"","family":"Cowtan","given":"K","non-dropping-particle":"","parse-names":false,"suffix":""}],"container-title":"Acta crystallographica. Section D, Biological crystallography","id":"ITEM-1","issue":"Pt 4","issued":{"date-parts":[["2010","4"]]},"language":"eng","page":"486-501","publisher-place":"United States","title":"Features and development of Coot.","type":"article-journal","volume":"66"},"uris":["http://www.mendeley.com/documents/?uuid=a50f7993-f2a1-4513-870b-9af652c0374e"]}],"mendeley":{"formattedCitation":"(Emsley &lt;i&gt;et al&lt;/i&gt;, 2010)","plainTextFormattedCitation":"(Emsley et al, 2010)","previouslyFormattedCitation":"(Emsley &lt;i&gt;et al&lt;/i&gt;, 2010)"},"properties":{"noteIndex":0},"schema":"https://github.com/citation-style-language/schema/raw/master/csl-citation.json"}</w:instrText>
      </w:r>
      <w:r w:rsidR="00D15237" w:rsidRPr="00E97FC1">
        <w:rPr>
          <w:rFonts w:cs="Times New Roman"/>
          <w:szCs w:val="40"/>
          <w:lang w:val="en-GB"/>
        </w:rPr>
        <w:fldChar w:fldCharType="separate"/>
      </w:r>
      <w:r w:rsidR="00E55873" w:rsidRPr="00E97FC1">
        <w:rPr>
          <w:rFonts w:cs="Times New Roman"/>
          <w:noProof/>
          <w:szCs w:val="40"/>
          <w:lang w:val="en-GB"/>
        </w:rPr>
        <w:t xml:space="preserve">(Emsley </w:t>
      </w:r>
      <w:r w:rsidR="00E55873" w:rsidRPr="00E97FC1">
        <w:rPr>
          <w:rFonts w:cs="Times New Roman"/>
          <w:i/>
          <w:noProof/>
          <w:szCs w:val="40"/>
          <w:lang w:val="en-GB"/>
        </w:rPr>
        <w:t>et al</w:t>
      </w:r>
      <w:r w:rsidR="00E55873" w:rsidRPr="00E97FC1">
        <w:rPr>
          <w:rFonts w:cs="Times New Roman"/>
          <w:noProof/>
          <w:szCs w:val="40"/>
          <w:lang w:val="en-GB"/>
        </w:rPr>
        <w:t>, 2010)</w:t>
      </w:r>
      <w:r w:rsidR="00D15237" w:rsidRPr="00E97FC1">
        <w:rPr>
          <w:rFonts w:cs="Times New Roman"/>
          <w:szCs w:val="40"/>
          <w:lang w:val="en-GB"/>
        </w:rPr>
        <w:fldChar w:fldCharType="end"/>
      </w:r>
      <w:r w:rsidRPr="00E97FC1">
        <w:rPr>
          <w:rFonts w:cs="Times New Roman"/>
          <w:szCs w:val="40"/>
          <w:lang w:val="en-GB"/>
        </w:rPr>
        <w:t xml:space="preserve"> with </w:t>
      </w:r>
      <w:r w:rsidRPr="00E97FC1">
        <w:rPr>
          <w:rFonts w:cs="Times New Roman"/>
          <w:i/>
          <w:szCs w:val="40"/>
          <w:lang w:val="en-GB"/>
        </w:rPr>
        <w:t>de-novo</w:t>
      </w:r>
      <w:r w:rsidRPr="00E97FC1">
        <w:rPr>
          <w:rFonts w:cs="Times New Roman"/>
          <w:szCs w:val="40"/>
          <w:lang w:val="en-GB"/>
        </w:rPr>
        <w:t xml:space="preserve"> rebuilding of incorrectly homology-modelled parts (mainly in NuoG, NuoCD and NuoB). Secondary structure identification and modelling of poor density regions were assisted by data from PredictProtein server </w:t>
      </w:r>
      <w:r w:rsidR="000B0BEA" w:rsidRPr="00E97FC1">
        <w:rPr>
          <w:rFonts w:cs="Times New Roman"/>
          <w:szCs w:val="40"/>
          <w:lang w:val="en-GB"/>
        </w:rPr>
        <w:fldChar w:fldCharType="begin" w:fldLock="1"/>
      </w:r>
      <w:r w:rsidR="00776703" w:rsidRPr="00E97FC1">
        <w:rPr>
          <w:rFonts w:cs="Times New Roman"/>
          <w:szCs w:val="40"/>
          <w:lang w:val="en-GB"/>
        </w:rPr>
        <w:instrText>ADDIN CSL_CITATION {"citationItems":[{"id":"ITEM-1","itemData":{"DOI":"10.1093/nar/gkab354","ISSN":"0305-1048","abstract":"Since 1992 PredictProtein (https://predictprotein.org) is a one-stop online resource for protein sequence analysis with its main site hosted at the Luxembourg Centre for Systems Biomedicine (LCSB) and queried monthly by over 3,000 users in 2020. PredictProtein was the first Internet server for protein predictions. It pioneered combining evolutionary information and machine learning. Given a protein sequence as input, the server outputs multiple sequence alignments, predictions of protein structure in 1D and 2D (secondary structure, solvent accessibility, transmembrane segments, disordered regions, protein flexibility, and disulfide bridges) and predictions of protein function (functional effects of sequence variation or point mutations, Gene Ontology (GO) terms, subcellular localization, and protein-, RNA-, and DNA binding). PredictProtein's infrastructure has moved to the LCSB increasing throughput; the use of MMseqs2 sequence search reduced runtime five-fold (apparently without lowering performance of prediction methods); user interface elements improved usability, and new prediction methods were added. PredictProtein recently included predictions from deep learning embeddings (GO and secondary structure) and a method for the prediction of proteins and residues binding DNA, RNA, or other proteins. PredictProtein.org aspires to provide reliable predictions to computational and experimental biologists alike. All scripts and methods are freely available for offline execution in high-throughput settings.","author":[{"dropping-particle":"","family":"Bernhofer","given":"Michael","non-dropping-particle":"","parse-names":false,"suffix":""},{"dropping-particle":"","family":"Dallago","given":"Christian","non-dropping-particle":"","parse-names":false,"suffix":""},{"dropping-particle":"","family":"Karl","given":"Tim","non-dropping-particle":"","parse-names":false,"suffix":""},{"dropping-particle":"","family":"Satagopam","given":"Venkata","non-dropping-particle":"","parse-names":false,"suffix":""},{"dropping-particle":"","family":"Heinzinger","given":"Michael","non-dropping-particle":"","parse-names":false,"suffix":""},{"dropping-particle":"","family":"Littmann","given":"Maria","non-dropping-particle":"","parse-names":false,"suffix":""},{"dropping-particle":"","family":"Olenyi","given":"Tobias","non-dropping-particle":"","parse-names":false,"suffix":""},{"dropping-particle":"","family":"Qiu","given":"Jiajun","non-dropping-particle":"","parse-names":false,"suffix":""},{"dropping-particle":"","family":"Schütze","given":"Konstantin","non-dropping-particle":"","parse-names":false,"suffix":""},{"dropping-particle":"","family":"Yachdav","given":"Guy","non-dropping-particle":"","parse-names":false,"suffix":""},{"dropping-particle":"","family":"Ashkenazy","given":"Haim","non-dropping-particle":"","parse-names":false,"suffix":""},{"dropping-particle":"","family":"Ben-Tal","given":"Nir","non-dropping-particle":"","parse-names":false,"suffix":""},{"dropping-particle":"","family":"Bromberg","given":"Yana","non-dropping-particle":"","parse-names":false,"suffix":""},{"dropping-particle":"","family":"Goldberg","given":"Tatyana","non-dropping-particle":"","parse-names":false,"suffix":""},{"dropping-particle":"","family":"Kajan","given":"Laszlo","non-dropping-particle":"","parse-names":false,"suffix":""},{"dropping-particle":"","family":"O’Donoghue","given":"Sean","non-dropping-particle":"","parse-names":false,"suffix":""},{"dropping-particle":"","family":"Sander","given":"Chris","non-dropping-particle":"","parse-names":false,"suffix":""},{"dropping-particle":"","family":"Schafferhans","given":"Andrea","non-dropping-particle":"","parse-names":false,"suffix":""},{"dropping-particle":"","family":"Schlessinger","given":"Avner","non-dropping-particle":"","parse-names":false,"suffix":""},{"dropping-particle":"","family":"Vriend","given":"Gerrit","non-dropping-particle":"","parse-names":false,"suffix":""},{"dropping-particle":"","family":"Mirdita","given":"Milot","non-dropping-particle":"","parse-names":false,"suffix":""},{"dropping-particle":"","family":"Gawron","given":"Piotr","non-dropping-particle":"","parse-names":false,"suffix":""},{"dropping-particle":"","family":"Gu","given":"Wei","non-dropping-particle":"","parse-names":false,"suffix":""},{"dropping-particle":"","family":"Jarosz","given":"Yohan","non-dropping-particle":"","parse-names":false,"suffix":""},{"dropping-particle":"","family":"Trefois","given":"Christophe","non-dropping-particle":"","parse-names":false,"suffix":""},{"dropping-particle":"","family":"Steinegger","given":"Martin","non-dropping-particle":"","parse-names":false,"suffix":""},{"dropping-particle":"","family":"Schneider","given":"Reinhard","non-dropping-particle":"","parse-names":false,"suffix":""},{"dropping-particle":"","family":"Rost","given":"Burkhard","non-dropping-particle":"","parse-names":false,"suffix":""}],"container-title":"Nucleic Acids Research","id":"ITEM-1","issue":"W1","issued":{"date-parts":[["2021","7"]]},"page":"W535-W540","title":"PredictProtein - Predicting Protein Structure and Function for 29 Years","type":"article-journal","volume":"49"},"uris":["http://www.mendeley.com/documents/?uuid=3fc7f4df-de50-4b07-b6ad-052997d88578","http://www.mendeley.com/documents/?uuid=110d78e0-8024-4dcf-8a19-e60afd41afb1"]}],"mendeley":{"formattedCitation":"(Bernhofer &lt;i&gt;et al&lt;/i&gt;, 2021)","plainTextFormattedCitation":"(Bernhofer et al, 2021)","previouslyFormattedCitation":"(Bernhofer &lt;i&gt;et al&lt;/i&gt;, 2021)"},"properties":{"noteIndex":0},"schema":"https://github.com/citation-style-language/schema/raw/master/csl-citation.json"}</w:instrText>
      </w:r>
      <w:r w:rsidR="000B0BEA" w:rsidRPr="00E97FC1">
        <w:rPr>
          <w:rFonts w:cs="Times New Roman"/>
          <w:szCs w:val="40"/>
          <w:lang w:val="en-GB"/>
        </w:rPr>
        <w:fldChar w:fldCharType="separate"/>
      </w:r>
      <w:r w:rsidR="00E55873" w:rsidRPr="00E97FC1">
        <w:rPr>
          <w:rFonts w:cs="Times New Roman"/>
          <w:noProof/>
          <w:szCs w:val="40"/>
          <w:lang w:val="en-GB"/>
        </w:rPr>
        <w:t xml:space="preserve">(Bernhofer </w:t>
      </w:r>
      <w:r w:rsidR="00E55873" w:rsidRPr="00E97FC1">
        <w:rPr>
          <w:rFonts w:cs="Times New Roman"/>
          <w:i/>
          <w:noProof/>
          <w:szCs w:val="40"/>
          <w:lang w:val="en-GB"/>
        </w:rPr>
        <w:t>et al</w:t>
      </w:r>
      <w:r w:rsidR="00E55873" w:rsidRPr="00E97FC1">
        <w:rPr>
          <w:rFonts w:cs="Times New Roman"/>
          <w:noProof/>
          <w:szCs w:val="40"/>
          <w:lang w:val="en-GB"/>
        </w:rPr>
        <w:t>, 2021)</w:t>
      </w:r>
      <w:r w:rsidR="000B0BEA" w:rsidRPr="00E97FC1">
        <w:rPr>
          <w:rFonts w:cs="Times New Roman"/>
          <w:szCs w:val="40"/>
          <w:lang w:val="en-GB"/>
        </w:rPr>
        <w:fldChar w:fldCharType="end"/>
      </w:r>
      <w:r w:rsidRPr="00E97FC1">
        <w:rPr>
          <w:rFonts w:cs="Times New Roman"/>
          <w:szCs w:val="40"/>
          <w:lang w:val="en-GB"/>
        </w:rPr>
        <w:t xml:space="preserve">. The initial structure was further improved by iterating manual adjustment in Coot and automated real space refinement in PHENIX, using our script which performs two rounds of a single cycle of ADP refinement with subsequent three cycles of global energy minimization to optimize B-factors so that electron radiation-damaged carboxylate side-chains acquire high B-factors and do not lead to main-chain distortions </w:t>
      </w:r>
      <w:r w:rsidR="00D15237" w:rsidRPr="00E97FC1">
        <w:rPr>
          <w:rFonts w:cs="Times New Roman"/>
          <w:szCs w:val="40"/>
          <w:lang w:val="en-GB"/>
        </w:rPr>
        <w:fldChar w:fldCharType="begin" w:fldLock="1"/>
      </w:r>
      <w:r w:rsidR="00776703" w:rsidRPr="00E97FC1">
        <w:rPr>
          <w:rFonts w:cs="Times New Roman"/>
          <w:szCs w:val="40"/>
          <w:lang w:val="en-GB"/>
        </w:rPr>
        <w:instrText>ADDIN CSL_CITATION {"citationItems":[{"id":"ITEM-1","itemData":{"DOI":"10.1016/j.molcel.2019.07.022","ISSN":"10972765","PMID":"31492636","abstract":"The mitochondrial electron transport chain complexes are organized into supercomplexes (SCs) of defined stoichiometry, which have been proposed to regulate electron flux via substrate channeling. We demonstrate that CoQ trapping in the isolated SC I+III2 limits complex (C)I turnover, arguing against channeling. The SC structure, resolved at up to 3.8 Å in four distinct states, suggests that CoQ oxidation may be rate limiting because of unequal access of CoQ to the active sites of CIII2. CI shows a transition between \"closed\" and \"open\" conformations, accompanied by the striking rotation of a key transmembrane helix. Furthermore, the state of CI affects the conformational flexibility within CIII2, demonstrating crosstalk between the enzymes. CoQ was identified at only three of the four binding sites in CIII2, suggesting that interaction with CI disrupts CIII2 symmetry in a functionally relevant manner. Together, these observations indicate a more nuanced functional role for the SCs.","author":[{"dropping-particle":"","family":"Letts","given":"James A.","non-dropping-particle":"","parse-names":false,"suffix":""},{"dropping-particle":"","family":"Fiedorczuk","given":"Karol","non-dropping-particle":"","parse-names":false,"suffix":""},{"dropping-particle":"","family":"Degliesposti","given":"Gianluca","non-dropping-particle":"","parse-names":false,"suffix":""},{"dropping-particle":"","family":"Skehel","given":"Mark","non-dropping-particle":"","parse-names":false,"suffix":""},{"dropping-particle":"","family":"Sazanov","given":"Leonid A.","non-dropping-particle":"","parse-names":false,"suffix":""}],"container-title":"Molecular Cell","id":"ITEM-1","issue":"6","issued":{"date-parts":[["2019","9"]]},"page":"1131-1146.e6","publisher":"Cell Press","title":"Structures of Respiratory Supercomplex I+III2 Reveal Functional and Conformational Crosstalk","type":"article-journal","volume":"75"},"uris":["http://www.mendeley.com/documents/?uuid=4dbcb868-dac5-43e5-b8be-12ab493413c3"]}],"mendeley":{"formattedCitation":"(Letts &lt;i&gt;et al&lt;/i&gt;, 2019)","plainTextFormattedCitation":"(Letts et al, 2019)","previouslyFormattedCitation":"(Letts &lt;i&gt;et al&lt;/i&gt;, 2019)"},"properties":{"noteIndex":0},"schema":"https://github.com/citation-style-language/schema/raw/master/csl-citation.json"}</w:instrText>
      </w:r>
      <w:r w:rsidR="00D15237" w:rsidRPr="00E97FC1">
        <w:rPr>
          <w:rFonts w:cs="Times New Roman"/>
          <w:szCs w:val="40"/>
          <w:lang w:val="en-GB"/>
        </w:rPr>
        <w:fldChar w:fldCharType="separate"/>
      </w:r>
      <w:r w:rsidR="00E55873" w:rsidRPr="00E97FC1">
        <w:rPr>
          <w:rFonts w:cs="Times New Roman"/>
          <w:noProof/>
          <w:szCs w:val="40"/>
          <w:lang w:val="en-GB"/>
        </w:rPr>
        <w:t xml:space="preserve">(Letts </w:t>
      </w:r>
      <w:r w:rsidR="00E55873" w:rsidRPr="00E97FC1">
        <w:rPr>
          <w:rFonts w:cs="Times New Roman"/>
          <w:i/>
          <w:noProof/>
          <w:szCs w:val="40"/>
          <w:lang w:val="en-GB"/>
        </w:rPr>
        <w:t>et al</w:t>
      </w:r>
      <w:r w:rsidR="00E55873" w:rsidRPr="00E97FC1">
        <w:rPr>
          <w:rFonts w:cs="Times New Roman"/>
          <w:noProof/>
          <w:szCs w:val="40"/>
          <w:lang w:val="en-GB"/>
        </w:rPr>
        <w:t>, 2019)</w:t>
      </w:r>
      <w:r w:rsidR="00D15237" w:rsidRPr="00E97FC1">
        <w:rPr>
          <w:rFonts w:cs="Times New Roman"/>
          <w:szCs w:val="40"/>
          <w:lang w:val="en-GB"/>
        </w:rPr>
        <w:fldChar w:fldCharType="end"/>
      </w:r>
      <w:r w:rsidRPr="00E97FC1">
        <w:rPr>
          <w:rFonts w:cs="Times New Roman"/>
          <w:szCs w:val="40"/>
          <w:lang w:val="en-GB"/>
        </w:rPr>
        <w:t xml:space="preserve">. This way we built template structures of the peripheral and membrane arms against the best resolved focus-refined maps. These template structures had been fit as rigid bodies into each class, followed by adjustment and correction with the iterative use of Coot and PHENIX. Topologies for lipids and ligands for refinement </w:t>
      </w:r>
      <w:r w:rsidRPr="00E97FC1">
        <w:rPr>
          <w:rFonts w:cs="Times New Roman"/>
          <w:szCs w:val="40"/>
          <w:lang w:val="en-GB"/>
        </w:rPr>
        <w:lastRenderedPageBreak/>
        <w:t>in Coot and PHENIX were generated using the grade web-server (http://grade.globalphasing.org). In order to reliably build experimental water molecules, the maps were filtered by local resolution and resampled at 0.5 Å per pixel using relion_image_handler. After this procedure, water molecules displayed strong signal (&gt;2</w:t>
      </w:r>
      <w:r w:rsidRPr="00E97FC1">
        <w:rPr>
          <w:rFonts w:ascii="Symbol" w:hAnsi="Symbol" w:cs="Times New Roman"/>
          <w:szCs w:val="40"/>
          <w:lang w:val="en-GB"/>
        </w:rPr>
        <w:t></w:t>
      </w:r>
      <w:r w:rsidRPr="00E97FC1">
        <w:rPr>
          <w:rFonts w:cs="Times New Roman"/>
          <w:szCs w:val="40"/>
          <w:lang w:val="en-GB"/>
        </w:rPr>
        <w:t xml:space="preserve">), had nearly spherical densities, were not clashing with other atoms, and participated in hydrogen bonds, which are all strongly indicative of real water molecules. This allowed automatic placement of water molecules in Coot, which were then all checked and corrected manually guided by “undowse” feature of Molprobity web-server </w:t>
      </w:r>
      <w:r w:rsidR="00D15237" w:rsidRPr="00E97FC1">
        <w:rPr>
          <w:rFonts w:cs="Times New Roman"/>
          <w:szCs w:val="40"/>
          <w:lang w:val="en-GB"/>
        </w:rPr>
        <w:fldChar w:fldCharType="begin" w:fldLock="1"/>
      </w:r>
      <w:r w:rsidR="00776703" w:rsidRPr="00E97FC1">
        <w:rPr>
          <w:rFonts w:cs="Times New Roman"/>
          <w:szCs w:val="40"/>
          <w:lang w:val="en-GB"/>
        </w:rPr>
        <w:instrText>ADDIN CSL_CITATION {"citationItems":[{"id":"ITEM-1","itemData":{"DOI":"10.1002/pro.3330","ISSN":"1469-896X (Electronic)","PMID":"29067766","abstract":"This paper describes the current update on macromolecular model validation  services that are provided at the MolProbity website, emphasizing changes and additions since the previous review in 2010. There have been many infrastructure improvements, including rewrite of previous Java utilities to now use existing or newly written Python utilities in the open-source CCTBX portion of the Phenix software system. This improves long-term maintainability and enhances the thorough integration of MolProbity-style validation within Phenix. There is now a complete MolProbity mirror site at http://molprobity.manchester.ac.uk. GitHub serves our open-source code, reference datasets, and the resulting multi-dimensional distributions that define most validation criteria. Coordinate output after Asn/Gln/His \"flip\" correction is now more idealized, since the post-refinement step has apparently often been skipped in the past. Two distinct sets of heavy-atom-to-hydrogen distances and accompanying van der Waals radii have been researched and improved in accuracy, one for the electron-cloud-center positions suitable for X-ray crystallography and one for nuclear positions. New validations include messages at input about problem-causing format irregularities, updates of Ramachandran and rotamer criteria from the million quality-filtered residues in a new reference dataset, the CaBLAM Cα-CO virtual-angle analysis of backbone and secondary structure for cryoEM or low-resolution X-ray, and flagging of the very rare cis-nonProline and twisted peptides which have recently been greatly overused. Due to wide application of MolProbity validation and corrections by the research community, in Phenix, and at the worldwide Protein Data Bank, newly deposited structures have continued to improve greatly as measured by MolProbity's unique all-atom clashscore.","author":[{"dropping-particle":"","family":"Williams","given":"Christopher J","non-dropping-particle":"","parse-names":false,"suffix":""},{"dropping-particle":"","family":"Headd","given":"Jeffrey J","non-dropping-particle":"","parse-names":false,"suffix":""},{"dropping-particle":"","family":"Moriarty","given":"Nigel W","non-dropping-particle":"","parse-names":false,"suffix":""},{"dropping-particle":"","family":"Prisant","given":"Michael G","non-dropping-particle":"","parse-names":false,"suffix":""},{"dropping-particle":"","family":"Videau","given":"Lizbeth L","non-dropping-particle":"","parse-names":false,"suffix":""},{"dropping-particle":"","family":"Deis","given":"Lindsay N","non-dropping-particle":"","parse-names":false,"suffix":""},{"dropping-particle":"","family":"Verma","given":"Vishal","non-dropping-particle":"","parse-names":false,"suffix":""},{"dropping-particle":"","family":"Keedy","given":"Daniel A","non-dropping-particle":"","parse-names":false,"suffix":""},{"dropping-particle":"","family":"Hintze","given":"Bradley J","non-dropping-particle":"","parse-names":false,"suffix":""},{"dropping-particle":"","family":"Chen","given":"Vincent B","non-dropping-particle":"","parse-names":false,"suffix":""},{"dropping-particle":"","family":"Jain","given":"Swati","non-dropping-particle":"","parse-names":false,"suffix":""},{"dropping-particle":"","family":"Lewis","given":"Steven M","non-dropping-particle":"","parse-names":false,"suffix":""},{"dropping-particle":"","family":"Arendall","given":"W Bryan 3rd","non-dropping-particle":"","parse-names":false,"suffix":""},{"dropping-particle":"","family":"Snoeyink","given":"Jack","non-dropping-particle":"","parse-names":false,"suffix":""},{"dropping-particle":"","family":"Adams","given":"Paul D","non-dropping-particle":"","parse-names":false,"suffix":""},{"dropping-particle":"","family":"Lovell","given":"Simon C","non-dropping-particle":"","parse-names":false,"suffix":""},{"dropping-particle":"","family":"Richardson","given":"Jane S","non-dropping-particle":"","parse-names":false,"suffix":""},{"dropping-particle":"","family":"Richardson","given":"David C","non-dropping-particle":"","parse-names":false,"suffix":""}],"container-title":"Protein science : a publication of the Protein Society","id":"ITEM-1","issue":"1","issued":{"date-parts":[["2018","1"]]},"language":"eng","page":"293-315","title":"MolProbity: More and better reference data for improved all-atom structure  validation.","type":"article-journal","volume":"27"},"uris":["http://www.mendeley.com/documents/?uuid=2da8d95e-af2c-4a16-96df-8b7835d45998"]}],"mendeley":{"formattedCitation":"(Williams &lt;i&gt;et al&lt;/i&gt;, 2018)","plainTextFormattedCitation":"(Williams et al, 2018)","previouslyFormattedCitation":"(Williams &lt;i&gt;et al&lt;/i&gt;, 2018)"},"properties":{"noteIndex":0},"schema":"https://github.com/citation-style-language/schema/raw/master/csl-citation.json"}</w:instrText>
      </w:r>
      <w:r w:rsidR="00D15237" w:rsidRPr="00E97FC1">
        <w:rPr>
          <w:rFonts w:cs="Times New Roman"/>
          <w:szCs w:val="40"/>
          <w:lang w:val="en-GB"/>
        </w:rPr>
        <w:fldChar w:fldCharType="separate"/>
      </w:r>
      <w:r w:rsidR="00E55873" w:rsidRPr="00E97FC1">
        <w:rPr>
          <w:rFonts w:cs="Times New Roman"/>
          <w:noProof/>
          <w:szCs w:val="40"/>
          <w:lang w:val="en-GB"/>
        </w:rPr>
        <w:t xml:space="preserve">(Williams </w:t>
      </w:r>
      <w:r w:rsidR="00E55873" w:rsidRPr="00E97FC1">
        <w:rPr>
          <w:rFonts w:cs="Times New Roman"/>
          <w:i/>
          <w:noProof/>
          <w:szCs w:val="40"/>
          <w:lang w:val="en-GB"/>
        </w:rPr>
        <w:t>et al</w:t>
      </w:r>
      <w:r w:rsidR="00E55873" w:rsidRPr="00E97FC1">
        <w:rPr>
          <w:rFonts w:cs="Times New Roman"/>
          <w:noProof/>
          <w:szCs w:val="40"/>
          <w:lang w:val="en-GB"/>
        </w:rPr>
        <w:t>, 2018)</w:t>
      </w:r>
      <w:r w:rsidR="00D15237" w:rsidRPr="00E97FC1">
        <w:rPr>
          <w:rFonts w:cs="Times New Roman"/>
          <w:szCs w:val="40"/>
          <w:lang w:val="en-GB"/>
        </w:rPr>
        <w:fldChar w:fldCharType="end"/>
      </w:r>
      <w:r w:rsidRPr="00E97FC1">
        <w:rPr>
          <w:rFonts w:cs="Times New Roman"/>
          <w:szCs w:val="40"/>
          <w:lang w:val="en-GB"/>
        </w:rPr>
        <w:t xml:space="preserve">. Using this protocol, we could reliably build water molecules in the maps of higher than 2.8 Å resolution. The same resampled maps were used for depiction purposes. </w:t>
      </w:r>
    </w:p>
    <w:p w14:paraId="3DF1F5DC" w14:textId="77777777" w:rsidR="0039228F" w:rsidRPr="00E97FC1" w:rsidRDefault="0039228F" w:rsidP="0039228F">
      <w:pPr>
        <w:rPr>
          <w:lang w:val="en-GB"/>
        </w:rPr>
      </w:pPr>
    </w:p>
    <w:p w14:paraId="0671CEF2" w14:textId="77777777" w:rsidR="00B2551B" w:rsidRPr="00E97FC1" w:rsidRDefault="00B2551B" w:rsidP="000E177B">
      <w:pPr>
        <w:pStyle w:val="Heading3"/>
      </w:pPr>
      <w:bookmarkStart w:id="98" w:name="_Toc132640006"/>
      <w:r w:rsidRPr="00E97FC1">
        <w:t>NDH model building</w:t>
      </w:r>
      <w:bookmarkEnd w:id="98"/>
    </w:p>
    <w:p w14:paraId="571CBB1B" w14:textId="31E15560" w:rsidR="00700C96" w:rsidRPr="00E97FC1" w:rsidRDefault="00700C96" w:rsidP="00700C96">
      <w:pPr>
        <w:ind w:firstLine="720"/>
        <w:rPr>
          <w:rFonts w:cs="Times New Roman"/>
          <w:szCs w:val="40"/>
          <w:lang w:val="en-GB"/>
        </w:rPr>
      </w:pPr>
      <w:r w:rsidRPr="00E97FC1">
        <w:rPr>
          <w:lang w:val="en-GB"/>
        </w:rPr>
        <w:t>Previously resolved NDH model (</w:t>
      </w:r>
      <w:r w:rsidRPr="00E97FC1">
        <w:rPr>
          <w:rFonts w:cs="Times New Roman"/>
          <w:szCs w:val="40"/>
          <w:lang w:val="en-GB"/>
        </w:rPr>
        <w:t xml:space="preserve">PDB ID 6HUM </w:t>
      </w:r>
      <w:r w:rsidRPr="00E97FC1">
        <w:rPr>
          <w:rFonts w:cs="Times New Roman"/>
          <w:szCs w:val="40"/>
          <w:lang w:val="en-GB"/>
        </w:rPr>
        <w:fldChar w:fldCharType="begin" w:fldLock="1"/>
      </w:r>
      <w:r w:rsidR="00776703" w:rsidRPr="00E97FC1">
        <w:rPr>
          <w:rFonts w:cs="Times New Roman"/>
          <w:szCs w:val="40"/>
          <w:lang w:val="en-GB"/>
        </w:rPr>
        <w:instrText>ADDIN CSL_CITATION {"citationItems":[{"id":"ITEM-1","itemData":{"DOI":"10.1126/science.aau3613","ISSN":"1095-9203 (Electronic)","PMID":"30573545","abstract":"Photosynthetic complex I enables cyclic electron flow around photosystem I, a regulatory mechanism for photosynthetic energy conversion. We report a 3.3-angstrom-resolution cryo-electron microscopy structure of photosynthetic complex I from the cyanobacterium Thermosynechococcus elongatus. The model reveals structural adaptations that facilitate binding and electron transfer from the photosynthetic electron carrier ferredoxin. By mimicking cyclic electron flow with isolated components in vitro, we demonstrate that ferredoxin directly mediates electron transfer between photosystem I and complex I, instead of using intermediates such as NADPH (the reduced form of nicotinamide adenine dinucleotide phosphate). A large rate constant for association of ferredoxin to complex I indicates efficient recognition, with the protein subunit NdhS being the key component in this process.","author":[{"dropping-particle":"","family":"Schuller","given":"Jan M","non-dropping-particle":"","parse-names":false,"suffix":""},{"dropping-particle":"","family":"Birrell","given":"James A","non-dropping-particle":"","parse-names":false,"suffix":""},{"dropping-particle":"","family":"Tanaka","given":"Hideaki","non-dropping-particle":"","parse-names":false,"suffix":""},{"dropping-particle":"","family":"Konuma","given":"Tsuyoshi","non-dropping-particle":"","parse-names":false,"suffix":""},{"dropping-particle":"","family":"Wulfhorst","given":"Hannes","non-dropping-particle":"","parse-names":false,"suffix":""},{"dropping-particle":"","family":"Cox","given":"Nicholas","non-dropping-particle":"","parse-names":false,"suffix":""},{"dropping-particle":"","family":"Schuller","given":"Sandra K","non-dropping-particle":"","parse-names":false,"suffix":""},{"dropping-particle":"","family":"Thiemann","given":"Jacqueline","non-dropping-particle":"","parse-names":false,"suffix":""},{"dropping-particle":"","family":"Lubitz","given":"Wolfgang","non-dropping-particle":"","parse-names":false,"suffix":""},{"dropping-particle":"","family":"Setif","given":"Pierre","non-dropping-particle":"","parse-names":false,"suffix":""},{"dropping-particle":"","family":"Ikegami","given":"Takahisa","non-dropping-particle":"","parse-names":false,"suffix":""},{"dropping-particle":"","family":"Engel","given":"Benjamin D","non-dropping-particle":"","parse-names":false,"suffix":""},{"dropping-particle":"","family":"Kurisu","given":"Genji","non-dropping-particle":"","parse-names":false,"suffix":""},{"dropping-particle":"","family":"Nowaczyk","given":"Marc M","non-dropping-particle":"","parse-names":false,"suffix":""}],"container-title":"Science (New York, N.Y.)","id":"ITEM-1","issue":"6424","issued":{"date-parts":[["2019","1"]]},"language":"eng","page":"257-260","publisher-place":"United States","title":"Structural adaptations of photosynthetic complex I enable ferredoxin-dependent electron transfer.","type":"article-journal","volume":"363"},"uris":["http://www.mendeley.com/documents/?uuid=e9af2d6b-88c0-4dd3-bef4-3ab2d63c2d96"]}],"mendeley":{"formattedCitation":"(Schuller &lt;i&gt;et al&lt;/i&gt;, 2019)","plainTextFormattedCitation":"(Schuller et al, 2019)","previouslyFormattedCitation":"(Schuller &lt;i&gt;et al&lt;/i&gt;, 2019)"},"properties":{"noteIndex":0},"schema":"https://github.com/citation-style-language/schema/raw/master/csl-citation.json"}</w:instrText>
      </w:r>
      <w:r w:rsidRPr="00E97FC1">
        <w:rPr>
          <w:rFonts w:cs="Times New Roman"/>
          <w:szCs w:val="40"/>
          <w:lang w:val="en-GB"/>
        </w:rPr>
        <w:fldChar w:fldCharType="separate"/>
      </w:r>
      <w:r w:rsidR="00E55873" w:rsidRPr="00E97FC1">
        <w:rPr>
          <w:rFonts w:cs="Times New Roman"/>
          <w:noProof/>
          <w:szCs w:val="40"/>
          <w:lang w:val="en-GB"/>
        </w:rPr>
        <w:t xml:space="preserve">(Schuller </w:t>
      </w:r>
      <w:r w:rsidR="00E55873" w:rsidRPr="00E97FC1">
        <w:rPr>
          <w:rFonts w:cs="Times New Roman"/>
          <w:i/>
          <w:noProof/>
          <w:szCs w:val="40"/>
          <w:lang w:val="en-GB"/>
        </w:rPr>
        <w:t>et al</w:t>
      </w:r>
      <w:r w:rsidR="00E55873" w:rsidRPr="00E97FC1">
        <w:rPr>
          <w:rFonts w:cs="Times New Roman"/>
          <w:noProof/>
          <w:szCs w:val="40"/>
          <w:lang w:val="en-GB"/>
        </w:rPr>
        <w:t>, 2019)</w:t>
      </w:r>
      <w:r w:rsidRPr="00E97FC1">
        <w:rPr>
          <w:rFonts w:cs="Times New Roman"/>
          <w:szCs w:val="40"/>
          <w:lang w:val="en-GB"/>
        </w:rPr>
        <w:fldChar w:fldCharType="end"/>
      </w:r>
      <w:r w:rsidRPr="00E97FC1">
        <w:rPr>
          <w:rFonts w:cs="Times New Roman"/>
          <w:szCs w:val="40"/>
          <w:lang w:val="en-GB"/>
        </w:rPr>
        <w:t>) was fit (membrane and peripheral domains separately) into density and refined using phenix and coot routine mentioned above. NdhL subunit in the resting state was almost de-novo rebuilt as the conformation was not observed before. Ligand topologies and quality control routine was similar to the described above.</w:t>
      </w:r>
    </w:p>
    <w:p w14:paraId="0442E68F" w14:textId="77777777" w:rsidR="0039228F" w:rsidRPr="00E97FC1" w:rsidRDefault="00705721" w:rsidP="00700C96">
      <w:pPr>
        <w:ind w:firstLine="720"/>
        <w:rPr>
          <w:lang w:val="en-GB"/>
        </w:rPr>
      </w:pPr>
      <w:hyperlink w:anchor="_ENREF_9" w:tooltip="Efremov, 2011 #739" w:history="1"/>
    </w:p>
    <w:p w14:paraId="1593B712" w14:textId="77777777" w:rsidR="009F243C" w:rsidRPr="00E97FC1" w:rsidRDefault="009F243C" w:rsidP="00F016AD">
      <w:pPr>
        <w:pStyle w:val="Heading2"/>
      </w:pPr>
      <w:bookmarkStart w:id="99" w:name="_Toc132640007"/>
      <w:r w:rsidRPr="00E97FC1">
        <w:t>Model analysis and figure preparation</w:t>
      </w:r>
      <w:bookmarkEnd w:id="99"/>
    </w:p>
    <w:p w14:paraId="5EE2ED14" w14:textId="108C0385" w:rsidR="0039228F" w:rsidRPr="00E97FC1" w:rsidRDefault="0039228F" w:rsidP="0039228F">
      <w:pPr>
        <w:ind w:firstLine="450"/>
        <w:rPr>
          <w:rFonts w:cs="Times New Roman"/>
          <w:szCs w:val="40"/>
          <w:lang w:val="en-GB"/>
        </w:rPr>
      </w:pPr>
      <w:r w:rsidRPr="00E97FC1">
        <w:rPr>
          <w:rFonts w:cs="Times New Roman"/>
          <w:szCs w:val="40"/>
          <w:lang w:val="en-GB"/>
        </w:rPr>
        <w:t xml:space="preserve">Cavities and channels inside the protein were predicted using MOLE web-server. The overall quality of the models was assessed using Molprobity </w:t>
      </w:r>
      <w:r w:rsidR="00D15237" w:rsidRPr="00E97FC1">
        <w:rPr>
          <w:rFonts w:cs="Times New Roman"/>
          <w:szCs w:val="40"/>
          <w:lang w:val="en-GB"/>
        </w:rPr>
        <w:fldChar w:fldCharType="begin" w:fldLock="1"/>
      </w:r>
      <w:r w:rsidR="00776703" w:rsidRPr="00E97FC1">
        <w:rPr>
          <w:rFonts w:cs="Times New Roman"/>
          <w:szCs w:val="40"/>
          <w:lang w:val="en-GB"/>
        </w:rPr>
        <w:instrText>ADDIN CSL_CITATION {"citationItems":[{"id":"ITEM-1","itemData":{"DOI":"10.1107/S0907444909042073","ISSN":"1399-0047 (Electronic)","PMID":"20057044","abstract":"MolProbity is a structure-validation web service that provides broad-spectrum solidly based evaluation of model quality at both the global and local levels for both proteins and nucleic acids. It relies heavily on the power and sensitivity provided by optimized hydrogen placement and all-atom contact analysis, complemented by updated versions of covalent-geometry and torsion-angle criteria. Some of the local corrections can be performed automatically in MolProbity and all of the diagnostics are presented in chart and graphical forms that help guide manual rebuilding. X-ray crystallography provides a wealth of biologically important molecular data in the form of atomic three-dimensional structures of proteins, nucleic acids and increasingly large complexes in multiple forms and states. Advances in automation, in everything from crystallization to data collection to phasing to model building to refinement, have made solving a structure using crystallography easier than ever. However, despite these improvements, local errors that can affect biological interpretation are widespread at low resolution and even high-resolution structures nearly all contain at least a few local errors such as Ramachandran outliers, flipped branched protein side chains and incorrect sugar puckers. It is critical both for the crystallographer and for the end user that there are easy and reliable methods to diagnose and correct these sorts of errors in structures. MolProbity is the authors' contribution to helping solve this problem and this article reviews its general capabilities, reports on recent enhancements and usage, and presents evidence that the resulting improvements are now beneficially affecting the global database.","author":[{"dropping-particle":"","family":"Chen","given":"Vincent B","non-dropping-particle":"","parse-names":false,"suffix":""},{"dropping-particle":"","family":"Arendall","given":"W Bryan 3rd","non-dropping-particle":"","parse-names":false,"suffix":""},{"dropping-particle":"","family":"Headd","given":"Jeffrey J","non-dropping-particle":"","parse-names":false,"suffix":""},{"dropping-particle":"","family":"Keedy","given":"Daniel A","non-dropping-particle":"","parse-names":false,"suffix":""},{"dropping-particle":"","family":"Immormino","given":"Robert M","non-dropping-particle":"","parse-names":false,"suffix":""},{"dropping-particle":"","family":"Kapral","given":"Gary J","non-dropping-particle":"","parse-names":false,"suffix":""},{"dropping-particle":"","family":"Murray","given":"Laura W","non-dropping-particle":"","parse-names":false,"suffix":""},{"dropping-particle":"","family":"Richardson","given":"Jane S","non-dropping-particle":"","parse-names":false,"suffix":""},{"dropping-particle":"","family":"Richardson","given":"David C","non-dropping-particle":"","parse-names":false,"suffix":""}],"container-title":"Acta crystallographica. Section D, Biological crystallography","id":"ITEM-1","issue":"Pt 1","issued":{"date-parts":[["2010","1"]]},"language":"eng","page":"12-21","publisher-place":"United States","title":"MolProbity: all-atom structure validation for macromolecular crystallography.","type":"article-journal","volume":"66"},"uris":["http://www.mendeley.com/documents/?uuid=76f357e9-103e-4557-bdf7-48528103d03a"]}],"mendeley":{"formattedCitation":"(Chen &lt;i&gt;et al&lt;/i&gt;, 2010)","plainTextFormattedCitation":"(Chen et al, 2010)","previouslyFormattedCitation":"(Chen &lt;i&gt;et al&lt;/i&gt;, 2010)"},"properties":{"noteIndex":0},"schema":"https://github.com/citation-style-language/schema/raw/master/csl-citation.json"}</w:instrText>
      </w:r>
      <w:r w:rsidR="00D15237" w:rsidRPr="00E97FC1">
        <w:rPr>
          <w:rFonts w:cs="Times New Roman"/>
          <w:szCs w:val="40"/>
          <w:lang w:val="en-GB"/>
        </w:rPr>
        <w:fldChar w:fldCharType="separate"/>
      </w:r>
      <w:r w:rsidR="00E55873" w:rsidRPr="00E97FC1">
        <w:rPr>
          <w:rFonts w:cs="Times New Roman"/>
          <w:noProof/>
          <w:szCs w:val="40"/>
          <w:lang w:val="en-GB"/>
        </w:rPr>
        <w:t xml:space="preserve">(Chen </w:t>
      </w:r>
      <w:r w:rsidR="00E55873" w:rsidRPr="00E97FC1">
        <w:rPr>
          <w:rFonts w:cs="Times New Roman"/>
          <w:i/>
          <w:noProof/>
          <w:szCs w:val="40"/>
          <w:lang w:val="en-GB"/>
        </w:rPr>
        <w:t>et al</w:t>
      </w:r>
      <w:r w:rsidR="00E55873" w:rsidRPr="00E97FC1">
        <w:rPr>
          <w:rFonts w:cs="Times New Roman"/>
          <w:noProof/>
          <w:szCs w:val="40"/>
          <w:lang w:val="en-GB"/>
        </w:rPr>
        <w:t>, 2010)</w:t>
      </w:r>
      <w:r w:rsidR="00D15237" w:rsidRPr="00E97FC1">
        <w:rPr>
          <w:rFonts w:cs="Times New Roman"/>
          <w:szCs w:val="40"/>
          <w:lang w:val="en-GB"/>
        </w:rPr>
        <w:fldChar w:fldCharType="end"/>
      </w:r>
      <w:r w:rsidRPr="00E97FC1">
        <w:rPr>
          <w:rFonts w:cs="Times New Roman"/>
          <w:szCs w:val="40"/>
          <w:lang w:val="en-GB"/>
        </w:rPr>
        <w:t xml:space="preserve">, Q-scores </w:t>
      </w:r>
      <w:r w:rsidR="00D15237" w:rsidRPr="00E97FC1">
        <w:rPr>
          <w:rFonts w:cs="Times New Roman"/>
          <w:szCs w:val="40"/>
          <w:lang w:val="en-GB"/>
        </w:rPr>
        <w:fldChar w:fldCharType="begin" w:fldLock="1"/>
      </w:r>
      <w:r w:rsidR="00776703" w:rsidRPr="00E97FC1">
        <w:rPr>
          <w:rFonts w:cs="Times New Roman"/>
          <w:szCs w:val="40"/>
          <w:lang w:val="en-GB"/>
        </w:rPr>
        <w:instrText>ADDIN CSL_CITATION {"citationItems":[{"id":"ITEM-1","itemData":{"DOI":"10.1038/s41592-020-0731-1","ISSN":"1548-7105 (Electronic)","PMID":"32042190","abstract":"Cryogenic electron microscopy (cryo-EM) maps are now at the point where  resolvability of individual atoms can be achieved. However, resolvability is not necessarily uniform throughout the map. We introduce a quantitative parameter to characterize the resolvability of individual atoms in cryo-EM maps, the map Q-score. Q-scores can be calculated for atoms in proteins, nucleic acids, water, ligands and other solvent atoms, using models fitted to or derived from cryo-EM maps. Q-scores can also be averaged to represent larger features such as entire residues and nucleotides. Averaged over entire models, Q-scores correlate very well with the estimated resolution of cryo-EM maps for both protein and RNA. Assuming the models they are calculated from are well fitted to the map, Q-scores can be used as a measure of resolvability in cryo-EM maps at various scales, from entire macromolecules down to individual atoms. Q-score analysis of multiple cryo-EM maps of the same proteins derived from different laboratories confirms the reproducibility of structural features from side chains down to water and ion atoms.","author":[{"dropping-particle":"","family":"Pintilie","given":"Grigore","non-dropping-particle":"","parse-names":false,"suffix":""},{"dropping-particle":"","family":"Zhang","given":"Kaiming","non-dropping-particle":"","parse-names":false,"suffix":""},{"dropping-particle":"","family":"Su","given":"Zhaoming","non-dropping-particle":"","parse-names":false,"suffix":""},{"dropping-particle":"","family":"Li","given":"Shanshan","non-dropping-particle":"","parse-names":false,"suffix":""},{"dropping-particle":"","family":"Schmid","given":"Michael F","non-dropping-particle":"","parse-names":false,"suffix":""},{"dropping-particle":"","family":"Chiu","given":"Wah","non-dropping-particle":"","parse-names":false,"suffix":""}],"container-title":"Nature methods","id":"ITEM-1","issue":"3","issued":{"date-parts":[["2020","3"]]},"language":"eng","page":"328-334","title":"Measurement of atom resolvability in cryo-EM maps with Q-scores.","type":"article-journal","volume":"17"},"uris":["http://www.mendeley.com/documents/?uuid=0f916cc0-b324-4792-8c76-ba35bfa5c3be"]}],"mendeley":{"formattedCitation":"(Pintilie &lt;i&gt;et al&lt;/i&gt;, 2020)","plainTextFormattedCitation":"(Pintilie et al, 2020)","previouslyFormattedCitation":"(Pintilie &lt;i&gt;et al&lt;/i&gt;, 2020)"},"properties":{"noteIndex":0},"schema":"https://github.com/citation-style-language/schema/raw/master/csl-citation.json"}</w:instrText>
      </w:r>
      <w:r w:rsidR="00D15237" w:rsidRPr="00E97FC1">
        <w:rPr>
          <w:rFonts w:cs="Times New Roman"/>
          <w:szCs w:val="40"/>
          <w:lang w:val="en-GB"/>
        </w:rPr>
        <w:fldChar w:fldCharType="separate"/>
      </w:r>
      <w:r w:rsidR="00E55873" w:rsidRPr="00E97FC1">
        <w:rPr>
          <w:rFonts w:cs="Times New Roman"/>
          <w:noProof/>
          <w:szCs w:val="40"/>
          <w:lang w:val="en-GB"/>
        </w:rPr>
        <w:t xml:space="preserve">(Pintilie </w:t>
      </w:r>
      <w:r w:rsidR="00E55873" w:rsidRPr="00E97FC1">
        <w:rPr>
          <w:rFonts w:cs="Times New Roman"/>
          <w:i/>
          <w:noProof/>
          <w:szCs w:val="40"/>
          <w:lang w:val="en-GB"/>
        </w:rPr>
        <w:t>et al</w:t>
      </w:r>
      <w:r w:rsidR="00E55873" w:rsidRPr="00E97FC1">
        <w:rPr>
          <w:rFonts w:cs="Times New Roman"/>
          <w:noProof/>
          <w:szCs w:val="40"/>
          <w:lang w:val="en-GB"/>
        </w:rPr>
        <w:t>, 2020)</w:t>
      </w:r>
      <w:r w:rsidR="00D15237" w:rsidRPr="00E97FC1">
        <w:rPr>
          <w:rFonts w:cs="Times New Roman"/>
          <w:szCs w:val="40"/>
          <w:lang w:val="en-GB"/>
        </w:rPr>
        <w:fldChar w:fldCharType="end"/>
      </w:r>
      <w:r w:rsidRPr="00E97FC1">
        <w:rPr>
          <w:rFonts w:cs="Times New Roman"/>
          <w:szCs w:val="40"/>
          <w:lang w:val="en-GB"/>
        </w:rPr>
        <w:t xml:space="preserve"> and EMRinger </w:t>
      </w:r>
      <w:r w:rsidR="0058390F" w:rsidRPr="00E97FC1">
        <w:rPr>
          <w:rFonts w:cs="Times New Roman"/>
          <w:szCs w:val="40"/>
          <w:lang w:val="en-GB"/>
        </w:rPr>
        <w:fldChar w:fldCharType="begin" w:fldLock="1"/>
      </w:r>
      <w:r w:rsidR="00776703" w:rsidRPr="00E97FC1">
        <w:rPr>
          <w:rFonts w:cs="Times New Roman"/>
          <w:szCs w:val="40"/>
          <w:lang w:val="en-GB"/>
        </w:rPr>
        <w:instrText>ADDIN CSL_CITATION {"citationItems":[{"id":"ITEM-1","itemData":{"DOI":"10.1038/nmeth.3541","ISSN":"1548-7105 (Electronic)","PMID":"26280328","abstract":"Advances in high-resolution cryo-electron microscopy (cryo-EM) require the  development of validation metrics to independently assess map quality and model geometry. We report EMRinger, a tool that assesses the precise fitting of an atomic model into the map during refinement and shows how radiation damage alters scattering from negatively charged amino acids. EMRinger (https://github.com/fraser-lab/EMRinger) will be useful for monitoring progress in resolving and modeling high-resolution features in cryo-EM.","author":[{"dropping-particle":"","family":"Barad","given":"Benjamin A","non-dropping-particle":"","parse-names":false,"suffix":""},{"dropping-particle":"","family":"Echols","given":"Nathaniel","non-dropping-particle":"","parse-names":false,"suffix":""},{"dropping-particle":"","family":"Wang","given":"Ray Yu-Ruei","non-dropping-particle":"","parse-names":false,"suffix":""},{"dropping-particle":"","family":"Cheng","given":"Yifan","non-dropping-particle":"","parse-names":false,"suffix":""},{"dropping-particle":"","family":"DiMaio","given":"Frank","non-dropping-particle":"","parse-names":false,"suffix":""},{"dropping-particle":"","family":"Adams","given":"Paul D","non-dropping-particle":"","parse-names":false,"suffix":""},{"dropping-particle":"","family":"Fraser","given":"James S","non-dropping-particle":"","parse-names":false,"suffix":""}],"container-title":"Nature methods","id":"ITEM-1","issue":"10","issued":{"date-parts":[["2015","10"]]},"language":"eng","page":"943-946","title":"EMRinger: side chain-directed model and map validation for 3D cryo-electron  microscopy.","type":"article-journal","volume":"12"},"uris":["http://www.mendeley.com/documents/?uuid=7fd3ead0-d14a-4dec-94f9-0f346d73e9b2"]}],"mendeley":{"formattedCitation":"(Barad &lt;i&gt;et al&lt;/i&gt;, 2015)","plainTextFormattedCitation":"(Barad et al, 2015)","previouslyFormattedCitation":"(Barad &lt;i&gt;et al&lt;/i&gt;, 2015)"},"properties":{"noteIndex":0},"schema":"https://github.com/citation-style-language/schema/raw/master/csl-citation.json"}</w:instrText>
      </w:r>
      <w:r w:rsidR="0058390F" w:rsidRPr="00E97FC1">
        <w:rPr>
          <w:rFonts w:cs="Times New Roman"/>
          <w:szCs w:val="40"/>
          <w:lang w:val="en-GB"/>
        </w:rPr>
        <w:fldChar w:fldCharType="separate"/>
      </w:r>
      <w:r w:rsidR="00E55873" w:rsidRPr="00E97FC1">
        <w:rPr>
          <w:rFonts w:cs="Times New Roman"/>
          <w:noProof/>
          <w:szCs w:val="40"/>
          <w:lang w:val="en-GB"/>
        </w:rPr>
        <w:t xml:space="preserve">(Barad </w:t>
      </w:r>
      <w:r w:rsidR="00E55873" w:rsidRPr="00E97FC1">
        <w:rPr>
          <w:rFonts w:cs="Times New Roman"/>
          <w:i/>
          <w:noProof/>
          <w:szCs w:val="40"/>
          <w:lang w:val="en-GB"/>
        </w:rPr>
        <w:t>et al</w:t>
      </w:r>
      <w:r w:rsidR="00E55873" w:rsidRPr="00E97FC1">
        <w:rPr>
          <w:rFonts w:cs="Times New Roman"/>
          <w:noProof/>
          <w:szCs w:val="40"/>
          <w:lang w:val="en-GB"/>
        </w:rPr>
        <w:t>, 2015)</w:t>
      </w:r>
      <w:r w:rsidR="0058390F" w:rsidRPr="00E97FC1">
        <w:rPr>
          <w:rFonts w:cs="Times New Roman"/>
          <w:szCs w:val="40"/>
          <w:lang w:val="en-GB"/>
        </w:rPr>
        <w:fldChar w:fldCharType="end"/>
      </w:r>
      <w:r w:rsidRPr="00E97FC1">
        <w:rPr>
          <w:rFonts w:cs="Times New Roman"/>
          <w:szCs w:val="40"/>
          <w:lang w:val="en-GB"/>
        </w:rPr>
        <w:t xml:space="preserve">. Visualization and analysis of protein density and structure, as well as </w:t>
      </w:r>
      <w:r w:rsidR="000F12F2">
        <w:rPr>
          <w:rFonts w:cs="Times New Roman"/>
          <w:szCs w:val="40"/>
          <w:lang w:val="en-GB"/>
        </w:rPr>
        <w:t>f</w:t>
      </w:r>
      <w:r w:rsidRPr="00E97FC1">
        <w:rPr>
          <w:rFonts w:cs="Times New Roman"/>
          <w:szCs w:val="40"/>
          <w:lang w:val="en-GB"/>
        </w:rPr>
        <w:t xml:space="preserve">igures preparation were done using PyMol, UCSF Chimera and ChimeraX </w:t>
      </w:r>
      <w:r w:rsidR="00D15237" w:rsidRPr="00E97FC1">
        <w:rPr>
          <w:rFonts w:cs="Times New Roman"/>
          <w:szCs w:val="40"/>
          <w:lang w:val="en-GB"/>
        </w:rPr>
        <w:fldChar w:fldCharType="begin" w:fldLock="1"/>
      </w:r>
      <w:r w:rsidR="00776703" w:rsidRPr="00E97FC1">
        <w:rPr>
          <w:rFonts w:cs="Times New Roman"/>
          <w:szCs w:val="40"/>
          <w:lang w:val="en-GB"/>
        </w:rPr>
        <w:instrText>ADDIN CSL_CITATION {"citationItems":[{"id":"ITEM-1","itemData":{"DOI":"10.1002/pro.3235","ISSN":"1469-896X (Electronic)","PMID":"28710774","abstract":"UCSF ChimeraX is next-generation software for the visualization and analysis of  molecular structures, density maps, 3D microscopy, and associated data. It addresses challenges in the size, scope, and disparate types of data attendant with cutting-edge experimental methods, while providing advanced options for high-quality rendering (interactive ambient occlusion, reliable molecular surface calculations, etc.) and professional approaches to software design and distribution. This article highlights some specific advances in the areas of visualization and usability, performance, and extensibility. ChimeraX is free for noncommercial use and is available from http://www.rbvi.ucsf.edu/chimerax/ for Windows, Mac, and Linux.","author":[{"dropping-particle":"","family":"Goddard","given":"Thomas D","non-dropping-particle":"","parse-names":false,"suffix":""},{"dropping-particle":"","family":"Huang","given":"Conrad C","non-dropping-particle":"","parse-names":false,"suffix":""},{"dropping-particle":"","family":"Meng","given":"Elaine C","non-dropping-particle":"","parse-names":false,"suffix":""},{"dropping-particle":"","family":"Pettersen","given":"Eric F","non-dropping-particle":"","parse-names":false,"suffix":""},{"dropping-particle":"","family":"Couch","given":"Gregory S","non-dropping-particle":"","parse-names":false,"suffix":""},{"dropping-particle":"","family":"Morris","given":"John H","non-dropping-particle":"","parse-names":false,"suffix":""},{"dropping-particle":"","family":"Ferrin","given":"Thomas E","non-dropping-particle":"","parse-names":false,"suffix":""}],"container-title":"Protein science : a publication of the Protein Society","id":"ITEM-1","issue":"1","issued":{"date-parts":[["2018","1"]]},"language":"eng","page":"14-25","title":"UCSF ChimeraX: Meeting modern challenges in visualization and analysis.","type":"article-journal","volume":"27"},"uris":["http://www.mendeley.com/documents/?uuid=d8e6434d-57e9-413f-9ed3-0fd2142f685f"]}],"mendeley":{"formattedCitation":"(Goddard &lt;i&gt;et al&lt;/i&gt;, 2018)","plainTextFormattedCitation":"(Goddard et al, 2018)","previouslyFormattedCitation":"(Goddard &lt;i&gt;et al&lt;/i&gt;, 2018)"},"properties":{"noteIndex":0},"schema":"https://github.com/citation-style-language/schema/raw/master/csl-citation.json"}</w:instrText>
      </w:r>
      <w:r w:rsidR="00D15237" w:rsidRPr="00E97FC1">
        <w:rPr>
          <w:rFonts w:cs="Times New Roman"/>
          <w:szCs w:val="40"/>
          <w:lang w:val="en-GB"/>
        </w:rPr>
        <w:fldChar w:fldCharType="separate"/>
      </w:r>
      <w:r w:rsidR="00E55873" w:rsidRPr="00E97FC1">
        <w:rPr>
          <w:rFonts w:cs="Times New Roman"/>
          <w:noProof/>
          <w:szCs w:val="40"/>
          <w:lang w:val="en-GB"/>
        </w:rPr>
        <w:t xml:space="preserve">(Goddard </w:t>
      </w:r>
      <w:r w:rsidR="00E55873" w:rsidRPr="00E97FC1">
        <w:rPr>
          <w:rFonts w:cs="Times New Roman"/>
          <w:i/>
          <w:noProof/>
          <w:szCs w:val="40"/>
          <w:lang w:val="en-GB"/>
        </w:rPr>
        <w:t>et al</w:t>
      </w:r>
      <w:r w:rsidR="00E55873" w:rsidRPr="00E97FC1">
        <w:rPr>
          <w:rFonts w:cs="Times New Roman"/>
          <w:noProof/>
          <w:szCs w:val="40"/>
          <w:lang w:val="en-GB"/>
        </w:rPr>
        <w:t>, 2018)</w:t>
      </w:r>
      <w:r w:rsidR="00D15237" w:rsidRPr="00E97FC1">
        <w:rPr>
          <w:rFonts w:cs="Times New Roman"/>
          <w:szCs w:val="40"/>
          <w:lang w:val="en-GB"/>
        </w:rPr>
        <w:fldChar w:fldCharType="end"/>
      </w:r>
      <w:r w:rsidRPr="00E97FC1">
        <w:rPr>
          <w:rFonts w:cs="Times New Roman"/>
          <w:szCs w:val="40"/>
          <w:lang w:val="en-GB"/>
        </w:rPr>
        <w:t xml:space="preserve">. </w:t>
      </w:r>
    </w:p>
    <w:p w14:paraId="42ADF34E" w14:textId="77777777" w:rsidR="00EF323C" w:rsidRPr="00E97FC1" w:rsidRDefault="00EF323C">
      <w:pPr>
        <w:spacing w:after="160" w:line="259" w:lineRule="auto"/>
        <w:jc w:val="left"/>
        <w:rPr>
          <w:rFonts w:cs="Times New Roman"/>
          <w:szCs w:val="40"/>
          <w:lang w:val="en-GB"/>
        </w:rPr>
      </w:pPr>
      <w:r w:rsidRPr="00E97FC1">
        <w:rPr>
          <w:rFonts w:cs="Times New Roman"/>
          <w:szCs w:val="40"/>
          <w:lang w:val="en-GB"/>
        </w:rPr>
        <w:br w:type="page"/>
      </w:r>
    </w:p>
    <w:p w14:paraId="265BC56A" w14:textId="77777777" w:rsidR="009F243C" w:rsidRPr="00E97FC1" w:rsidRDefault="00306433" w:rsidP="000E177B">
      <w:pPr>
        <w:pStyle w:val="Heading1"/>
      </w:pPr>
      <w:bookmarkStart w:id="100" w:name="_Toc132640008"/>
      <w:r w:rsidRPr="00E97FC1">
        <w:lastRenderedPageBreak/>
        <w:t>E. coli complex I – structure and mechanism</w:t>
      </w:r>
      <w:bookmarkEnd w:id="100"/>
    </w:p>
    <w:p w14:paraId="29B13153" w14:textId="77777777" w:rsidR="003C3D28" w:rsidRPr="00E97FC1" w:rsidRDefault="003C3D28" w:rsidP="00F016AD">
      <w:pPr>
        <w:pStyle w:val="Heading2"/>
      </w:pPr>
      <w:bookmarkStart w:id="101" w:name="_Toc132640009"/>
      <w:r w:rsidRPr="00E97FC1">
        <w:t>Catalytic activity and sample preparation challenges</w:t>
      </w:r>
      <w:bookmarkEnd w:id="101"/>
    </w:p>
    <w:p w14:paraId="0DBE1160" w14:textId="0F8FE710" w:rsidR="00B85830" w:rsidRPr="00E97FC1" w:rsidRDefault="00E63866" w:rsidP="009C0734">
      <w:pPr>
        <w:ind w:firstLine="720"/>
        <w:rPr>
          <w:rFonts w:cs="Times New Roman"/>
          <w:szCs w:val="40"/>
          <w:lang w:val="en-GB"/>
        </w:rPr>
      </w:pPr>
      <w:r w:rsidRPr="00E97FC1">
        <w:rPr>
          <w:rFonts w:cs="Times New Roman"/>
          <w:szCs w:val="40"/>
          <w:lang w:val="en-GB"/>
        </w:rPr>
        <w:t xml:space="preserve">At first, we purified </w:t>
      </w:r>
      <w:r w:rsidRPr="00E97FC1">
        <w:rPr>
          <w:rFonts w:cs="Times New Roman"/>
          <w:i/>
          <w:szCs w:val="40"/>
          <w:lang w:val="en-GB"/>
        </w:rPr>
        <w:t>Ec</w:t>
      </w:r>
      <w:r w:rsidRPr="00E97FC1">
        <w:rPr>
          <w:rFonts w:cs="Times New Roman"/>
          <w:szCs w:val="40"/>
          <w:lang w:val="en-GB"/>
        </w:rPr>
        <w:t xml:space="preserve">CI using DDM as a main detergent as established earlier </w:t>
      </w:r>
      <w:r w:rsidRPr="00E97FC1">
        <w:rPr>
          <w:rFonts w:cs="Times New Roman"/>
          <w:szCs w:val="40"/>
          <w:lang w:val="en-GB"/>
        </w:rPr>
        <w:fldChar w:fldCharType="begin" w:fldLock="1"/>
      </w:r>
      <w:r w:rsidR="00776703" w:rsidRPr="00E97FC1">
        <w:rPr>
          <w:rFonts w:cs="Times New Roman"/>
          <w:szCs w:val="40"/>
          <w:lang w:val="en-GB"/>
        </w:rPr>
        <w:instrText>ADDIN CSL_CITATION {"citationItems":[{"id":"ITEM-1","itemData":{"DOI":"10.1074/jbc.M208959200","ISSN":"0021-9258 (Print)","PMID":"12637579","abstract":"NADH-ubiquinone oxidoreductase (complex I or NDH-1) was purified from the BL21 strain of Escherichia coli using an improved procedure. The complex was effectively stabilized by addition of divalent cations and lipids, making the preparation suitable for structural studies. The ubiquinone reductase activity of the enzyme was fully restored by addition of native E. coli lipids. Two different two-dimensional crystal forms, with p2 and p3 symmetry, were obtained using lipids containing native E. coli extracts. Analysis of the crystals showed that they are formed by fully intact complex I in an L-shaped conformation. Activity assays and single particle analysis indicated that complex I maintains this structure in detergent solution and does not adopt a different conformation in the active state. Thus, we provide the first experimental evidence that complex I from E. coli has an L-shape in a lipid bilayer and confirm that this is also the case for the active enzyme in solution. This suggests strongly that bacterial complex I exists in an L-shaped conformation in vivo. Our results also indicate that native lipids play an important role in the activation, stabilization and, as a consequence, crystallization of purified complex I from E. coli.","author":[{"dropping-particle":"","family":"Sazanov","given":"Leonid A","non-dropping-particle":"","parse-names":false,"suffix":""},{"dropping-particle":"","family":"Carroll","given":"Joe","non-dropping-particle":"","parse-names":false,"suffix":""},{"dropping-particle":"","family":"Holt","given":"Peter","non-dropping-particle":"","parse-names":false,"suffix":""},{"dropping-particle":"","family":"Toime","given":"Laurence","non-dropping-particle":"","parse-names":false,"suffix":""},{"dropping-particle":"","family":"Fearnley","given":"Ian M","non-dropping-particle":"","parse-names":false,"suffix":""}],"container-title":"The Journal of biological chemistry","id":"ITEM-1","issue":"21","issued":{"date-parts":[["2003","5"]]},"language":"eng","page":"19483-19491","publisher-place":"United States","title":"A role for native lipids in the stabilization and two-dimensional crystallization of the Escherichia coli NADH-ubiquinone oxidoreductase (complex I).","type":"article-journal","volume":"278"},"uris":["http://www.mendeley.com/documents/?uuid=9838cd68-3f4b-48c2-872e-0893d87a06b1"]}],"mendeley":{"formattedCitation":"(Sazanov &lt;i&gt;et al&lt;/i&gt;, 2003)","plainTextFormattedCitation":"(Sazanov et al, 2003)","previouslyFormattedCitation":"(Sazanov &lt;i&gt;et al&lt;/i&gt;, 2003)"},"properties":{"noteIndex":0},"schema":"https://github.com/citation-style-language/schema/raw/master/csl-citation.json"}</w:instrText>
      </w:r>
      <w:r w:rsidRPr="00E97FC1">
        <w:rPr>
          <w:rFonts w:cs="Times New Roman"/>
          <w:szCs w:val="40"/>
          <w:lang w:val="en-GB"/>
        </w:rPr>
        <w:fldChar w:fldCharType="separate"/>
      </w:r>
      <w:r w:rsidR="00E55873" w:rsidRPr="00E97FC1">
        <w:rPr>
          <w:rFonts w:cs="Times New Roman"/>
          <w:noProof/>
          <w:szCs w:val="40"/>
          <w:lang w:val="en-GB"/>
        </w:rPr>
        <w:t xml:space="preserve">(Sazanov </w:t>
      </w:r>
      <w:r w:rsidR="00E55873" w:rsidRPr="00E97FC1">
        <w:rPr>
          <w:rFonts w:cs="Times New Roman"/>
          <w:i/>
          <w:noProof/>
          <w:szCs w:val="40"/>
          <w:lang w:val="en-GB"/>
        </w:rPr>
        <w:t>et al</w:t>
      </w:r>
      <w:r w:rsidR="00E55873" w:rsidRPr="00E97FC1">
        <w:rPr>
          <w:rFonts w:cs="Times New Roman"/>
          <w:noProof/>
          <w:szCs w:val="40"/>
          <w:lang w:val="en-GB"/>
        </w:rPr>
        <w:t>, 2003)</w:t>
      </w:r>
      <w:r w:rsidRPr="00E97FC1">
        <w:rPr>
          <w:rFonts w:cs="Times New Roman"/>
          <w:szCs w:val="40"/>
          <w:lang w:val="en-GB"/>
        </w:rPr>
        <w:fldChar w:fldCharType="end"/>
      </w:r>
      <w:r w:rsidRPr="00E97FC1">
        <w:rPr>
          <w:rFonts w:cs="Times New Roman"/>
          <w:szCs w:val="40"/>
          <w:lang w:val="en-GB"/>
        </w:rPr>
        <w:t xml:space="preserve"> and after extensive grid optimization collected two datasets: native </w:t>
      </w:r>
      <w:r w:rsidRPr="00E97FC1">
        <w:rPr>
          <w:rFonts w:cs="Times New Roman"/>
          <w:i/>
          <w:szCs w:val="40"/>
          <w:lang w:val="en-GB"/>
        </w:rPr>
        <w:t>Ec</w:t>
      </w:r>
      <w:r w:rsidRPr="00E97FC1">
        <w:rPr>
          <w:rFonts w:cs="Times New Roman"/>
          <w:szCs w:val="40"/>
          <w:lang w:val="en-GB"/>
        </w:rPr>
        <w:t>CI (</w:t>
      </w:r>
      <w:r w:rsidR="004036B0" w:rsidRPr="00E97FC1">
        <w:rPr>
          <w:rFonts w:cs="Times New Roman"/>
          <w:szCs w:val="40"/>
          <w:lang w:val="en-GB"/>
        </w:rPr>
        <w:t>DDM_Apo</w:t>
      </w:r>
      <w:r w:rsidRPr="00E97FC1">
        <w:rPr>
          <w:rFonts w:cs="Times New Roman"/>
          <w:szCs w:val="40"/>
          <w:lang w:val="en-GB"/>
        </w:rPr>
        <w:t xml:space="preserve">) and </w:t>
      </w:r>
      <w:r w:rsidRPr="00E97FC1">
        <w:rPr>
          <w:rFonts w:cs="Times New Roman"/>
          <w:i/>
          <w:szCs w:val="40"/>
          <w:lang w:val="en-GB"/>
        </w:rPr>
        <w:t>Ec</w:t>
      </w:r>
      <w:r w:rsidR="00E80E22" w:rsidRPr="00E97FC1">
        <w:rPr>
          <w:rFonts w:cs="Times New Roman"/>
          <w:szCs w:val="40"/>
          <w:lang w:val="en-GB"/>
        </w:rPr>
        <w:t>C</w:t>
      </w:r>
      <w:r w:rsidRPr="00E97FC1">
        <w:rPr>
          <w:rFonts w:cs="Times New Roman"/>
          <w:szCs w:val="40"/>
          <w:lang w:val="en-GB"/>
        </w:rPr>
        <w:t>I with NADH (</w:t>
      </w:r>
      <w:r w:rsidR="004036B0" w:rsidRPr="00E97FC1">
        <w:rPr>
          <w:rFonts w:cs="Times New Roman"/>
          <w:szCs w:val="40"/>
          <w:lang w:val="en-GB"/>
        </w:rPr>
        <w:t>DDM_NADH</w:t>
      </w:r>
      <w:r w:rsidRPr="00E97FC1">
        <w:rPr>
          <w:rFonts w:cs="Times New Roman"/>
          <w:szCs w:val="40"/>
          <w:lang w:val="en-GB"/>
        </w:rPr>
        <w:t>). Image processing and classifications have shown that the complex was quite flexible and adopted different conformational states (Fig</w:t>
      </w:r>
      <w:r w:rsidR="00AF16A1" w:rsidRPr="00E97FC1">
        <w:rPr>
          <w:rFonts w:cs="Times New Roman"/>
          <w:szCs w:val="40"/>
          <w:lang w:val="en-GB"/>
        </w:rPr>
        <w:t>ure</w:t>
      </w:r>
      <w:r w:rsidR="00AF4C71" w:rsidRPr="00E97FC1">
        <w:rPr>
          <w:rFonts w:cs="Times New Roman"/>
          <w:szCs w:val="40"/>
          <w:lang w:val="en-GB"/>
        </w:rPr>
        <w:t xml:space="preserve"> 3.1b</w:t>
      </w:r>
      <w:r w:rsidRPr="00E97FC1">
        <w:rPr>
          <w:rFonts w:cs="Times New Roman"/>
          <w:szCs w:val="40"/>
          <w:lang w:val="en-GB"/>
        </w:rPr>
        <w:t>).</w:t>
      </w:r>
    </w:p>
    <w:p w14:paraId="4FAD49A5" w14:textId="77777777" w:rsidR="00B85830" w:rsidRPr="00E97FC1" w:rsidRDefault="00B85830" w:rsidP="009C0734">
      <w:pPr>
        <w:ind w:firstLine="720"/>
        <w:rPr>
          <w:rFonts w:cs="Times New Roman"/>
          <w:szCs w:val="40"/>
          <w:lang w:val="en-GB"/>
        </w:rPr>
      </w:pPr>
      <w:r w:rsidRPr="00E97FC1">
        <w:rPr>
          <w:rFonts w:cs="Times New Roman"/>
          <w:noProof/>
          <w:szCs w:val="40"/>
        </w:rPr>
        <w:drawing>
          <wp:inline distT="0" distB="0" distL="0" distR="0" wp14:anchorId="32847DB9" wp14:editId="1FD7E3EC">
            <wp:extent cx="5033175" cy="4124590"/>
            <wp:effectExtent l="0" t="0" r="0" b="9525"/>
            <wp:docPr id="7" name="Picture 7" descr="C:\Users\vkravchu\Desktop\PhD thesis\Figs\Fi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kravchu\Desktop\PhD thesis\Figs\Fig1.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38466" cy="4128926"/>
                    </a:xfrm>
                    <a:prstGeom prst="rect">
                      <a:avLst/>
                    </a:prstGeom>
                    <a:noFill/>
                    <a:ln>
                      <a:noFill/>
                    </a:ln>
                  </pic:spPr>
                </pic:pic>
              </a:graphicData>
            </a:graphic>
          </wp:inline>
        </w:drawing>
      </w:r>
    </w:p>
    <w:p w14:paraId="45EF1A81" w14:textId="3F61E157" w:rsidR="00787F47" w:rsidRPr="00E97FC1" w:rsidRDefault="00B85830" w:rsidP="00B85830">
      <w:pPr>
        <w:pStyle w:val="Caption"/>
      </w:pPr>
      <w:bookmarkStart w:id="102" w:name="_Toc121834112"/>
      <w:bookmarkStart w:id="103" w:name="_Toc128136629"/>
      <w:r w:rsidRPr="00E97FC1">
        <w:t xml:space="preserve">Figure </w:t>
      </w:r>
      <w:r w:rsidR="00CC7652">
        <w:fldChar w:fldCharType="begin"/>
      </w:r>
      <w:r w:rsidR="00CC7652">
        <w:instrText xml:space="preserve"> STYLEREF 1 \s </w:instrText>
      </w:r>
      <w:r w:rsidR="00CC7652">
        <w:fldChar w:fldCharType="separate"/>
      </w:r>
      <w:r w:rsidR="00ED1816">
        <w:rPr>
          <w:noProof/>
        </w:rPr>
        <w:t>3</w:t>
      </w:r>
      <w:r w:rsidR="00CC7652">
        <w:fldChar w:fldCharType="end"/>
      </w:r>
      <w:r w:rsidR="00CC7652">
        <w:t>.</w:t>
      </w:r>
      <w:r w:rsidR="00CC7652">
        <w:fldChar w:fldCharType="begin"/>
      </w:r>
      <w:r w:rsidR="00CC7652">
        <w:instrText xml:space="preserve"> SEQ Figure \* ARABIC \s 1 </w:instrText>
      </w:r>
      <w:r w:rsidR="00CC7652">
        <w:fldChar w:fldCharType="separate"/>
      </w:r>
      <w:r w:rsidR="00ED1816">
        <w:rPr>
          <w:noProof/>
        </w:rPr>
        <w:t>1</w:t>
      </w:r>
      <w:r w:rsidR="00CC7652">
        <w:fldChar w:fldCharType="end"/>
      </w:r>
      <w:r w:rsidRPr="00E97FC1">
        <w:t xml:space="preserve"> </w:t>
      </w:r>
      <w:r w:rsidR="00787F47" w:rsidRPr="00E97FC1">
        <w:t>The overall structure of the E. coli complex I in different states</w:t>
      </w:r>
      <w:bookmarkEnd w:id="102"/>
      <w:bookmarkEnd w:id="103"/>
    </w:p>
    <w:p w14:paraId="00D89F5C" w14:textId="51DF38FC" w:rsidR="00787F47" w:rsidRPr="00CF7C36" w:rsidRDefault="00787F47" w:rsidP="00787F47">
      <w:pPr>
        <w:pStyle w:val="Caption"/>
      </w:pPr>
      <w:r w:rsidRPr="00CF7C36">
        <w:t>A) An overview of the structure. Different subunits are coloured and labelled in corresponding colours. NADH and quinone binding sites are indicated. Fe-S clusters are shown as spheres. The area around Q cavity, shown in C-E, is squared. B) E. coli complex I exists in three conformational states: resting, open (with open-ready state as its subtype) and closed. The structures of different states were aligned on MA to show conformational dynamics of PA. C-E) The environment of Q cavity in different states. The cavity calculated in MOLE is shown as grey surface and key loops lining the cavity are shown in orange (NuoA), yellow (NuoCD) and salmon (NuoB). C) The resting state has fully exposed Q cavity with most key loops disordered, except for NuoH, which is in the extended conformation. In some cases quinone can be found bound in Q</w:t>
      </w:r>
      <w:r w:rsidRPr="00CF7C36">
        <w:rPr>
          <w:vertAlign w:val="subscript"/>
        </w:rPr>
        <w:t>s</w:t>
      </w:r>
      <w:r w:rsidRPr="00CF7C36">
        <w:t xml:space="preserve"> (shallow) site. D) The open state has re-formed Q cavity with NuoCD and NuoB ordered. NuoH and NuoA loops are partly disordered, therefore the cavity is not enclosed and solvent can penetrate inside through the indicated W site. Quinone enters via the indicated Q entry and binds in the Q</w:t>
      </w:r>
      <w:r w:rsidRPr="00CF7C36">
        <w:rPr>
          <w:vertAlign w:val="subscript"/>
        </w:rPr>
        <w:t>m</w:t>
      </w:r>
      <w:r w:rsidRPr="00CF7C36">
        <w:t xml:space="preserve"> (median) site (magenta sticks). E) In the closed state all the key loops are ordered and therefore the cavity is enclosed. Quinone is bound in the Q</w:t>
      </w:r>
      <w:r w:rsidRPr="00CF7C36">
        <w:rPr>
          <w:vertAlign w:val="subscript"/>
        </w:rPr>
        <w:t>d</w:t>
      </w:r>
      <w:r w:rsidRPr="00CF7C36">
        <w:t xml:space="preserve"> (deep) site, while short-chain DQ can also bind in the Q</w:t>
      </w:r>
      <w:r w:rsidRPr="00CF7C36">
        <w:rPr>
          <w:vertAlign w:val="subscript"/>
        </w:rPr>
        <w:t>s</w:t>
      </w:r>
      <w:r w:rsidRPr="00CF7C36">
        <w:t xml:space="preserve"> site. The closing of the complex is accompanied by the change in conformation of NuoCD and NuoH loops. Figure </w:t>
      </w:r>
      <w:r w:rsidR="00D07557" w:rsidRPr="00CF7C36">
        <w:t>adapted from</w:t>
      </w:r>
      <w:r w:rsidRPr="00CF7C36">
        <w:t xml:space="preserve"> </w:t>
      </w:r>
      <w:r w:rsidRPr="00CF7C36">
        <w:fldChar w:fldCharType="begin" w:fldLock="1"/>
      </w:r>
      <w:r w:rsidR="00776703" w:rsidRPr="00CF7C36">
        <w:instrText>ADDIN CSL_CITATION {"citationItems":[{"id":"ITEM-1","itemData":{"DOI":"10.1038/s41586-022-05199-7","ISSN":"1476-4687 (Electronic)","PMID":"36104567","abstract":"Complex I is the first enzyme in the respiratory chain, which is responsible for  energy production in mitochondria and bacteria(1). Complex I couples the transfer of two electrons from NADH to quinone and the translocation of four protons across the membrane(2), but the coupling mechanism remains contentious. Here we present cryo-electron microscopy structures of Escherichia coli complex I (EcCI) in different redox states, including catalytic turnover. EcCI exists mostly in the open state, in which the quinone cavity is exposed to the cytosol, allowing access for water molecules, which enable quinone movements. Unlike the mammalian paralogues(3), EcCI can convert to the closed state only during turnover, showing that closed and open states are genuine turnover intermediates. The open-to-closed transition results in the tightly engulfed quinone cavity being connected to the central axis of the membrane arm, a source of substrate protons. Consistently, the proportion of the closed state increases with increasing pH. We propose a detailed but straightforward and robust mechanism comprising a 'domino effect' series of proton transfers and electrostatic interactions: the forward wave ('dominoes stacking') primes the pump, and the reverse wave ('dominoes falling') results in the ejection of all pumped protons from the distal subunit NuoL. This mechanism explains why protons exit exclusively from the NuoL subunit and is supported by our mutagenesis data. We contend that this is a universal coupling mechanism of complex I and related enzymes.","author":[{"dropping-particle":"","family":"Kravchuk","given":"Vladyslav","non-dropping-particle":"","parse-names":false,"suffix":""},{"dropping-particle":"","family":"Petrova","given":"Olga","non-dropping-particle":"","parse-names":false,"suffix":""},{"dropping-particle":"","family":"Kampjut","given":"Domen","non-dropping-particle":"","parse-names":false,"suffix":""},{"dropping-particle":"","family":"Wojciechowska-Bason","given":"Anna","non-dropping-particle":"","parse-names":false,"suffix":""},{"dropping-particle":"","family":"Breese","given":"Zara","non-dropping-particle":"","parse-names":false,"suffix":""},{"dropping-particle":"","family":"Sazanov","given":"Leonid","non-dropping-particle":"","parse-names":false,"suffix":""}],"container-title":"Nature","id":"ITEM-1","issue":"7928","issued":{"date-parts":[["2022","9"]]},"language":"eng","page":"808-814","publisher-place":"England","title":"A universal coupling mechanism of respiratory complex I.","type":"article-journal","volume":"609"},"uris":["http://www.mendeley.com/documents/?uuid=24646b16-1332-4c29-8894-c41094c65033"]}],"mendeley":{"formattedCitation":"(Kravchuk &lt;i&gt;et al&lt;/i&gt;, 2022)","plainTextFormattedCitation":"(Kravchuk et al, 2022)","previouslyFormattedCitation":"(Kravchuk &lt;i&gt;et al&lt;/i&gt;, 2022)"},"properties":{"noteIndex":0},"schema":"https://github.com/citation-style-language/schema/raw/master/csl-citation.json"}</w:instrText>
      </w:r>
      <w:r w:rsidRPr="00CF7C36">
        <w:fldChar w:fldCharType="separate"/>
      </w:r>
      <w:r w:rsidR="00E55873" w:rsidRPr="00CF7C36">
        <w:rPr>
          <w:i w:val="0"/>
          <w:noProof/>
        </w:rPr>
        <w:t xml:space="preserve">(Kravchuk </w:t>
      </w:r>
      <w:r w:rsidR="00E55873" w:rsidRPr="00CF7C36">
        <w:rPr>
          <w:noProof/>
        </w:rPr>
        <w:t>et al</w:t>
      </w:r>
      <w:r w:rsidR="00E55873" w:rsidRPr="00CF7C36">
        <w:rPr>
          <w:i w:val="0"/>
          <w:noProof/>
        </w:rPr>
        <w:t>, 2022)</w:t>
      </w:r>
      <w:r w:rsidRPr="00CF7C36">
        <w:fldChar w:fldCharType="end"/>
      </w:r>
      <w:r w:rsidRPr="00CF7C36">
        <w:t xml:space="preserve">. </w:t>
      </w:r>
    </w:p>
    <w:p w14:paraId="11662D65" w14:textId="77777777" w:rsidR="00B85830" w:rsidRPr="00E97FC1" w:rsidRDefault="00B85830" w:rsidP="00B85830">
      <w:pPr>
        <w:pStyle w:val="Caption"/>
        <w:rPr>
          <w:szCs w:val="40"/>
        </w:rPr>
      </w:pPr>
    </w:p>
    <w:p w14:paraId="17E82C2D" w14:textId="4BA955F2" w:rsidR="009C0246" w:rsidRPr="00E97FC1" w:rsidRDefault="00E63866" w:rsidP="009C0734">
      <w:pPr>
        <w:ind w:firstLine="720"/>
        <w:rPr>
          <w:rFonts w:cs="Times New Roman"/>
          <w:szCs w:val="40"/>
          <w:lang w:val="en-GB"/>
        </w:rPr>
      </w:pPr>
      <w:r w:rsidRPr="00E97FC1">
        <w:rPr>
          <w:rFonts w:cs="Times New Roman"/>
          <w:szCs w:val="40"/>
          <w:lang w:val="en-GB"/>
        </w:rPr>
        <w:lastRenderedPageBreak/>
        <w:t xml:space="preserve">The nature of these conformational changes was similar to reported previously rotating-hinge-like motions between the peripheral and membrane arms which are likely to be typical for complex I </w:t>
      </w:r>
      <w:r w:rsidRPr="00E97FC1">
        <w:rPr>
          <w:rFonts w:cs="Times New Roman"/>
          <w:szCs w:val="40"/>
          <w:lang w:val="en-GB"/>
        </w:rPr>
        <w:fldChar w:fldCharType="begin" w:fldLock="1"/>
      </w:r>
      <w:r w:rsidR="00776703" w:rsidRPr="00E97FC1">
        <w:rPr>
          <w:rFonts w:cs="Times New Roman"/>
          <w:szCs w:val="40"/>
          <w:lang w:val="en-GB"/>
        </w:rPr>
        <w:instrText>ADDIN CSL_CITATION {"citationItems":[{"id":"ITEM-1","itemData":{"ISSN":"1476-4687","author":[{"dropping-particle":"","family":"Fiedorczuk","given":"Karol","non-dropping-particle":"","parse-names":false,"suffix":""},{"dropping-particle":"","family":"Letts","given":"James A","non-dropping-particle":"","parse-names":false,"suffix":""},{"dropping-particle":"","family":"Degliesposti","given":"Gianluca","non-dropping-particle":"","parse-names":false,"suffix":""},{"dropping-particle":"","family":"Kaszuba","given":"Karol","non-dropping-particle":"","parse-names":false,"suffix":""},{"dropping-particle":"","family":"Skehel","given":"Mark","non-dropping-particle":"","parse-names":false,"suffix":""},{"dropping-particle":"","family":"Sazanov","given":"Leonid A","non-dropping-particle":"","parse-names":false,"suffix":""}],"container-title":"Nature","id":"ITEM-1","issue":"7625","issued":{"date-parts":[["2016"]]},"page":"406","publisher":"Nature Publishing Group","title":"Atomic structure of the entire mammalian mitochondrial complex I","type":"article-journal","volume":"538"},"uris":["http://www.mendeley.com/documents/?uuid=8b3dcc76-36b2-4f27-acff-eb0590adf89d"]},{"id":"ITEM-2","itemData":{"DOI":"10.1016/j.molcel.2019.07.022","ISSN":"10972765","PMID":"31492636","abstract":"The mitochondrial electron transport chain complexes are organized into supercomplexes (SCs) of defined stoichiometry, which have been proposed to regulate electron flux via substrate channeling. We demonstrate that CoQ trapping in the isolated SC I+III2 limits complex (C)I turnover, arguing against channeling. The SC structure, resolved at up to 3.8 Å in four distinct states, suggests that CoQ oxidation may be rate limiting because of unequal access of CoQ to the active sites of CIII2. CI shows a transition between \"closed\" and \"open\" conformations, accompanied by the striking rotation of a key transmembrane helix. Furthermore, the state of CI affects the conformational flexibility within CIII2, demonstrating crosstalk between the enzymes. CoQ was identified at only three of the four binding sites in CIII2, suggesting that interaction with CI disrupts CIII2 symmetry in a functionally relevant manner. Together, these observations indicate a more nuanced functional role for the SCs.","author":[{"dropping-particle":"","family":"Letts","given":"James A.","non-dropping-particle":"","parse-names":false,"suffix":""},{"dropping-particle":"","family":"Fiedorczuk","given":"Karol","non-dropping-particle":"","parse-names":false,"suffix":""},{"dropping-particle":"","family":"Degliesposti","given":"Gianluca","non-dropping-particle":"","parse-names":false,"suffix":""},{"dropping-particle":"","family":"Skehel","given":"Mark","non-dropping-particle":"","parse-names":false,"suffix":""},{"dropping-particle":"","family":"Sazanov","given":"Leonid A.","non-dropping-particle":"","parse-names":false,"suffix":""}],"container-title":"Molecular Cell","id":"ITEM-2","issue":"6","issued":{"date-parts":[["2019","9"]]},"page":"1131-1146.e6","publisher":"Cell Press","title":"Structures of Respiratory Supercomplex I+III2 Reveal Functional and Conformational Crosstalk","type":"article-journal","volume":"75"},"uris":["http://www.mendeley.com/documents/?uuid=4dbcb868-dac5-43e5-b8be-12ab493413c3"]}],"mendeley":{"formattedCitation":"(Fiedorczuk &lt;i&gt;et al&lt;/i&gt;, 2016; Letts &lt;i&gt;et al&lt;/i&gt;, 2019)","plainTextFormattedCitation":"(Fiedorczuk et al, 2016; Letts et al, 2019)","previouslyFormattedCitation":"(Fiedorczuk &lt;i&gt;et al&lt;/i&gt;, 2016; Letts &lt;i&gt;et al&lt;/i&gt;, 2019)"},"properties":{"noteIndex":0},"schema":"https://github.com/citation-style-language/schema/raw/master/csl-citation.json"}</w:instrText>
      </w:r>
      <w:r w:rsidRPr="00E97FC1">
        <w:rPr>
          <w:rFonts w:cs="Times New Roman"/>
          <w:szCs w:val="40"/>
          <w:lang w:val="en-GB"/>
        </w:rPr>
        <w:fldChar w:fldCharType="separate"/>
      </w:r>
      <w:r w:rsidR="00E55873" w:rsidRPr="00E97FC1">
        <w:rPr>
          <w:rFonts w:cs="Times New Roman"/>
          <w:noProof/>
          <w:szCs w:val="40"/>
          <w:lang w:val="en-GB"/>
        </w:rPr>
        <w:t xml:space="preserve">(Fiedorczuk </w:t>
      </w:r>
      <w:r w:rsidR="00E55873" w:rsidRPr="00E97FC1">
        <w:rPr>
          <w:rFonts w:cs="Times New Roman"/>
          <w:i/>
          <w:noProof/>
          <w:szCs w:val="40"/>
          <w:lang w:val="en-GB"/>
        </w:rPr>
        <w:t>et al</w:t>
      </w:r>
      <w:r w:rsidR="00E55873" w:rsidRPr="00E97FC1">
        <w:rPr>
          <w:rFonts w:cs="Times New Roman"/>
          <w:noProof/>
          <w:szCs w:val="40"/>
          <w:lang w:val="en-GB"/>
        </w:rPr>
        <w:t xml:space="preserve">, 2016; Letts </w:t>
      </w:r>
      <w:r w:rsidR="00E55873" w:rsidRPr="00E97FC1">
        <w:rPr>
          <w:rFonts w:cs="Times New Roman"/>
          <w:i/>
          <w:noProof/>
          <w:szCs w:val="40"/>
          <w:lang w:val="en-GB"/>
        </w:rPr>
        <w:t>et al</w:t>
      </w:r>
      <w:r w:rsidR="00E55873" w:rsidRPr="00E97FC1">
        <w:rPr>
          <w:rFonts w:cs="Times New Roman"/>
          <w:noProof/>
          <w:szCs w:val="40"/>
          <w:lang w:val="en-GB"/>
        </w:rPr>
        <w:t>, 2019)</w:t>
      </w:r>
      <w:r w:rsidRPr="00E97FC1">
        <w:rPr>
          <w:rFonts w:cs="Times New Roman"/>
          <w:szCs w:val="40"/>
          <w:lang w:val="en-GB"/>
        </w:rPr>
        <w:fldChar w:fldCharType="end"/>
      </w:r>
      <w:r w:rsidRPr="00E97FC1">
        <w:rPr>
          <w:rFonts w:cs="Times New Roman"/>
          <w:szCs w:val="40"/>
          <w:lang w:val="en-GB"/>
        </w:rPr>
        <w:t xml:space="preserve">. However, after finishing </w:t>
      </w:r>
      <w:r w:rsidRPr="00E97FC1">
        <w:rPr>
          <w:rFonts w:cs="Times New Roman"/>
          <w:i/>
          <w:szCs w:val="40"/>
          <w:lang w:val="en-GB"/>
        </w:rPr>
        <w:t>Ec</w:t>
      </w:r>
      <w:r w:rsidR="00A46744" w:rsidRPr="00E97FC1">
        <w:rPr>
          <w:rFonts w:cs="Times New Roman"/>
          <w:szCs w:val="40"/>
          <w:lang w:val="en-GB"/>
        </w:rPr>
        <w:t>C</w:t>
      </w:r>
      <w:r w:rsidRPr="00E97FC1">
        <w:rPr>
          <w:rFonts w:cs="Times New Roman"/>
          <w:szCs w:val="40"/>
          <w:lang w:val="en-GB"/>
        </w:rPr>
        <w:t xml:space="preserve">I models and comparing them to the other known CI structures we revealed that in all conformational states from these datasets </w:t>
      </w:r>
      <w:r w:rsidRPr="00E97FC1">
        <w:rPr>
          <w:rFonts w:cs="Times New Roman"/>
          <w:i/>
          <w:szCs w:val="40"/>
          <w:lang w:val="en-GB"/>
        </w:rPr>
        <w:t>Ec</w:t>
      </w:r>
      <w:r w:rsidR="00A46744" w:rsidRPr="00E97FC1">
        <w:rPr>
          <w:rFonts w:cs="Times New Roman"/>
          <w:szCs w:val="40"/>
          <w:lang w:val="en-GB"/>
        </w:rPr>
        <w:t>C</w:t>
      </w:r>
      <w:r w:rsidRPr="00E97FC1">
        <w:rPr>
          <w:rFonts w:cs="Times New Roman"/>
          <w:szCs w:val="40"/>
          <w:lang w:val="en-GB"/>
        </w:rPr>
        <w:t>I had quite disordered and exposed Q cavity and relatively wide angle between PA and MD (Fig</w:t>
      </w:r>
      <w:r w:rsidR="00AF4C71" w:rsidRPr="00E97FC1">
        <w:rPr>
          <w:rFonts w:cs="Times New Roman"/>
          <w:szCs w:val="40"/>
          <w:lang w:val="en-GB"/>
        </w:rPr>
        <w:t>ure 3.1b,c</w:t>
      </w:r>
      <w:r w:rsidRPr="00E97FC1">
        <w:rPr>
          <w:rFonts w:cs="Times New Roman"/>
          <w:szCs w:val="40"/>
          <w:lang w:val="en-GB"/>
        </w:rPr>
        <w:t xml:space="preserve">). </w:t>
      </w:r>
      <w:r w:rsidR="0098040B" w:rsidRPr="00E97FC1">
        <w:rPr>
          <w:rFonts w:cs="Times New Roman"/>
          <w:szCs w:val="40"/>
          <w:lang w:val="en-GB"/>
        </w:rPr>
        <w:t xml:space="preserve">It was shown that DDM inhibits </w:t>
      </w:r>
      <w:r w:rsidR="0098040B" w:rsidRPr="00E97FC1">
        <w:rPr>
          <w:rFonts w:cs="Times New Roman"/>
          <w:i/>
          <w:szCs w:val="40"/>
          <w:lang w:val="en-GB"/>
        </w:rPr>
        <w:t>Ec</w:t>
      </w:r>
      <w:r w:rsidR="0098040B" w:rsidRPr="00E97FC1">
        <w:rPr>
          <w:rFonts w:cs="Times New Roman"/>
          <w:szCs w:val="40"/>
          <w:lang w:val="en-GB"/>
        </w:rPr>
        <w:t xml:space="preserve">CI activity </w:t>
      </w:r>
      <w:r w:rsidR="0098040B" w:rsidRPr="00E97FC1">
        <w:rPr>
          <w:rFonts w:cs="Times New Roman"/>
          <w:szCs w:val="40"/>
          <w:lang w:val="en-GB"/>
        </w:rPr>
        <w:fldChar w:fldCharType="begin" w:fldLock="1"/>
      </w:r>
      <w:r w:rsidR="00776703" w:rsidRPr="00E97FC1">
        <w:rPr>
          <w:rFonts w:cs="Times New Roman"/>
          <w:szCs w:val="40"/>
          <w:lang w:val="en-GB"/>
        </w:rPr>
        <w:instrText>ADDIN CSL_CITATION {"citationItems":[{"id":"ITEM-1","itemData":{"DOI":"10.1074/jbc.M208959200","ISSN":"0021-9258 (Print)","PMID":"12637579","abstract":"NADH-ubiquinone oxidoreductase (complex I or NDH-1) was purified from the BL21 strain of Escherichia coli using an improved procedure. The complex was effectively stabilized by addition of divalent cations and lipids, making the preparation suitable for structural studies. The ubiquinone reductase activity of the enzyme was fully restored by addition of native E. coli lipids. Two different two-dimensional crystal forms, with p2 and p3 symmetry, were obtained using lipids containing native E. coli extracts. Analysis of the crystals showed that they are formed by fully intact complex I in an L-shaped conformation. Activity assays and single particle analysis indicated that complex I maintains this structure in detergent solution and does not adopt a different conformation in the active state. Thus, we provide the first experimental evidence that complex I from E. coli has an L-shape in a lipid bilayer and confirm that this is also the case for the active enzyme in solution. This suggests strongly that bacterial complex I exists in an L-shaped conformation in vivo. Our results also indicate that native lipids play an important role in the activation, stabilization and, as a consequence, crystallization of purified complex I from E. coli.","author":[{"dropping-particle":"","family":"Sazanov","given":"Leonid A","non-dropping-particle":"","parse-names":false,"suffix":""},{"dropping-particle":"","family":"Carroll","given":"Joe","non-dropping-particle":"","parse-names":false,"suffix":""},{"dropping-particle":"","family":"Holt","given":"Peter","non-dropping-particle":"","parse-names":false,"suffix":""},{"dropping-particle":"","family":"Toime","given":"Laurence","non-dropping-particle":"","parse-names":false,"suffix":""},{"dropping-particle":"","family":"Fearnley","given":"Ian M","non-dropping-particle":"","parse-names":false,"suffix":""}],"container-title":"The Journal of biological chemistry","id":"ITEM-1","issue":"21","issued":{"date-parts":[["2003","5"]]},"language":"eng","page":"19483-19491","publisher-place":"United States","title":"A role for native lipids in the stabilization and two-dimensional crystallization of the Escherichia coli NADH-ubiquinone oxidoreductase (complex I).","type":"article-journal","volume":"278"},"uris":["http://www.mendeley.com/documents/?uuid=9838cd68-3f4b-48c2-872e-0893d87a06b1"]}],"mendeley":{"formattedCitation":"(Sazanov &lt;i&gt;et al&lt;/i&gt;, 2003)","plainTextFormattedCitation":"(Sazanov et al, 2003)","previouslyFormattedCitation":"(Sazanov &lt;i&gt;et al&lt;/i&gt;, 2003)"},"properties":{"noteIndex":0},"schema":"https://github.com/citation-style-language/schema/raw/master/csl-citation.json"}</w:instrText>
      </w:r>
      <w:r w:rsidR="0098040B" w:rsidRPr="00E97FC1">
        <w:rPr>
          <w:rFonts w:cs="Times New Roman"/>
          <w:szCs w:val="40"/>
          <w:lang w:val="en-GB"/>
        </w:rPr>
        <w:fldChar w:fldCharType="separate"/>
      </w:r>
      <w:r w:rsidR="00E55873" w:rsidRPr="00E97FC1">
        <w:rPr>
          <w:rFonts w:cs="Times New Roman"/>
          <w:noProof/>
          <w:szCs w:val="40"/>
          <w:lang w:val="en-GB"/>
        </w:rPr>
        <w:t xml:space="preserve">(Sazanov </w:t>
      </w:r>
      <w:r w:rsidR="00E55873" w:rsidRPr="00E97FC1">
        <w:rPr>
          <w:rFonts w:cs="Times New Roman"/>
          <w:i/>
          <w:noProof/>
          <w:szCs w:val="40"/>
          <w:lang w:val="en-GB"/>
        </w:rPr>
        <w:t>et al</w:t>
      </w:r>
      <w:r w:rsidR="00E55873" w:rsidRPr="00E97FC1">
        <w:rPr>
          <w:rFonts w:cs="Times New Roman"/>
          <w:noProof/>
          <w:szCs w:val="40"/>
          <w:lang w:val="en-GB"/>
        </w:rPr>
        <w:t>, 2003)</w:t>
      </w:r>
      <w:r w:rsidR="0098040B" w:rsidRPr="00E97FC1">
        <w:rPr>
          <w:rFonts w:cs="Times New Roman"/>
          <w:szCs w:val="40"/>
          <w:lang w:val="en-GB"/>
        </w:rPr>
        <w:fldChar w:fldCharType="end"/>
      </w:r>
      <w:r w:rsidR="0098040B" w:rsidRPr="00E97FC1">
        <w:rPr>
          <w:rFonts w:cs="Times New Roman"/>
          <w:szCs w:val="40"/>
          <w:lang w:val="en-GB"/>
        </w:rPr>
        <w:t>, but as we found out, at high DDM concentration the activity is almost absent</w:t>
      </w:r>
      <w:r w:rsidR="009C0734" w:rsidRPr="00E97FC1">
        <w:rPr>
          <w:rFonts w:cs="Times New Roman"/>
          <w:szCs w:val="40"/>
          <w:lang w:val="en-GB"/>
        </w:rPr>
        <w:t xml:space="preserve"> (Figure </w:t>
      </w:r>
      <w:r w:rsidR="00AF16A1" w:rsidRPr="00E97FC1">
        <w:rPr>
          <w:rFonts w:cs="Times New Roman"/>
          <w:szCs w:val="40"/>
          <w:lang w:val="en-GB"/>
        </w:rPr>
        <w:t>3.</w:t>
      </w:r>
      <w:r w:rsidR="000F12F2">
        <w:rPr>
          <w:rFonts w:cs="Times New Roman"/>
          <w:szCs w:val="40"/>
          <w:lang w:val="en-GB"/>
        </w:rPr>
        <w:t>6</w:t>
      </w:r>
      <w:r w:rsidR="009C0734" w:rsidRPr="00E97FC1">
        <w:rPr>
          <w:rFonts w:cs="Times New Roman"/>
          <w:szCs w:val="40"/>
          <w:lang w:val="en-GB"/>
        </w:rPr>
        <w:t>)</w:t>
      </w:r>
      <w:r w:rsidR="0098040B" w:rsidRPr="00E97FC1">
        <w:rPr>
          <w:rFonts w:cs="Times New Roman"/>
          <w:szCs w:val="40"/>
          <w:lang w:val="en-GB"/>
        </w:rPr>
        <w:t>. Thus, i</w:t>
      </w:r>
      <w:r w:rsidRPr="00E97FC1">
        <w:rPr>
          <w:rFonts w:cs="Times New Roman"/>
          <w:szCs w:val="40"/>
          <w:lang w:val="en-GB"/>
        </w:rPr>
        <w:t>n order to achieve</w:t>
      </w:r>
      <w:r w:rsidR="0098040B" w:rsidRPr="00E97FC1">
        <w:rPr>
          <w:rFonts w:cs="Times New Roman"/>
          <w:szCs w:val="40"/>
          <w:lang w:val="en-GB"/>
        </w:rPr>
        <w:t xml:space="preserve"> active preparation and catalytic</w:t>
      </w:r>
      <w:r w:rsidRPr="00E97FC1">
        <w:rPr>
          <w:rFonts w:cs="Times New Roman"/>
          <w:szCs w:val="40"/>
          <w:lang w:val="en-GB"/>
        </w:rPr>
        <w:t xml:space="preserve"> turnover during the freezing at as high as possible activity rate we had to completely rethink the sample preparation conditions. </w:t>
      </w:r>
    </w:p>
    <w:p w14:paraId="40F366F8" w14:textId="11B6C0A7" w:rsidR="00E63866" w:rsidRDefault="00AF16A1" w:rsidP="009C0734">
      <w:pPr>
        <w:ind w:firstLine="720"/>
        <w:rPr>
          <w:rFonts w:cs="Times New Roman"/>
          <w:szCs w:val="40"/>
          <w:lang w:val="en-GB"/>
        </w:rPr>
      </w:pPr>
      <w:r w:rsidRPr="00E97FC1">
        <w:rPr>
          <w:rFonts w:cs="Times New Roman"/>
          <w:szCs w:val="40"/>
          <w:lang w:val="en-GB"/>
        </w:rPr>
        <w:t>As a result of trials we found optimal conditions. First, i</w:t>
      </w:r>
      <w:r w:rsidR="00E63866" w:rsidRPr="00E97FC1">
        <w:rPr>
          <w:rFonts w:cs="Times New Roman"/>
          <w:szCs w:val="40"/>
          <w:lang w:val="en-GB"/>
        </w:rPr>
        <w:t xml:space="preserve">nstead of DDM as a main detergent we switched to milder LMNG. Secondly, we added </w:t>
      </w:r>
      <w:r w:rsidR="00E63866" w:rsidRPr="00E97FC1">
        <w:rPr>
          <w:rFonts w:cs="Times New Roman"/>
          <w:i/>
          <w:szCs w:val="40"/>
          <w:lang w:val="en-GB"/>
        </w:rPr>
        <w:t>E. coli</w:t>
      </w:r>
      <w:r w:rsidR="00E63866" w:rsidRPr="00E97FC1">
        <w:rPr>
          <w:rFonts w:cs="Times New Roman"/>
          <w:szCs w:val="40"/>
          <w:lang w:val="en-GB"/>
        </w:rPr>
        <w:t xml:space="preserve"> total lipid extract (ETL) to the solution buffer. Thirdly, the blotting temperature was increased from 4 °C to 15 °C. Finally, carbon-coated grids were used to significantly decrease amount of protein and detergent in the solution.</w:t>
      </w:r>
      <w:r w:rsidR="009C0734" w:rsidRPr="00E97FC1">
        <w:rPr>
          <w:rFonts w:cs="Times New Roman"/>
          <w:szCs w:val="40"/>
          <w:lang w:val="en-GB"/>
        </w:rPr>
        <w:t xml:space="preserve"> In order to control for DDM affect, we also purified </w:t>
      </w:r>
      <w:r w:rsidR="009C0734" w:rsidRPr="00E97FC1">
        <w:rPr>
          <w:rFonts w:cs="Times New Roman"/>
          <w:i/>
          <w:szCs w:val="40"/>
          <w:lang w:val="en-GB"/>
        </w:rPr>
        <w:t>Ec</w:t>
      </w:r>
      <w:r w:rsidR="009C0734" w:rsidRPr="00E97FC1">
        <w:rPr>
          <w:rFonts w:cs="Times New Roman"/>
          <w:szCs w:val="40"/>
          <w:lang w:val="en-GB"/>
        </w:rPr>
        <w:t>CI exclusively in LMNG without any DDM exposure. All th</w:t>
      </w:r>
      <w:r w:rsidR="00462C19" w:rsidRPr="00E97FC1">
        <w:rPr>
          <w:rFonts w:cs="Times New Roman"/>
          <w:szCs w:val="40"/>
          <w:lang w:val="en-GB"/>
        </w:rPr>
        <w:t>e</w:t>
      </w:r>
      <w:r w:rsidR="009C0734" w:rsidRPr="00E97FC1">
        <w:rPr>
          <w:rFonts w:cs="Times New Roman"/>
          <w:szCs w:val="40"/>
          <w:lang w:val="en-GB"/>
        </w:rPr>
        <w:t>s</w:t>
      </w:r>
      <w:r w:rsidR="00462C19" w:rsidRPr="00E97FC1">
        <w:rPr>
          <w:rFonts w:cs="Times New Roman"/>
          <w:szCs w:val="40"/>
          <w:lang w:val="en-GB"/>
        </w:rPr>
        <w:t>e</w:t>
      </w:r>
      <w:r w:rsidR="009C0734" w:rsidRPr="00E97FC1">
        <w:rPr>
          <w:rFonts w:cs="Times New Roman"/>
          <w:szCs w:val="40"/>
          <w:lang w:val="en-GB"/>
        </w:rPr>
        <w:t xml:space="preserve"> optimizations allowed us to obtain active sample an</w:t>
      </w:r>
      <w:r w:rsidR="00E84B82" w:rsidRPr="00E97FC1">
        <w:rPr>
          <w:rFonts w:cs="Times New Roman"/>
          <w:szCs w:val="40"/>
          <w:lang w:val="en-GB"/>
        </w:rPr>
        <w:t>d collect high resolution data.</w:t>
      </w:r>
    </w:p>
    <w:p w14:paraId="2B096EAE" w14:textId="77777777" w:rsidR="00483EAE" w:rsidRPr="00E97FC1" w:rsidRDefault="00483EAE" w:rsidP="009C0734">
      <w:pPr>
        <w:ind w:firstLine="720"/>
        <w:rPr>
          <w:rFonts w:cs="Times New Roman"/>
          <w:szCs w:val="40"/>
          <w:lang w:val="en-GB"/>
        </w:rPr>
      </w:pPr>
    </w:p>
    <w:p w14:paraId="29B106B1" w14:textId="77777777" w:rsidR="00CE3E6F" w:rsidRPr="00E97FC1" w:rsidRDefault="00CE3E6F" w:rsidP="00F016AD">
      <w:pPr>
        <w:pStyle w:val="Heading2"/>
      </w:pPr>
      <w:bookmarkStart w:id="104" w:name="_Toc132640010"/>
      <w:r w:rsidRPr="00E97FC1">
        <w:t>Overall structure and specific features of the minimal complex I version</w:t>
      </w:r>
      <w:bookmarkEnd w:id="104"/>
    </w:p>
    <w:p w14:paraId="075A6E26" w14:textId="77777777" w:rsidR="00CE3E6F" w:rsidRPr="00E97FC1" w:rsidRDefault="00CE3E6F" w:rsidP="00CE3E6F">
      <w:pPr>
        <w:pStyle w:val="Heading3"/>
      </w:pPr>
      <w:bookmarkStart w:id="105" w:name="_Toc132640011"/>
      <w:r w:rsidRPr="00E97FC1">
        <w:t>Peripheral arm peculiarities</w:t>
      </w:r>
      <w:bookmarkEnd w:id="105"/>
    </w:p>
    <w:p w14:paraId="334063F9" w14:textId="470739D2" w:rsidR="00CE3E6F" w:rsidRPr="00E97FC1" w:rsidRDefault="00CE3E6F" w:rsidP="00CE3E6F">
      <w:pPr>
        <w:ind w:firstLine="720"/>
        <w:rPr>
          <w:rFonts w:cs="Times New Roman"/>
          <w:szCs w:val="24"/>
          <w:lang w:val="en-GB"/>
        </w:rPr>
      </w:pPr>
      <w:r w:rsidRPr="00E97FC1">
        <w:rPr>
          <w:rFonts w:cs="Times New Roman"/>
          <w:szCs w:val="24"/>
          <w:lang w:val="en-GB"/>
        </w:rPr>
        <w:t xml:space="preserve">High resolution allowed us to improve the previous crystal structure of the MA </w:t>
      </w:r>
      <w:r w:rsidRPr="00E97FC1">
        <w:rPr>
          <w:rFonts w:cs="Times New Roman"/>
          <w:szCs w:val="24"/>
          <w:lang w:val="en-GB"/>
        </w:rPr>
        <w:fldChar w:fldCharType="begin" w:fldLock="1"/>
      </w:r>
      <w:r w:rsidRPr="00E97FC1">
        <w:rPr>
          <w:rFonts w:cs="Times New Roman"/>
          <w:szCs w:val="24"/>
          <w:lang w:val="en-GB"/>
        </w:rPr>
        <w:instrText>ADDIN CSL_CITATION {"citationItems":[{"id":"ITEM-1","itemData":{"DOI":"10.1038/nature10330","ISSN":"1476-4687 (Electronic)","PMID":"21822288","abstract":"Complex I is the first and largest enzyme of the respiratory chain, coupling electron transfer between NADH and ubiquinone to the translocation of four protons across the membrane. It has a central role in cellular energy production and has been implicated in many human neurodegenerative diseases. The L-shaped enzyme consists of hydrophilic and membrane domains. Previously, we determined the structure of the hydrophilic domain. Here we report the crystal structure of the Esherichia coli complex I membrane domain at 3.0 A resolution. It includes six subunits, NuoL, NuoM, NuoN, NuoA, NuoJ and NuoK, with 55 transmembrane helices. The fold of the homologous antiporter-like subunits L, M and N is novel, with two inverted structural repeats of five transmembrane helices arranged, unusually, face-to-back. Each repeat includes a discontinuous transmembrane helix and forms half of a channel across the membrane. A network of conserved polar residues connects the two half-channels, completing the proton translocation pathway. Unexpectedly, lysines rather than carboxylate residues act as the main elements of the proton pump in these subunits. The fourth probable proton-translocation channel is at the interface of subunits N, K, J and A. The structure indicates that proton translocation in complex I, uniquely, involves coordinated conformational changes in six symmetrical structural elements.","author":[{"dropping-particle":"","family":"Efremov","given":"Rouslan G","non-dropping-particle":"","parse-names":false,"suffix":""},{"dropping-particle":"","family":"Sazanov","given":"Leonid A","non-dropping-particle":"","parse-names":false,"suffix":""}],"container-title":"Nature","id":"ITEM-1","issue":"7361","issued":{"date-parts":[["2011","8"]]},"language":"eng","page":"414-420","publisher-place":"England","title":"Structure of the membrane domain of respiratory complex I.","type":"article-journal","volume":"476"},"uris":["http://www.mendeley.com/documents/?uuid=70e749ca-5ff6-4c28-b7a8-deff25e62773"]}],"mendeley":{"formattedCitation":"(Efremov &amp; Sazanov, 2011)","plainTextFormattedCitation":"(Efremov &amp; Sazanov, 2011)","previouslyFormattedCitation":"(Efremov &amp; Sazanov, 2011)"},"properties":{"noteIndex":0},"schema":"https://github.com/citation-style-language/schema/raw/master/csl-citation.json"}</w:instrText>
      </w:r>
      <w:r w:rsidRPr="00E97FC1">
        <w:rPr>
          <w:rFonts w:cs="Times New Roman"/>
          <w:szCs w:val="24"/>
          <w:lang w:val="en-GB"/>
        </w:rPr>
        <w:fldChar w:fldCharType="separate"/>
      </w:r>
      <w:r w:rsidRPr="00E97FC1">
        <w:rPr>
          <w:rFonts w:cs="Times New Roman"/>
          <w:noProof/>
          <w:szCs w:val="24"/>
          <w:lang w:val="en-GB"/>
        </w:rPr>
        <w:t>(Efremov &amp; Sazanov, 2011)</w:t>
      </w:r>
      <w:r w:rsidRPr="00E97FC1">
        <w:rPr>
          <w:rFonts w:cs="Times New Roman"/>
          <w:szCs w:val="24"/>
          <w:lang w:val="en-GB"/>
        </w:rPr>
        <w:fldChar w:fldCharType="end"/>
      </w:r>
      <w:r w:rsidRPr="00E97FC1">
        <w:rPr>
          <w:rFonts w:cs="Times New Roman"/>
          <w:szCs w:val="24"/>
          <w:lang w:val="en-GB"/>
        </w:rPr>
        <w:t>, while the structures of the NuoH and the PA are new (Figure 3.</w:t>
      </w:r>
      <w:r w:rsidR="002A77F9">
        <w:rPr>
          <w:rFonts w:cs="Times New Roman"/>
          <w:szCs w:val="24"/>
          <w:lang w:val="en-GB"/>
        </w:rPr>
        <w:t>2</w:t>
      </w:r>
      <w:r w:rsidRPr="00E97FC1">
        <w:rPr>
          <w:rFonts w:cs="Times New Roman"/>
          <w:szCs w:val="24"/>
          <w:lang w:val="en-GB"/>
        </w:rPr>
        <w:t xml:space="preserve">), solved independently before recently published structures </w:t>
      </w:r>
      <w:r w:rsidRPr="00E97FC1">
        <w:rPr>
          <w:rFonts w:cs="Times New Roman"/>
          <w:szCs w:val="24"/>
          <w:lang w:val="en-GB"/>
        </w:rPr>
        <w:fldChar w:fldCharType="begin" w:fldLock="1"/>
      </w:r>
      <w:r w:rsidRPr="00E97FC1">
        <w:rPr>
          <w:rFonts w:cs="Times New Roman"/>
          <w:szCs w:val="24"/>
          <w:lang w:val="en-GB"/>
        </w:rPr>
        <w:instrText>ADDIN CSL_CITATION {"citationItems":[{"id":"ITEM-1","itemData":{"DOI":"10.7554/eLife.68710","ISSN":"2050-084X (Electronic)","PMID":"34308841","abstract":"Respiratory complex I is a multi-subunit membrane protein complex that reversibly  couples NADH oxidation and ubiquinone reduction with proton translocation against transmembrane potential. Complex I from Escherichia coli is among the best functionally characterized complexes, but its structure remains unknown, hindering further studies to understand the enzyme coupling mechanism. Here, we describe the single particle cryo-electron microscopy (cryo-EM) structure of the entire catalytically active E. coli complex I reconstituted into lipid nanodiscs. The structure of this mesophilic bacterial complex I displays highly dynamic connection between the peripheral and membrane domains. The peripheral domain assembly is stabilized by unique terminal extensions and an insertion loop. The membrane domain structure reveals novel dynamic features. Unusual conformation of the conserved interface between the peripheral and membrane domains suggests an uncoupled conformation of the complex. Considering constraints imposed by the structural data, we suggest a new simple hypothetical coupling mechanism for the molecular machine.","author":[{"dropping-particle":"","family":"Kolata","given":"Piotr","non-dropping-particle":"","parse-names":false,"suffix":""},{"dropping-particle":"","family":"Efremov","given":"Rouslan G","non-dropping-particle":"","parse-names":false,"suffix":""}],"container-title":"eLife","id":"ITEM-1","issued":{"date-parts":[["2021","7"]]},"language":"eng","title":"Structure of Escherichia coli respiratory complex I reconstituted into lipid  nanodiscs reveals an uncoupled conformation.","type":"article-journal","volume":"10"},"uris":["http://www.mendeley.com/documents/?uuid=b2dea1c2-29b2-4330-b6f9-9a089036b1f1"]}],"mendeley":{"formattedCitation":"(Kolata &amp; Efremov, 2021)","plainTextFormattedCitation":"(Kolata &amp; Efremov, 2021)","previouslyFormattedCitation":"(Kolata &amp; Efremov, 2021)"},"properties":{"noteIndex":0},"schema":"https://github.com/citation-style-language/schema/raw/master/csl-citation.json"}</w:instrText>
      </w:r>
      <w:r w:rsidRPr="00E97FC1">
        <w:rPr>
          <w:rFonts w:cs="Times New Roman"/>
          <w:szCs w:val="24"/>
          <w:lang w:val="en-GB"/>
        </w:rPr>
        <w:fldChar w:fldCharType="separate"/>
      </w:r>
      <w:r w:rsidRPr="00E97FC1">
        <w:rPr>
          <w:rFonts w:cs="Times New Roman"/>
          <w:noProof/>
          <w:szCs w:val="24"/>
          <w:lang w:val="en-GB"/>
        </w:rPr>
        <w:t>(Kolata &amp; Efremov, 2021)</w:t>
      </w:r>
      <w:r w:rsidRPr="00E97FC1">
        <w:rPr>
          <w:rFonts w:cs="Times New Roman"/>
          <w:szCs w:val="24"/>
          <w:lang w:val="en-GB"/>
        </w:rPr>
        <w:fldChar w:fldCharType="end"/>
      </w:r>
      <w:r w:rsidRPr="00E97FC1">
        <w:rPr>
          <w:rFonts w:cs="Times New Roman"/>
          <w:szCs w:val="24"/>
          <w:lang w:val="en-GB"/>
        </w:rPr>
        <w:t xml:space="preserve">. The general structure resembles the known core complex I architecture, with a few key differences. </w:t>
      </w:r>
      <w:r w:rsidRPr="00E97FC1">
        <w:rPr>
          <w:rFonts w:cs="Times New Roman"/>
          <w:i/>
          <w:szCs w:val="24"/>
          <w:lang w:val="en-GB"/>
        </w:rPr>
        <w:t>Ec</w:t>
      </w:r>
      <w:r w:rsidRPr="00E97FC1">
        <w:rPr>
          <w:rFonts w:cs="Times New Roman"/>
          <w:szCs w:val="24"/>
          <w:lang w:val="en-GB"/>
        </w:rPr>
        <w:t>CI has the largest NuoG subunit among known CI structures, with a long (~100 residues) insertion loop with a unique structure (Figure 3.</w:t>
      </w:r>
      <w:r w:rsidR="002A77F9">
        <w:rPr>
          <w:rFonts w:cs="Times New Roman"/>
          <w:szCs w:val="24"/>
          <w:lang w:val="en-GB"/>
        </w:rPr>
        <w:t>2</w:t>
      </w:r>
      <w:r w:rsidRPr="00E97FC1">
        <w:rPr>
          <w:rFonts w:cs="Times New Roman"/>
          <w:szCs w:val="24"/>
          <w:lang w:val="en-GB"/>
        </w:rPr>
        <w:t xml:space="preserve">a). The loop stabilizes the complex by increasing the interaction surface area mainly with the NuoCD subunit, effectively replacing such accessory subunits as the Nqo16 from </w:t>
      </w:r>
      <w:r w:rsidRPr="00E97FC1">
        <w:rPr>
          <w:rFonts w:cs="Times New Roman"/>
          <w:i/>
          <w:szCs w:val="24"/>
          <w:lang w:val="en-GB"/>
        </w:rPr>
        <w:t>Tt</w:t>
      </w:r>
      <w:r w:rsidRPr="00E97FC1">
        <w:rPr>
          <w:rFonts w:cs="Times New Roman"/>
          <w:szCs w:val="24"/>
          <w:lang w:val="en-GB"/>
        </w:rPr>
        <w:t xml:space="preserve">CI or the mammalian 18 kDa subunit. Calcium is essential for </w:t>
      </w:r>
      <w:r w:rsidRPr="00E97FC1">
        <w:rPr>
          <w:rFonts w:cs="Times New Roman"/>
          <w:i/>
          <w:szCs w:val="24"/>
          <w:lang w:val="en-GB"/>
        </w:rPr>
        <w:t>Ec</w:t>
      </w:r>
      <w:r w:rsidRPr="00E97FC1">
        <w:rPr>
          <w:rFonts w:cs="Times New Roman"/>
          <w:szCs w:val="24"/>
          <w:lang w:val="en-GB"/>
        </w:rPr>
        <w:t xml:space="preserve">CI activity and stability </w:t>
      </w:r>
      <w:r w:rsidRPr="00E97FC1">
        <w:rPr>
          <w:rFonts w:cs="Times New Roman"/>
          <w:szCs w:val="24"/>
          <w:lang w:val="en-GB"/>
        </w:rPr>
        <w:fldChar w:fldCharType="begin" w:fldLock="1"/>
      </w:r>
      <w:r w:rsidRPr="00E97FC1">
        <w:rPr>
          <w:rFonts w:cs="Times New Roman"/>
          <w:szCs w:val="24"/>
          <w:lang w:val="en-GB"/>
        </w:rPr>
        <w:instrText>ADDIN CSL_CITATION {"citationItems":[{"id":"ITEM-1","itemData":{"DOI":"10.1074/jbc.M208959200","ISSN":"0021-9258 (Print)","PMID":"12637579","abstract":"NADH-ubiquinone oxidoreductase (complex I or NDH-1) was purified from the BL21 strain of Escherichia coli using an improved procedure. The complex was effectively stabilized by addition of divalent cations and lipids, making the preparation suitable for structural studies. The ubiquinone reductase activity of the enzyme was fully restored by addition of native E. coli lipids. Two different two-dimensional crystal forms, with p2 and p3 symmetry, were obtained using lipids containing native E. coli extracts. Analysis of the crystals showed that they are formed by fully intact complex I in an L-shaped conformation. Activity assays and single particle analysis indicated that complex I maintains this structure in detergent solution and does not adopt a different conformation in the active state. Thus, we provide the first experimental evidence that complex I from E. coli has an L-shape in a lipid bilayer and confirm that this is also the case for the active enzyme in solution. This suggests strongly that bacterial complex I exists in an L-shaped conformation in vivo. Our results also indicate that native lipids play an important role in the activation, stabilization and, as a consequence, crystallization of purified complex I from E. coli.","author":[{"dropping-particle":"","family":"Sazanov","given":"Leonid A","non-dropping-particle":"","parse-names":false,"suffix":""},{"dropping-particle":"","family":"Carroll","given":"Joe","non-dropping-particle":"","parse-names":false,"suffix":""},{"dropping-particle":"","family":"Holt","given":"Peter","non-dropping-particle":"","parse-names":false,"suffix":""},{"dropping-particle":"","family":"Toime","given":"Laurence","non-dropping-particle":"","parse-names":false,"suffix":""},{"dropping-particle":"","family":"Fearnley","given":"Ian M","non-dropping-particle":"","parse-names":false,"suffix":""}],"container-title":"The Journal of biological chemistry","id":"ITEM-1","issue":"21","issued":{"date-parts":[["2003","5"]]},"language":"eng","page":"19483-19491","publisher-place":"United States","title":"A role for native lipids in the stabilization and two-dimensional crystallization of the Escherichia coli NADH-ubiquinone oxidoreductase (complex I).","type":"article-journal","volume":"278"},"uris":["http://www.mendeley.com/documents/?uuid=9838cd68-3f4b-48c2-872e-0893d87a06b1"]}],"mendeley":{"formattedCitation":"(Sazanov &lt;i&gt;et al&lt;/i&gt;, 2003)","plainTextFormattedCitation":"(Sazanov et al, 2003)","previouslyFormattedCitation":"(Sazanov &lt;i&gt;et al&lt;/i&gt;, 2003)"},"properties":{"noteIndex":0},"schema":"https://github.com/citation-style-language/schema/raw/master/csl-citation.json"}</w:instrText>
      </w:r>
      <w:r w:rsidRPr="00E97FC1">
        <w:rPr>
          <w:rFonts w:cs="Times New Roman"/>
          <w:szCs w:val="24"/>
          <w:lang w:val="en-GB"/>
        </w:rPr>
        <w:fldChar w:fldCharType="separate"/>
      </w:r>
      <w:r w:rsidRPr="00E97FC1">
        <w:rPr>
          <w:rFonts w:cs="Times New Roman"/>
          <w:noProof/>
          <w:szCs w:val="24"/>
          <w:lang w:val="en-GB"/>
        </w:rPr>
        <w:t xml:space="preserve">(Sazanov </w:t>
      </w:r>
      <w:r w:rsidRPr="00E97FC1">
        <w:rPr>
          <w:rFonts w:cs="Times New Roman"/>
          <w:i/>
          <w:noProof/>
          <w:szCs w:val="24"/>
          <w:lang w:val="en-GB"/>
        </w:rPr>
        <w:t>et al</w:t>
      </w:r>
      <w:r w:rsidRPr="00E97FC1">
        <w:rPr>
          <w:rFonts w:cs="Times New Roman"/>
          <w:noProof/>
          <w:szCs w:val="24"/>
          <w:lang w:val="en-GB"/>
        </w:rPr>
        <w:t>, 2003)</w:t>
      </w:r>
      <w:r w:rsidRPr="00E97FC1">
        <w:rPr>
          <w:rFonts w:cs="Times New Roman"/>
          <w:szCs w:val="24"/>
          <w:lang w:val="en-GB"/>
        </w:rPr>
        <w:fldChar w:fldCharType="end"/>
      </w:r>
      <w:r w:rsidRPr="00E97FC1">
        <w:rPr>
          <w:rFonts w:cs="Times New Roman"/>
          <w:szCs w:val="24"/>
          <w:lang w:val="en-GB"/>
        </w:rPr>
        <w:t xml:space="preserve"> and NuoG subunit contains a Ca</w:t>
      </w:r>
      <w:r w:rsidRPr="00E97FC1">
        <w:rPr>
          <w:rFonts w:cs="Times New Roman"/>
          <w:szCs w:val="24"/>
          <w:vertAlign w:val="superscript"/>
          <w:lang w:val="en-GB"/>
        </w:rPr>
        <w:t xml:space="preserve">2+ </w:t>
      </w:r>
      <w:r w:rsidRPr="00E97FC1">
        <w:rPr>
          <w:rFonts w:cs="Times New Roman"/>
          <w:szCs w:val="24"/>
          <w:lang w:val="en-GB"/>
        </w:rPr>
        <w:t xml:space="preserve">ion bound at the site unique for </w:t>
      </w:r>
      <w:r w:rsidRPr="00E97FC1">
        <w:rPr>
          <w:rFonts w:cs="Times New Roman"/>
          <w:i/>
          <w:szCs w:val="24"/>
          <w:lang w:val="en-GB"/>
        </w:rPr>
        <w:t>E. coli</w:t>
      </w:r>
      <w:r w:rsidRPr="00E97FC1">
        <w:rPr>
          <w:rFonts w:cs="Times New Roman"/>
          <w:szCs w:val="24"/>
          <w:lang w:val="en-GB"/>
        </w:rPr>
        <w:t>, coordinated by acidic residues from the insertion loop (Figure 3.</w:t>
      </w:r>
      <w:r w:rsidR="002A77F9">
        <w:rPr>
          <w:rFonts w:cs="Times New Roman"/>
          <w:szCs w:val="24"/>
          <w:lang w:val="en-GB"/>
        </w:rPr>
        <w:t>2</w:t>
      </w:r>
      <w:r w:rsidR="000F12F2">
        <w:rPr>
          <w:rFonts w:cs="Times New Roman"/>
          <w:szCs w:val="24"/>
          <w:lang w:val="en-GB"/>
        </w:rPr>
        <w:t>a</w:t>
      </w:r>
      <w:r w:rsidRPr="00E97FC1">
        <w:rPr>
          <w:rFonts w:cs="Times New Roman"/>
          <w:szCs w:val="24"/>
          <w:lang w:val="en-GB"/>
        </w:rPr>
        <w:t xml:space="preserve">). NuoC and D subunits are fused in </w:t>
      </w:r>
      <w:r w:rsidRPr="00E97FC1">
        <w:rPr>
          <w:rFonts w:cs="Times New Roman"/>
          <w:i/>
          <w:szCs w:val="24"/>
          <w:lang w:val="en-GB"/>
        </w:rPr>
        <w:t>E. coli</w:t>
      </w:r>
      <w:r w:rsidRPr="00E97FC1">
        <w:rPr>
          <w:rFonts w:cs="Times New Roman"/>
          <w:szCs w:val="24"/>
          <w:lang w:val="en-GB"/>
        </w:rPr>
        <w:t xml:space="preserve"> by a species-specific loop-helix-loop (</w:t>
      </w:r>
      <w:r w:rsidRPr="00E97FC1">
        <w:rPr>
          <w:rFonts w:cs="Times New Roman"/>
          <w:szCs w:val="24"/>
          <w:vertAlign w:val="subscript"/>
          <w:lang w:val="en-GB"/>
        </w:rPr>
        <w:t>CD</w:t>
      </w:r>
      <w:r w:rsidRPr="00E97FC1">
        <w:rPr>
          <w:rFonts w:cs="Times New Roman"/>
          <w:szCs w:val="24"/>
          <w:lang w:val="en-GB"/>
        </w:rPr>
        <w:t xml:space="preserve">LHL) element, which interacts with NuoG, B and A subunits, stabilising the interface region (Figure 3.2a). Additional inter-subunit interactions are provided by the </w:t>
      </w:r>
      <w:r w:rsidRPr="00E97FC1">
        <w:rPr>
          <w:rFonts w:cs="Times New Roman"/>
          <w:i/>
          <w:szCs w:val="24"/>
          <w:lang w:val="en-GB"/>
        </w:rPr>
        <w:t>E. coli</w:t>
      </w:r>
      <w:r w:rsidRPr="00E97FC1">
        <w:rPr>
          <w:rFonts w:cs="Times New Roman"/>
          <w:szCs w:val="24"/>
          <w:lang w:val="en-GB"/>
        </w:rPr>
        <w:t xml:space="preserve">-specific </w:t>
      </w:r>
      <w:r w:rsidRPr="00E97FC1">
        <w:rPr>
          <w:rFonts w:cs="Times New Roman"/>
          <w:szCs w:val="24"/>
          <w:lang w:val="en-GB"/>
        </w:rPr>
        <w:lastRenderedPageBreak/>
        <w:t>C-terminal extensions of about 20 to 40 residues in subunits NuoB, I, and F, stabilising the “back” of the PA (Figure 3.</w:t>
      </w:r>
      <w:r w:rsidR="002A77F9">
        <w:rPr>
          <w:rFonts w:cs="Times New Roman"/>
          <w:szCs w:val="24"/>
          <w:lang w:val="en-GB"/>
        </w:rPr>
        <w:t>2</w:t>
      </w:r>
      <w:r w:rsidRPr="00E97FC1">
        <w:rPr>
          <w:rFonts w:cs="Times New Roman"/>
          <w:szCs w:val="24"/>
          <w:lang w:val="en-GB"/>
        </w:rPr>
        <w:t>b). It is likely that all these extensions are necessary to maintain the stability of the minimal version of complex I, as their sequences are conserved in Enterobacteria. The enzymes lacking such extensions instead contain additional subunits (</w:t>
      </w:r>
      <w:r w:rsidRPr="00E97FC1">
        <w:rPr>
          <w:rFonts w:cs="Times New Roman"/>
          <w:i/>
          <w:szCs w:val="24"/>
          <w:lang w:val="en-GB"/>
        </w:rPr>
        <w:t>T. thermophilus</w:t>
      </w:r>
      <w:hyperlink w:anchor="_ENREF_4" w:tooltip="Baradaran, 2013 #906" w:history="1"/>
      <w:r w:rsidRPr="00E97FC1">
        <w:rPr>
          <w:rFonts w:cs="Times New Roman"/>
          <w:szCs w:val="24"/>
          <w:lang w:val="en-GB"/>
        </w:rPr>
        <w:t xml:space="preserve"> </w:t>
      </w:r>
      <w:r w:rsidRPr="00E97FC1">
        <w:rPr>
          <w:rFonts w:cs="Times New Roman"/>
          <w:szCs w:val="24"/>
          <w:lang w:val="en-GB"/>
        </w:rPr>
        <w:fldChar w:fldCharType="begin" w:fldLock="1"/>
      </w:r>
      <w:r w:rsidRPr="00E97FC1">
        <w:rPr>
          <w:rFonts w:cs="Times New Roman"/>
          <w:szCs w:val="24"/>
          <w:lang w:val="en-GB"/>
        </w:rPr>
        <w:instrText>ADDIN CSL_CITATION {"citationItems":[{"id":"ITEM-1","itemData":{"author":[{"dropping-particle":"","family":"Baradaran","given":"Rozbeh","non-dropping-particle":"","parse-names":false,"suffix":""},{"dropping-particle":"","family":"Berrisford","given":"John M","non-dropping-particle":"","parse-names":false,"suffix":""},{"dropping-particle":"","family":"Minhas","given":"Gurdeep S","non-dropping-particle":"","parse-names":false,"suffix":""},{"dropping-particle":"","family":"Sazanov","given":"Leonid A","non-dropping-particle":"","parse-names":false,"suffix":""}],"container-title":"Nature","id":"ITEM-1","issued":{"date-parts":[["2013","2","17"]]},"page":"443","publisher":"Nature Publishing Group, a division of Macmillan Publishers Limited. All Rights Reserved.","title":"Crystal structure of the entire respiratory complex I","type":"article-journal","volume":"494"},"uris":["http://www.mendeley.com/documents/?uuid=b734c581-3eb2-4088-870d-6a27b0018ab2"]}],"mendeley":{"formattedCitation":"(Baradaran &lt;i&gt;et al&lt;/i&gt;, 2013)","plainTextFormattedCitation":"(Baradaran et al, 2013)","previouslyFormattedCitation":"(Baradaran &lt;i&gt;et al&lt;/i&gt;, 2013)"},"properties":{"noteIndex":0},"schema":"https://github.com/citation-style-language/schema/raw/master/csl-citation.json"}</w:instrText>
      </w:r>
      <w:r w:rsidRPr="00E97FC1">
        <w:rPr>
          <w:rFonts w:cs="Times New Roman"/>
          <w:szCs w:val="24"/>
          <w:lang w:val="en-GB"/>
        </w:rPr>
        <w:fldChar w:fldCharType="separate"/>
      </w:r>
      <w:r w:rsidRPr="00E97FC1">
        <w:rPr>
          <w:rFonts w:cs="Times New Roman"/>
          <w:noProof/>
          <w:szCs w:val="24"/>
          <w:lang w:val="en-GB"/>
        </w:rPr>
        <w:t xml:space="preserve">(Baradaran </w:t>
      </w:r>
      <w:r w:rsidRPr="00E97FC1">
        <w:rPr>
          <w:rFonts w:cs="Times New Roman"/>
          <w:i/>
          <w:noProof/>
          <w:szCs w:val="24"/>
          <w:lang w:val="en-GB"/>
        </w:rPr>
        <w:t>et al</w:t>
      </w:r>
      <w:r w:rsidRPr="00E97FC1">
        <w:rPr>
          <w:rFonts w:cs="Times New Roman"/>
          <w:noProof/>
          <w:szCs w:val="24"/>
          <w:lang w:val="en-GB"/>
        </w:rPr>
        <w:t>, 2013)</w:t>
      </w:r>
      <w:r w:rsidRPr="00E97FC1">
        <w:rPr>
          <w:rFonts w:cs="Times New Roman"/>
          <w:szCs w:val="24"/>
          <w:lang w:val="en-GB"/>
        </w:rPr>
        <w:fldChar w:fldCharType="end"/>
      </w:r>
      <w:r w:rsidRPr="00E97FC1">
        <w:rPr>
          <w:rFonts w:cs="Times New Roman"/>
          <w:szCs w:val="24"/>
          <w:lang w:val="en-GB"/>
        </w:rPr>
        <w:t xml:space="preserve">, </w:t>
      </w:r>
      <w:r w:rsidRPr="00E97FC1">
        <w:rPr>
          <w:rFonts w:cs="Times New Roman"/>
          <w:i/>
          <w:szCs w:val="24"/>
          <w:lang w:val="en-GB"/>
        </w:rPr>
        <w:t>Paracoccus denitrificans</w:t>
      </w:r>
      <w:r w:rsidRPr="00E97FC1">
        <w:rPr>
          <w:rFonts w:cs="Times New Roman"/>
          <w:szCs w:val="24"/>
          <w:lang w:val="en-GB"/>
        </w:rPr>
        <w:t xml:space="preserve"> </w:t>
      </w:r>
      <w:r w:rsidRPr="00E97FC1">
        <w:rPr>
          <w:rFonts w:cs="Times New Roman"/>
          <w:szCs w:val="24"/>
          <w:lang w:val="en-GB"/>
        </w:rPr>
        <w:fldChar w:fldCharType="begin" w:fldLock="1"/>
      </w:r>
      <w:r w:rsidRPr="00E97FC1">
        <w:rPr>
          <w:rFonts w:cs="Times New Roman"/>
          <w:szCs w:val="24"/>
          <w:lang w:val="en-GB"/>
        </w:rPr>
        <w:instrText>ADDIN CSL_CITATION {"citationItems":[{"id":"ITEM-1","itemData":{"DOI":"10.1074/jbc.M110.194993","ISSN":"1083-351X (Electronic)","PMID":"21115482","abstract":"Modern α-proteobacteria are thought to be closely related to the ancient symbiont  of eukaryotes, an ancestor of mitochondria. Respiratory complex I from α-proteobacteria and mitochondria is well conserved at the level of the 14 \"core\" subunits, consistent with that notion. Mitochondrial complex I contains the core subunits, present in all species, and up to 31 \"supernumerary\" subunits, generally thought to have originated only within eukaryotic lineages. However, the full protein composition of an α-proteobacterial complex I has not been established previously. Here, we report the first purification and characterization of complex I from the α-proteobacterium Paracoccus denitrificans. Single particle electron microscopy shows that the complex has a well defined L-shape. Unexpectedly, in addition to the 14 core subunits, the enzyme also contains homologues of three supernumerary mitochondrial subunits as follows: B17.2, AQDQ/18, and 13 kDa (bovine nomenclature). This finding suggests that evolution of complex I via addition of supernumerary or \"accessory\" subunits started before the original endosymbiotic event that led to the creation of the eukaryotic cell. It also provides further confirmation that α-proteobacteria are the closest extant relatives of mitochondria.","author":[{"dropping-particle":"","family":"Yip","given":"Chui-ying","non-dropping-particle":"","parse-names":false,"suffix":""},{"dropping-particle":"","family":"Harbour","given":"Michael E","non-dropping-particle":"","parse-names":false,"suffix":""},{"dropping-particle":"","family":"Jayawardena","given":"Kamburapola","non-dropping-particle":"","parse-names":false,"suffix":""},{"dropping-particle":"","family":"Fearnley","given":"Ian M","non-dropping-particle":"","parse-names":false,"suffix":""},{"dropping-particle":"","family":"Sazanov","given":"Leonid A","non-dropping-particle":"","parse-names":false,"suffix":""}],"container-title":"The Journal of biological chemistry","id":"ITEM-1","issue":"7","issued":{"date-parts":[["2011","2"]]},"language":"eng","page":"5023-5033","publisher-place":"United States","title":"Evolution of respiratory complex I: \"supernumerary\" subunits are present in the  alpha-proteobacterial enzyme.","type":"article-journal","volume":"286"},"uris":["http://www.mendeley.com/documents/?uuid=c7bb7b84-b657-49a3-bdea-34513ddfa53f","http://www.mendeley.com/documents/?uuid=e92349e3-2e6d-4320-8cae-e92f08fca876"]}],"mendeley":{"formattedCitation":"(Yip &lt;i&gt;et al&lt;/i&gt;, 2011)","plainTextFormattedCitation":"(Yip et al, 2011)","previouslyFormattedCitation":"(Yip &lt;i&gt;et al&lt;/i&gt;, 2011)"},"properties":{"noteIndex":0},"schema":"https://github.com/citation-style-language/schema/raw/master/csl-citation.json"}</w:instrText>
      </w:r>
      <w:r w:rsidRPr="00E97FC1">
        <w:rPr>
          <w:rFonts w:cs="Times New Roman"/>
          <w:szCs w:val="24"/>
          <w:lang w:val="en-GB"/>
        </w:rPr>
        <w:fldChar w:fldCharType="separate"/>
      </w:r>
      <w:r w:rsidRPr="00E97FC1">
        <w:rPr>
          <w:rFonts w:cs="Times New Roman"/>
          <w:noProof/>
          <w:szCs w:val="24"/>
          <w:lang w:val="en-GB"/>
        </w:rPr>
        <w:t xml:space="preserve">(Yip </w:t>
      </w:r>
      <w:r w:rsidRPr="00E97FC1">
        <w:rPr>
          <w:rFonts w:cs="Times New Roman"/>
          <w:i/>
          <w:noProof/>
          <w:szCs w:val="24"/>
          <w:lang w:val="en-GB"/>
        </w:rPr>
        <w:t>et al</w:t>
      </w:r>
      <w:r w:rsidRPr="00E97FC1">
        <w:rPr>
          <w:rFonts w:cs="Times New Roman"/>
          <w:noProof/>
          <w:szCs w:val="24"/>
          <w:lang w:val="en-GB"/>
        </w:rPr>
        <w:t>, 2011)</w:t>
      </w:r>
      <w:r w:rsidRPr="00E97FC1">
        <w:rPr>
          <w:rFonts w:cs="Times New Roman"/>
          <w:szCs w:val="24"/>
          <w:lang w:val="en-GB"/>
        </w:rPr>
        <w:fldChar w:fldCharType="end"/>
      </w:r>
      <w:r w:rsidRPr="00E97FC1">
        <w:rPr>
          <w:rFonts w:cs="Times New Roman"/>
          <w:szCs w:val="24"/>
          <w:lang w:val="en-GB"/>
        </w:rPr>
        <w:t xml:space="preserve"> and mitochondrial). </w:t>
      </w:r>
    </w:p>
    <w:p w14:paraId="48481BD3" w14:textId="77777777" w:rsidR="00CE3E6F" w:rsidRPr="00E97FC1" w:rsidRDefault="00CE3E6F" w:rsidP="00CE3E6F">
      <w:pPr>
        <w:jc w:val="center"/>
        <w:rPr>
          <w:lang w:val="en-GB"/>
        </w:rPr>
      </w:pPr>
      <w:r w:rsidRPr="00E97FC1">
        <w:rPr>
          <w:noProof/>
        </w:rPr>
        <w:drawing>
          <wp:inline distT="0" distB="0" distL="0" distR="0" wp14:anchorId="5920ED39" wp14:editId="5F398629">
            <wp:extent cx="4846870" cy="482644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49242" cy="4828804"/>
                    </a:xfrm>
                    <a:prstGeom prst="rect">
                      <a:avLst/>
                    </a:prstGeom>
                    <a:noFill/>
                    <a:ln>
                      <a:noFill/>
                    </a:ln>
                  </pic:spPr>
                </pic:pic>
              </a:graphicData>
            </a:graphic>
          </wp:inline>
        </w:drawing>
      </w:r>
    </w:p>
    <w:p w14:paraId="11605BBA" w14:textId="2D4B135A" w:rsidR="00CE3E6F" w:rsidRPr="00E97FC1" w:rsidRDefault="00CE3E6F" w:rsidP="00CE3E6F">
      <w:pPr>
        <w:pStyle w:val="Caption"/>
        <w:rPr>
          <w:szCs w:val="24"/>
        </w:rPr>
      </w:pPr>
      <w:bookmarkStart w:id="106" w:name="_Toc121834118"/>
      <w:bookmarkStart w:id="107" w:name="_Toc128136630"/>
      <w:r w:rsidRPr="00E97FC1">
        <w:t xml:space="preserve">Figure </w:t>
      </w:r>
      <w:r w:rsidR="00CC7652">
        <w:fldChar w:fldCharType="begin"/>
      </w:r>
      <w:r w:rsidR="00CC7652">
        <w:instrText xml:space="preserve"> STYLEREF 1 \s </w:instrText>
      </w:r>
      <w:r w:rsidR="00CC7652">
        <w:fldChar w:fldCharType="separate"/>
      </w:r>
      <w:r w:rsidR="00ED1816">
        <w:rPr>
          <w:noProof/>
        </w:rPr>
        <w:t>3</w:t>
      </w:r>
      <w:r w:rsidR="00CC7652">
        <w:fldChar w:fldCharType="end"/>
      </w:r>
      <w:r w:rsidR="00CC7652">
        <w:t>.</w:t>
      </w:r>
      <w:r w:rsidR="00CC7652">
        <w:fldChar w:fldCharType="begin"/>
      </w:r>
      <w:r w:rsidR="00CC7652">
        <w:instrText xml:space="preserve"> SEQ Figure \* ARABIC \s 1 </w:instrText>
      </w:r>
      <w:r w:rsidR="00CC7652">
        <w:fldChar w:fldCharType="separate"/>
      </w:r>
      <w:r w:rsidR="00ED1816">
        <w:rPr>
          <w:noProof/>
        </w:rPr>
        <w:t>2</w:t>
      </w:r>
      <w:r w:rsidR="00CC7652">
        <w:fldChar w:fldCharType="end"/>
      </w:r>
      <w:r w:rsidRPr="00E97FC1">
        <w:t xml:space="preserve"> </w:t>
      </w:r>
      <w:r w:rsidRPr="00E97FC1">
        <w:rPr>
          <w:szCs w:val="24"/>
        </w:rPr>
        <w:t>Features of the Peripheral Arm structure</w:t>
      </w:r>
      <w:bookmarkEnd w:id="106"/>
      <w:bookmarkEnd w:id="107"/>
    </w:p>
    <w:p w14:paraId="6DB3F8F9" w14:textId="77777777" w:rsidR="00414A2B" w:rsidRPr="00E97FC1" w:rsidRDefault="00CE3E6F" w:rsidP="00414A2B">
      <w:pPr>
        <w:rPr>
          <w:i/>
          <w:sz w:val="20"/>
          <w:lang w:val="en-GB"/>
        </w:rPr>
      </w:pPr>
      <w:r w:rsidRPr="00E97FC1">
        <w:rPr>
          <w:rFonts w:cs="Times New Roman"/>
          <w:b/>
          <w:i/>
          <w:sz w:val="20"/>
          <w:szCs w:val="24"/>
          <w:lang w:val="en-GB"/>
        </w:rPr>
        <w:t>A)</w:t>
      </w:r>
      <w:r w:rsidRPr="00E97FC1">
        <w:rPr>
          <w:rFonts w:cs="Times New Roman"/>
          <w:i/>
          <w:sz w:val="20"/>
          <w:szCs w:val="24"/>
          <w:lang w:val="en-GB"/>
        </w:rPr>
        <w:t xml:space="preserve"> Novel elements stabilizing the PA. The NuoG insertion loop (magenta) interacts with NuoG and the rest of the complex, increasing the interaction surface area. Ca</w:t>
      </w:r>
      <w:r w:rsidRPr="00E97FC1">
        <w:rPr>
          <w:rFonts w:cs="Times New Roman"/>
          <w:i/>
          <w:sz w:val="20"/>
          <w:szCs w:val="24"/>
          <w:vertAlign w:val="superscript"/>
          <w:lang w:val="en-GB"/>
        </w:rPr>
        <w:t>2+</w:t>
      </w:r>
      <w:r w:rsidRPr="00E97FC1">
        <w:rPr>
          <w:rFonts w:cs="Times New Roman"/>
          <w:i/>
          <w:sz w:val="20"/>
          <w:szCs w:val="24"/>
          <w:lang w:val="en-GB"/>
        </w:rPr>
        <w:t xml:space="preserve"> binds at the interface of the insertion loop and core NuoG structure. Loop-helix-loop connecting element of NuoCD subunit (</w:t>
      </w:r>
      <w:r w:rsidRPr="00E97FC1">
        <w:rPr>
          <w:rFonts w:cs="Times New Roman"/>
          <w:i/>
          <w:sz w:val="20"/>
          <w:szCs w:val="24"/>
          <w:vertAlign w:val="subscript"/>
          <w:lang w:val="en-GB"/>
        </w:rPr>
        <w:t>CD</w:t>
      </w:r>
      <w:r w:rsidRPr="00E97FC1">
        <w:rPr>
          <w:rFonts w:cs="Times New Roman"/>
          <w:i/>
          <w:sz w:val="20"/>
          <w:szCs w:val="24"/>
          <w:lang w:val="en-GB"/>
        </w:rPr>
        <w:t xml:space="preserve">LHL, yellow) is located on the surface and interacts with the NuoG insertion loop. </w:t>
      </w:r>
      <w:r w:rsidRPr="00E97FC1">
        <w:rPr>
          <w:rFonts w:cs="Times New Roman"/>
          <w:b/>
          <w:i/>
          <w:sz w:val="20"/>
          <w:szCs w:val="24"/>
          <w:lang w:val="en-GB"/>
        </w:rPr>
        <w:t>B)</w:t>
      </w:r>
      <w:r w:rsidRPr="00E97FC1">
        <w:rPr>
          <w:rFonts w:cs="Times New Roman"/>
          <w:i/>
          <w:sz w:val="20"/>
          <w:szCs w:val="24"/>
          <w:lang w:val="en-GB"/>
        </w:rPr>
        <w:t xml:space="preserve"> Unique C-terminal extensions in EcCI increase surface interacting area and stabilize the minimal CI version. </w:t>
      </w:r>
      <w:r w:rsidRPr="00E97FC1">
        <w:rPr>
          <w:rFonts w:cs="Times New Roman"/>
          <w:b/>
          <w:i/>
          <w:sz w:val="20"/>
          <w:szCs w:val="24"/>
          <w:lang w:val="en-GB"/>
        </w:rPr>
        <w:t>C)</w:t>
      </w:r>
      <w:r w:rsidRPr="00E97FC1">
        <w:rPr>
          <w:rFonts w:cs="Times New Roman"/>
          <w:i/>
          <w:sz w:val="20"/>
          <w:szCs w:val="24"/>
          <w:lang w:val="en-GB"/>
        </w:rPr>
        <w:t xml:space="preserve"> Position of Fe-S clusters along the peripheral arm. Electrons are transferred as a hydride from NADH to FMN then one by one via eight Fe-S clusters to quinone. The edge-to-edge distance (Å) between the clusters is indicated. N1a and N7 are off-path clusters. The density of the water molecules within 10</w:t>
      </w:r>
      <w:r w:rsidRPr="00E97FC1">
        <w:rPr>
          <w:rFonts w:cs="Times New Roman"/>
          <w:b/>
          <w:bCs/>
          <w:i/>
          <w:color w:val="202124"/>
          <w:sz w:val="20"/>
          <w:szCs w:val="24"/>
          <w:shd w:val="clear" w:color="auto" w:fill="FFFFFF"/>
          <w:lang w:val="en-GB"/>
        </w:rPr>
        <w:t xml:space="preserve"> </w:t>
      </w:r>
      <w:r w:rsidRPr="00E97FC1">
        <w:rPr>
          <w:rFonts w:cs="Times New Roman"/>
          <w:bCs/>
          <w:i/>
          <w:color w:val="202124"/>
          <w:sz w:val="20"/>
          <w:szCs w:val="24"/>
          <w:shd w:val="clear" w:color="auto" w:fill="FFFFFF"/>
          <w:lang w:val="en-GB"/>
        </w:rPr>
        <w:t>Å</w:t>
      </w:r>
      <w:r w:rsidRPr="00E97FC1">
        <w:rPr>
          <w:rFonts w:cs="Times New Roman"/>
          <w:i/>
          <w:sz w:val="20"/>
          <w:szCs w:val="24"/>
          <w:lang w:val="en-GB"/>
        </w:rPr>
        <w:t xml:space="preserve"> from Fe-S clusters is shown in blue, and all experimentally identified waters are shown as red spheres. </w:t>
      </w:r>
      <w:r w:rsidRPr="00E97FC1">
        <w:rPr>
          <w:rFonts w:cs="Times New Roman"/>
          <w:b/>
          <w:i/>
          <w:sz w:val="20"/>
          <w:szCs w:val="24"/>
          <w:lang w:val="en-GB"/>
        </w:rPr>
        <w:t xml:space="preserve">D) </w:t>
      </w:r>
      <w:r w:rsidRPr="00E97FC1">
        <w:rPr>
          <w:rFonts w:cs="Times New Roman"/>
          <w:i/>
          <w:sz w:val="20"/>
          <w:szCs w:val="24"/>
          <w:lang w:val="en-GB"/>
        </w:rPr>
        <w:t xml:space="preserve">Multiple salt bridges stabilize the Q cavity and PA-MA interface in open and closed states. NuoI </w:t>
      </w:r>
      <w:r w:rsidRPr="00E97FC1">
        <w:rPr>
          <w:rFonts w:cs="Times New Roman"/>
          <w:i/>
          <w:sz w:val="20"/>
          <w:szCs w:val="24"/>
          <w:lang w:val="en-GB"/>
        </w:rPr>
        <w:lastRenderedPageBreak/>
        <w:t>helix H1 is surrounded on all sides by tightly bound lipid molecules, which strengthen its binding to the rest of the complex. This interaction is likely essential for the overall stability of the Q cavity.</w:t>
      </w:r>
      <w:r w:rsidR="00414A2B">
        <w:rPr>
          <w:rFonts w:cs="Times New Roman"/>
          <w:i/>
          <w:sz w:val="20"/>
          <w:szCs w:val="24"/>
          <w:lang w:val="en-GB"/>
        </w:rPr>
        <w:t xml:space="preserve"> </w:t>
      </w:r>
      <w:r w:rsidR="00414A2B" w:rsidRPr="00414A2B">
        <w:rPr>
          <w:rFonts w:cs="Times New Roman"/>
          <w:i/>
          <w:sz w:val="20"/>
          <w:szCs w:val="24"/>
          <w:lang w:val="en-GB"/>
        </w:rPr>
        <w:t>Figure adapted from (Kravchuk et al, 2022)</w:t>
      </w:r>
    </w:p>
    <w:p w14:paraId="2A7A6349" w14:textId="77777777" w:rsidR="00CE3E6F" w:rsidRPr="00E97FC1" w:rsidRDefault="00CE3E6F" w:rsidP="00CE3E6F">
      <w:pPr>
        <w:pStyle w:val="Heading3"/>
      </w:pPr>
      <w:bookmarkStart w:id="108" w:name="_Toc132640012"/>
      <w:r w:rsidRPr="00E97FC1">
        <w:t>Unusual redox potential of N1a FeS cluster</w:t>
      </w:r>
      <w:bookmarkEnd w:id="108"/>
    </w:p>
    <w:p w14:paraId="343FA7CF" w14:textId="77777777" w:rsidR="00CE3E6F" w:rsidRPr="00E97FC1" w:rsidRDefault="00CE3E6F" w:rsidP="00CE3E6F">
      <w:pPr>
        <w:ind w:firstLine="720"/>
        <w:rPr>
          <w:rFonts w:cs="Times New Roman"/>
          <w:szCs w:val="24"/>
          <w:lang w:val="en-GB"/>
        </w:rPr>
      </w:pPr>
      <w:r w:rsidRPr="00E97FC1">
        <w:rPr>
          <w:rFonts w:cs="Times New Roman"/>
          <w:szCs w:val="24"/>
          <w:lang w:val="en-GB"/>
        </w:rPr>
        <w:t xml:space="preserve">In contrast to other species, in </w:t>
      </w:r>
      <w:r w:rsidRPr="00E97FC1">
        <w:rPr>
          <w:rFonts w:cs="Times New Roman"/>
          <w:i/>
          <w:szCs w:val="24"/>
          <w:lang w:val="en-GB"/>
        </w:rPr>
        <w:t>Ec</w:t>
      </w:r>
      <w:r w:rsidRPr="00E97FC1">
        <w:rPr>
          <w:rFonts w:cs="Times New Roman"/>
          <w:szCs w:val="24"/>
          <w:lang w:val="en-GB"/>
        </w:rPr>
        <w:t xml:space="preserve">CI the N1a cluster has an unusually high redox potential (~ -235 mV in </w:t>
      </w:r>
      <w:r w:rsidRPr="00E97FC1">
        <w:rPr>
          <w:rFonts w:cs="Times New Roman"/>
          <w:i/>
          <w:szCs w:val="24"/>
          <w:lang w:val="en-GB"/>
        </w:rPr>
        <w:t>E. coli</w:t>
      </w:r>
      <w:r w:rsidRPr="00E97FC1">
        <w:rPr>
          <w:rFonts w:cs="Times New Roman"/>
          <w:szCs w:val="24"/>
          <w:lang w:val="en-GB"/>
        </w:rPr>
        <w:t xml:space="preserve"> </w:t>
      </w:r>
      <w:r w:rsidRPr="00E97FC1">
        <w:rPr>
          <w:rFonts w:cs="Times New Roman"/>
          <w:i/>
          <w:szCs w:val="24"/>
          <w:lang w:val="en-GB"/>
        </w:rPr>
        <w:t>vs</w:t>
      </w:r>
      <w:r w:rsidRPr="00E97FC1">
        <w:rPr>
          <w:rFonts w:cs="Times New Roman"/>
          <w:szCs w:val="24"/>
          <w:lang w:val="en-GB"/>
        </w:rPr>
        <w:t xml:space="preserve"> &lt; - 400 mV in </w:t>
      </w:r>
      <w:r w:rsidRPr="00E97FC1">
        <w:rPr>
          <w:rFonts w:cs="Times New Roman"/>
          <w:i/>
          <w:szCs w:val="24"/>
          <w:lang w:val="en-GB"/>
        </w:rPr>
        <w:t>P. denitrificans</w:t>
      </w:r>
      <w:r w:rsidRPr="00E97FC1">
        <w:rPr>
          <w:rFonts w:cs="Times New Roman"/>
          <w:szCs w:val="24"/>
          <w:lang w:val="en-GB"/>
        </w:rPr>
        <w:t xml:space="preserve"> or bovine) and can be reduced by NADH </w:t>
      </w:r>
      <w:r w:rsidRPr="00E97FC1">
        <w:rPr>
          <w:rFonts w:cs="Times New Roman"/>
          <w:szCs w:val="24"/>
          <w:lang w:val="en-GB"/>
        </w:rPr>
        <w:fldChar w:fldCharType="begin" w:fldLock="1"/>
      </w:r>
      <w:r w:rsidRPr="00E97FC1">
        <w:rPr>
          <w:rFonts w:cs="Times New Roman"/>
          <w:szCs w:val="24"/>
          <w:lang w:val="en-GB"/>
        </w:rPr>
        <w:instrText>ADDIN CSL_CITATION {"citationItems":[{"id":"ITEM-1","itemData":{"DOI":"10.1002/anie.201410967","ISSN":"1521-3773 (Electronic)","PMID":"25600069","abstract":"Respiratory complex I converts the free energy of ubiquinone reduction by NADH into  a proton motive force, a redox reaction catalyzed by flavin mononucleotide(FMN) and a chain of seven iron-sulfur centers. Electron transfer rates between the centers were determined by ultrafast freeze-quenching and analysis by EPR and UV/Vis spectroscopy. The complex rapidly oxidizes three NADH molecules. The electron-tunneling rate between the most distant centers in the middle of the chain depends on the redox state of center N2 at the end of the chain, and is sixfold slower when N2 is reduced. The conformational changes that accompany reduction of N2 decrease the electronic coupling of the longest electron-tunneling step. The chain of iron-sulfur centers is not just a simple electron-conducting wire; it regulates the electron-tunneling rate synchronizing it with conformation-mediated proton pumping, enabling efficient energy conversion. Synchronization of rates is a principle means of enhancing the specificity of enzymatic reactions.","author":[{"dropping-particle":"","family":"Vries","given":"Simon","non-dropping-particle":"de","parse-names":false,"suffix":""},{"dropping-particle":"","family":"Dörner","given":"Katerina","non-dropping-particle":"","parse-names":false,"suffix":""},{"dropping-particle":"","family":"Strampraad","given":"Marc J F","non-dropping-particle":"","parse-names":false,"suffix":""},{"dropping-particle":"","family":"Friedrich","given":"Thorsten","non-dropping-particle":"","parse-names":false,"suffix":""}],"container-title":"Angewandte Chemie (International ed. in English)","id":"ITEM-1","issue":"9","issued":{"date-parts":[["2015","2"]]},"language":"eng","page":"2844-2848","title":"Electron tunneling rates in respiratory complex I are tuned for efficient energy  conversion.","type":"article-journal","volume":"54"},"uris":["http://www.mendeley.com/documents/?uuid=83fb468a-8dd3-46ad-986f-d78b9f778d57"]},{"id":"ITEM-2","itemData":{"DOI":"10.1021/bi026026f","ISSN":"0006-2960 (Print)","PMID":"12146970","abstract":"The redox properties of the [2Fe-2S] cluster in the 24 kDa subunit of bovine  heart mitochondrial NADH:ubiquinone oxidoreductase (complex I) and three of its homologues have been defined using protein-film voltammetry. The clusters in all four examples display characteristic, pH-dependent redox transitions, which, unusually, can be masked by high ionic strength conditions. At low ionic strength (10 mM NaCl) the reduction potential varies by approximately 100 mV between high and low pH limits (pH 5 and 9); thus the redox process is not strongly coupled and is unlikely to form part of the mechanism of energy transduction in complex I. The pH dependence was shown to result from pH-linked changes in protein charge, due to nonspecific protonation events, rather than from the coupling of a specific ionizable residue, and the ionic strength dependence at high and low pH was modeled using extended Debye-Hückel theory. The low potential of the 24 kDa subunit [2Fe-2S] cluster, out of line with the potentials of the other iron-sulfur clusters in complex I, is suggested to play a role in coupling reducing equivalents at the catalytic active site. Finally, the validity of using the [2Fe-2S] cluster in an isolated subunit, as a mechanistic basis for coupled proton-electron transfer in intact complex I, is evaluated.","author":[{"dropping-particle":"","family":"Zu","given":"Yanbing","non-dropping-particle":"","parse-names":false,"suffix":""},{"dropping-particle":"","family":"Bernardo","given":"Salvatore","non-dropping-particle":"Di","parse-names":false,"suffix":""},{"dropping-particle":"","family":"Yagi","given":"Takao","non-dropping-particle":"","parse-names":false,"suffix":""},{"dropping-particle":"","family":"Hirst","given":"Judy","non-dropping-particle":"","parse-names":false,"suffix":""}],"container-title":"Biochemistry","id":"ITEM-2","issue":"31","issued":{"date-parts":[["2002","8"]]},"language":"eng","page":"10056-10069","publisher-place":"United States","title":"Redox properties of the [2Fe-2S] center in the 24 kDa (NQO2) subunit of  NADH:ubiquinone oxidoreductase (complex I).","type":"article-journal","volume":"41"},"uris":["http://www.mendeley.com/documents/?uuid=713d8afa-1c0a-4ac5-b203-28e7e777026e","http://www.mendeley.com/documents/?uuid=5f11f709-1f0e-47f6-abc9-055d7bf9cb48"]}],"mendeley":{"formattedCitation":"(de Vries &lt;i&gt;et al&lt;/i&gt;, 2015; Zu &lt;i&gt;et al&lt;/i&gt;, 2002)","plainTextFormattedCitation":"(de Vries et al, 2015; Zu et al, 2002)","previouslyFormattedCitation":"(de Vries &lt;i&gt;et al&lt;/i&gt;, 2015; Zu &lt;i&gt;et al&lt;/i&gt;, 2002)"},"properties":{"noteIndex":0},"schema":"https://github.com/citation-style-language/schema/raw/master/csl-citation.json"}</w:instrText>
      </w:r>
      <w:r w:rsidRPr="00E97FC1">
        <w:rPr>
          <w:rFonts w:cs="Times New Roman"/>
          <w:szCs w:val="24"/>
          <w:lang w:val="en-GB"/>
        </w:rPr>
        <w:fldChar w:fldCharType="separate"/>
      </w:r>
      <w:r w:rsidRPr="00E97FC1">
        <w:rPr>
          <w:rFonts w:cs="Times New Roman"/>
          <w:noProof/>
          <w:szCs w:val="24"/>
          <w:lang w:val="en-GB"/>
        </w:rPr>
        <w:t xml:space="preserve">(de Vries </w:t>
      </w:r>
      <w:r w:rsidRPr="00E97FC1">
        <w:rPr>
          <w:rFonts w:cs="Times New Roman"/>
          <w:i/>
          <w:noProof/>
          <w:szCs w:val="24"/>
          <w:lang w:val="en-GB"/>
        </w:rPr>
        <w:t>et al</w:t>
      </w:r>
      <w:r w:rsidRPr="00E97FC1">
        <w:rPr>
          <w:rFonts w:cs="Times New Roman"/>
          <w:noProof/>
          <w:szCs w:val="24"/>
          <w:lang w:val="en-GB"/>
        </w:rPr>
        <w:t xml:space="preserve">, 2015; Zu </w:t>
      </w:r>
      <w:r w:rsidRPr="00E97FC1">
        <w:rPr>
          <w:rFonts w:cs="Times New Roman"/>
          <w:i/>
          <w:noProof/>
          <w:szCs w:val="24"/>
          <w:lang w:val="en-GB"/>
        </w:rPr>
        <w:t>et al</w:t>
      </w:r>
      <w:r w:rsidRPr="00E97FC1">
        <w:rPr>
          <w:rFonts w:cs="Times New Roman"/>
          <w:noProof/>
          <w:szCs w:val="24"/>
          <w:lang w:val="en-GB"/>
        </w:rPr>
        <w:t>, 2002)</w:t>
      </w:r>
      <w:r w:rsidRPr="00E97FC1">
        <w:rPr>
          <w:rFonts w:cs="Times New Roman"/>
          <w:szCs w:val="24"/>
          <w:lang w:val="en-GB"/>
        </w:rPr>
        <w:fldChar w:fldCharType="end"/>
      </w:r>
      <w:r w:rsidRPr="00E97FC1">
        <w:rPr>
          <w:rFonts w:cs="Times New Roman"/>
          <w:szCs w:val="24"/>
          <w:lang w:val="en-GB"/>
        </w:rPr>
        <w:t xml:space="preserve">. The structure reveals that </w:t>
      </w:r>
      <w:r w:rsidRPr="00E97FC1">
        <w:rPr>
          <w:rFonts w:cs="Times New Roman"/>
          <w:szCs w:val="24"/>
          <w:vertAlign w:val="subscript"/>
          <w:lang w:val="en-GB"/>
        </w:rPr>
        <w:t>E</w:t>
      </w:r>
      <w:r w:rsidRPr="00E97FC1">
        <w:rPr>
          <w:rFonts w:cs="Times New Roman"/>
          <w:szCs w:val="24"/>
          <w:lang w:val="en-GB"/>
        </w:rPr>
        <w:t xml:space="preserve">N142 forms a strong hydrogen bond to the N1a S atom. This polar residue is unique to </w:t>
      </w:r>
      <w:r w:rsidRPr="00E97FC1">
        <w:rPr>
          <w:rFonts w:cs="Times New Roman"/>
          <w:i/>
          <w:szCs w:val="24"/>
          <w:lang w:val="en-GB"/>
        </w:rPr>
        <w:t>E. coli</w:t>
      </w:r>
      <w:r w:rsidRPr="00E97FC1">
        <w:rPr>
          <w:rFonts w:cs="Times New Roman"/>
          <w:szCs w:val="24"/>
          <w:lang w:val="en-GB"/>
        </w:rPr>
        <w:t xml:space="preserve">, as it is replaced by a hydrophobic Met or Val in other species </w:t>
      </w:r>
      <w:r w:rsidRPr="00E97FC1">
        <w:rPr>
          <w:rFonts w:cs="Times New Roman"/>
          <w:szCs w:val="24"/>
          <w:lang w:val="en-GB"/>
        </w:rPr>
        <w:fldChar w:fldCharType="begin" w:fldLock="1"/>
      </w:r>
      <w:r w:rsidRPr="00E97FC1">
        <w:rPr>
          <w:rFonts w:cs="Times New Roman"/>
          <w:szCs w:val="24"/>
          <w:lang w:val="en-GB"/>
        </w:rPr>
        <w:instrText>ADDIN CSL_CITATION {"citationItems":[{"id":"ITEM-1","itemData":{"DOI":"10.1042/BJ20130606","ISSN":"1470-8728 (Electronic)","PMID":"23980528","abstract":"NADH:quinone oxidoreductase (complex I) couples NADH oxidation and quinone reduction to proton translocation across an energy-transducing membrane. All complexes I contain a flavin to oxidize NADH, seven iron-sulfur clusters to transfer electrons from the flavin to quinone and an eighth cluster (N1a) on the opposite side of the flavin. The role of cluster N1a is unknown, but Escherichia coli complex I has an unusually high-potential cluster N1a and its reduced flavin produces H2O2, not superoxide, suggesting that cluster N1a may affect reactive oxygen species production. In the present study, we combine protein film voltammetry with mutagenesis in overproduced N1a-binding subunits to identify two residues that switch N1a between its high- (E. coli, valine and asparagine) and low- (Bos taurus and Yarrowia lipolytica, proline and methionine) potential forms. The mutations were incorporated into E. coli complex I: cluster N1a could no longer be reduced by NADH, but H2O2 and superoxide production were unaffected. The reverse mutations (that increase the potential by ~0.16 V) were incorporated into Y. lipolytica complex I, but N1a was still not reduced by NADH. We conclude that cluster N1a does not affect reactive oxygen species production by the complex I flavin; it is probably required for enzyme assembly or stability.","author":[{"dropping-particle":"","family":"Birrell","given":"James A","non-dropping-particle":"","parse-names":false,"suffix":""},{"dropping-particle":"","family":"Morina","given":"Klaudia","non-dropping-particle":"","parse-names":false,"suffix":""},{"dropping-particle":"","family":"Bridges","given":"Hannah R","non-dropping-particle":"","parse-names":false,"suffix":""},{"dropping-particle":"","family":"Friedrich","given":"Thorsten","non-dropping-particle":"","parse-names":false,"suffix":""},{"dropping-particle":"","family":"Hirst","given":"Judy","non-dropping-particle":"","parse-names":false,"suffix":""}],"container-title":"The Biochemical journal","id":"ITEM-1","issue":"1","issued":{"date-parts":[["2013","11"]]},"language":"eng","page":"139-146","publisher-place":"England","title":"Investigating the function of [2Fe-2S] cluster N1a, the off-pathway cluster in complex I, by manipulating its reduction potential.","type":"article-journal","volume":"456"},"uris":["http://www.mendeley.com/documents/?uuid=850785c0-bb09-4e19-a25c-9382607b0b28"]}],"mendeley":{"formattedCitation":"(Birrell &lt;i&gt;et al&lt;/i&gt;, 2013)","plainTextFormattedCitation":"(Birrell et al, 2013)","previouslyFormattedCitation":"(Birrell &lt;i&gt;et al&lt;/i&gt;, 2013)"},"properties":{"noteIndex":0},"schema":"https://github.com/citation-style-language/schema/raw/master/csl-citation.json"}</w:instrText>
      </w:r>
      <w:r w:rsidRPr="00E97FC1">
        <w:rPr>
          <w:rFonts w:cs="Times New Roman"/>
          <w:szCs w:val="24"/>
          <w:lang w:val="en-GB"/>
        </w:rPr>
        <w:fldChar w:fldCharType="separate"/>
      </w:r>
      <w:r w:rsidRPr="00E97FC1">
        <w:rPr>
          <w:rFonts w:cs="Times New Roman"/>
          <w:noProof/>
          <w:szCs w:val="24"/>
          <w:lang w:val="en-GB"/>
        </w:rPr>
        <w:t xml:space="preserve">(Birrell </w:t>
      </w:r>
      <w:r w:rsidRPr="00E97FC1">
        <w:rPr>
          <w:rFonts w:cs="Times New Roman"/>
          <w:i/>
          <w:noProof/>
          <w:szCs w:val="24"/>
          <w:lang w:val="en-GB"/>
        </w:rPr>
        <w:t>et al</w:t>
      </w:r>
      <w:r w:rsidRPr="00E97FC1">
        <w:rPr>
          <w:rFonts w:cs="Times New Roman"/>
          <w:noProof/>
          <w:szCs w:val="24"/>
          <w:lang w:val="en-GB"/>
        </w:rPr>
        <w:t>, 2013)</w:t>
      </w:r>
      <w:r w:rsidRPr="00E97FC1">
        <w:rPr>
          <w:rFonts w:cs="Times New Roman"/>
          <w:szCs w:val="24"/>
          <w:lang w:val="en-GB"/>
        </w:rPr>
        <w:fldChar w:fldCharType="end"/>
      </w:r>
      <w:r w:rsidRPr="00E97FC1">
        <w:rPr>
          <w:rFonts w:cs="Times New Roman"/>
          <w:szCs w:val="24"/>
          <w:lang w:val="en-GB"/>
        </w:rPr>
        <w:t xml:space="preserve">. The potential of FeS cluster can be increased by the polar interactions, including solvent waters </w:t>
      </w:r>
      <w:r w:rsidRPr="00E97FC1">
        <w:rPr>
          <w:rFonts w:cs="Times New Roman"/>
          <w:szCs w:val="24"/>
          <w:lang w:val="en-GB"/>
        </w:rPr>
        <w:fldChar w:fldCharType="begin" w:fldLock="1"/>
      </w:r>
      <w:r w:rsidRPr="00E97FC1">
        <w:rPr>
          <w:rFonts w:cs="Times New Roman"/>
          <w:szCs w:val="24"/>
          <w:lang w:val="en-GB"/>
        </w:rPr>
        <w:instrText>ADDIN CSL_CITATION {"citationItems":[{"id":"ITEM-1","itemData":{"ISSN":"0021-9258 (Print)","PMID":"1464583","abstract":"The relationship between the three-dimensional structures of iron-sulfur proteins  and the redox potentials of their iron-sulfur clusters is of fundamental importance. We report calculations of the redox potentials of the [Fe4S4(S-cys)4]-2/-3 couple in four crystallographically characterized proteins: Azotobacter vinelandii ferredoxin I, Peptococcus aerogenes ferredoxin, Bacillus thermoproteolyticus ferredoxin, and Chromatium vinosum high potential iron protein (HiPIP). Our calculations use the \"protein dipoles Langevin dipoles\" microscopic electrostatic model, which includes both protein and solvent water. The variations in calculated redox potentials are in excellent agreement with experimental data. In particular, our results confirm the important role of amide groups close to the cluster in separating the potential of C. vinosum HiPIP from those of the other three proteins. However, the potentials of these latter exhibit a substantial range despite extremely similar amide group environments of their clusters. Our results show that the potentials in these proteins are tuned in part by varying the access of solvent water to the neighborhood of the cluster. Our calculations provide the first successful quantitative modeling of the protein control of iron-sulfur cluster redox potentials.","author":[{"dropping-particle":"","family":"Langen","given":"R","non-dropping-particle":"","parse-names":false,"suffix":""},{"dropping-particle":"","family":"Jensen","given":"G M","non-dropping-particle":"","parse-names":false,"suffix":""},{"dropping-particle":"","family":"Jacob","given":"U","non-dropping-particle":"","parse-names":false,"suffix":""},{"dropping-particle":"","family":"Stephens","given":"P J","non-dropping-particle":"","parse-names":false,"suffix":""},{"dropping-particle":"","family":"Warshel","given":"A","non-dropping-particle":"","parse-names":false,"suffix":""}],"container-title":"The Journal of biological chemistry","id":"ITEM-1","issue":"36","issued":{"date-parts":[["1992","12"]]},"language":"eng","page":"25625-25627","publisher-place":"United States","title":"Protein control of iron-sulfur cluster redox potentials.","type":"article-journal","volume":"267"},"uris":["http://www.mendeley.com/documents/?uuid=c3dafe70-ecef-4bb8-b03e-22c6d3cf157e","http://www.mendeley.com/documents/?uuid=b7abadc4-41fb-4f74-a24a-4e5c1901d2ba"]}],"mendeley":{"formattedCitation":"(Langen &lt;i&gt;et al&lt;/i&gt;, 1992)","plainTextFormattedCitation":"(Langen et al, 1992)","previouslyFormattedCitation":"(Langen &lt;i&gt;et al&lt;/i&gt;, 1992)"},"properties":{"noteIndex":0},"schema":"https://github.com/citation-style-language/schema/raw/master/csl-citation.json"}</w:instrText>
      </w:r>
      <w:r w:rsidRPr="00E97FC1">
        <w:rPr>
          <w:rFonts w:cs="Times New Roman"/>
          <w:szCs w:val="24"/>
          <w:lang w:val="en-GB"/>
        </w:rPr>
        <w:fldChar w:fldCharType="separate"/>
      </w:r>
      <w:r w:rsidRPr="00E97FC1">
        <w:rPr>
          <w:rFonts w:cs="Times New Roman"/>
          <w:noProof/>
          <w:szCs w:val="24"/>
          <w:lang w:val="en-GB"/>
        </w:rPr>
        <w:t xml:space="preserve">(Langen </w:t>
      </w:r>
      <w:r w:rsidRPr="00E97FC1">
        <w:rPr>
          <w:rFonts w:cs="Times New Roman"/>
          <w:i/>
          <w:noProof/>
          <w:szCs w:val="24"/>
          <w:lang w:val="en-GB"/>
        </w:rPr>
        <w:t>et al</w:t>
      </w:r>
      <w:r w:rsidRPr="00E97FC1">
        <w:rPr>
          <w:rFonts w:cs="Times New Roman"/>
          <w:noProof/>
          <w:szCs w:val="24"/>
          <w:lang w:val="en-GB"/>
        </w:rPr>
        <w:t>, 1992)</w:t>
      </w:r>
      <w:r w:rsidRPr="00E97FC1">
        <w:rPr>
          <w:rFonts w:cs="Times New Roman"/>
          <w:szCs w:val="24"/>
          <w:lang w:val="en-GB"/>
        </w:rPr>
        <w:fldChar w:fldCharType="end"/>
      </w:r>
      <w:r w:rsidRPr="00E97FC1">
        <w:rPr>
          <w:rFonts w:cs="Times New Roman"/>
          <w:szCs w:val="24"/>
          <w:lang w:val="en-GB"/>
        </w:rPr>
        <w:t xml:space="preserve">. One of the two waters resolved near the cluster N1a in </w:t>
      </w:r>
      <w:r w:rsidRPr="00E97FC1">
        <w:rPr>
          <w:rFonts w:cs="Times New Roman"/>
          <w:i/>
          <w:szCs w:val="24"/>
          <w:lang w:val="en-GB"/>
        </w:rPr>
        <w:t>E. coli</w:t>
      </w:r>
      <w:r w:rsidRPr="00E97FC1">
        <w:rPr>
          <w:rFonts w:cs="Times New Roman"/>
          <w:szCs w:val="24"/>
          <w:lang w:val="en-GB"/>
        </w:rPr>
        <w:t xml:space="preserve"> forms a hydrogen bond to the S</w:t>
      </w:r>
      <w:r w:rsidRPr="00E97FC1">
        <w:rPr>
          <w:rFonts w:ascii="Symbol" w:hAnsi="Symbol" w:cs="Times New Roman"/>
          <w:szCs w:val="24"/>
          <w:lang w:val="en-GB"/>
        </w:rPr>
        <w:t></w:t>
      </w:r>
      <w:r w:rsidRPr="00E97FC1">
        <w:rPr>
          <w:rFonts w:cs="Times New Roman"/>
          <w:szCs w:val="24"/>
          <w:lang w:val="en-GB"/>
        </w:rPr>
        <w:t xml:space="preserve"> atom of </w:t>
      </w:r>
      <w:r w:rsidRPr="00E97FC1">
        <w:rPr>
          <w:rFonts w:cs="Times New Roman"/>
          <w:szCs w:val="24"/>
          <w:vertAlign w:val="subscript"/>
          <w:lang w:val="en-GB"/>
        </w:rPr>
        <w:t>E</w:t>
      </w:r>
      <w:r w:rsidRPr="00E97FC1">
        <w:rPr>
          <w:rFonts w:cs="Times New Roman"/>
          <w:szCs w:val="24"/>
          <w:lang w:val="en-GB"/>
        </w:rPr>
        <w:t xml:space="preserve">C97. This water is absent in ovine enzyme, while the second water, bonded to </w:t>
      </w:r>
      <w:r w:rsidRPr="00E97FC1">
        <w:rPr>
          <w:rFonts w:cs="Times New Roman"/>
          <w:szCs w:val="24"/>
          <w:vertAlign w:val="subscript"/>
          <w:lang w:val="en-GB"/>
        </w:rPr>
        <w:t>E</w:t>
      </w:r>
      <w:r w:rsidRPr="00E97FC1">
        <w:rPr>
          <w:rFonts w:cs="Times New Roman"/>
          <w:szCs w:val="24"/>
          <w:lang w:val="en-GB"/>
        </w:rPr>
        <w:t xml:space="preserve">C133, is present (PDB 6zk9). Therefore, the higher N1a redox potential in </w:t>
      </w:r>
      <w:r w:rsidRPr="00E97FC1">
        <w:rPr>
          <w:rFonts w:cs="Times New Roman"/>
          <w:i/>
          <w:szCs w:val="24"/>
          <w:lang w:val="en-GB"/>
        </w:rPr>
        <w:t>E. coli</w:t>
      </w:r>
      <w:r w:rsidRPr="00E97FC1">
        <w:rPr>
          <w:rFonts w:cs="Times New Roman"/>
          <w:szCs w:val="24"/>
          <w:lang w:val="en-GB"/>
        </w:rPr>
        <w:t xml:space="preserve"> can be attributed to the unique </w:t>
      </w:r>
      <w:r w:rsidRPr="00E97FC1">
        <w:rPr>
          <w:rFonts w:cs="Times New Roman"/>
          <w:szCs w:val="24"/>
          <w:vertAlign w:val="subscript"/>
          <w:lang w:val="en-GB"/>
        </w:rPr>
        <w:t>E</w:t>
      </w:r>
      <w:r w:rsidRPr="00E97FC1">
        <w:rPr>
          <w:rFonts w:cs="Times New Roman"/>
          <w:szCs w:val="24"/>
          <w:lang w:val="en-GB"/>
        </w:rPr>
        <w:t xml:space="preserve">N142, consistent with the effects of mutations of this residue </w:t>
      </w:r>
      <w:r w:rsidRPr="00E97FC1">
        <w:rPr>
          <w:rFonts w:cs="Times New Roman"/>
          <w:szCs w:val="24"/>
          <w:lang w:val="en-GB"/>
        </w:rPr>
        <w:fldChar w:fldCharType="begin" w:fldLock="1"/>
      </w:r>
      <w:r w:rsidRPr="00E97FC1">
        <w:rPr>
          <w:rFonts w:cs="Times New Roman"/>
          <w:szCs w:val="24"/>
          <w:lang w:val="en-GB"/>
        </w:rPr>
        <w:instrText>ADDIN CSL_CITATION {"citationItems":[{"id":"ITEM-1","itemData":{"DOI":"10.1042/BJ20130606","ISSN":"1470-8728 (Electronic)","PMID":"23980528","abstract":"NADH:quinone oxidoreductase (complex I) couples NADH oxidation and quinone reduction to proton translocation across an energy-transducing membrane. All complexes I contain a flavin to oxidize NADH, seven iron-sulfur clusters to transfer electrons from the flavin to quinone and an eighth cluster (N1a) on the opposite side of the flavin. The role of cluster N1a is unknown, but Escherichia coli complex I has an unusually high-potential cluster N1a and its reduced flavin produces H2O2, not superoxide, suggesting that cluster N1a may affect reactive oxygen species production. In the present study, we combine protein film voltammetry with mutagenesis in overproduced N1a-binding subunits to identify two residues that switch N1a between its high- (E. coli, valine and asparagine) and low- (Bos taurus and Yarrowia lipolytica, proline and methionine) potential forms. The mutations were incorporated into E. coli complex I: cluster N1a could no longer be reduced by NADH, but H2O2 and superoxide production were unaffected. The reverse mutations (that increase the potential by ~0.16 V) were incorporated into Y. lipolytica complex I, but N1a was still not reduced by NADH. We conclude that cluster N1a does not affect reactive oxygen species production by the complex I flavin; it is probably required for enzyme assembly or stability.","author":[{"dropping-particle":"","family":"Birrell","given":"James A","non-dropping-particle":"","parse-names":false,"suffix":""},{"dropping-particle":"","family":"Morina","given":"Klaudia","non-dropping-particle":"","parse-names":false,"suffix":""},{"dropping-particle":"","family":"Bridges","given":"Hannah R","non-dropping-particle":"","parse-names":false,"suffix":""},{"dropping-particle":"","family":"Friedrich","given":"Thorsten","non-dropping-particle":"","parse-names":false,"suffix":""},{"dropping-particle":"","family":"Hirst","given":"Judy","non-dropping-particle":"","parse-names":false,"suffix":""}],"container-title":"The Biochemical journal","id":"ITEM-1","issue":"1","issued":{"date-parts":[["2013","11"]]},"language":"eng","page":"139-146","publisher-place":"England","title":"Investigating the function of [2Fe-2S] cluster N1a, the off-pathway cluster in complex I, by manipulating its reduction potential.","type":"article-journal","volume":"456"},"uris":["http://www.mendeley.com/documents/?uuid=850785c0-bb09-4e19-a25c-9382607b0b28"]},{"id":"ITEM-2","itemData":{"DOI":"10.1016/j.bbabio.2016.08.008","ISSN":"0006-3002 (Print)","PMID":"27555334","abstract":"Respiratory complex I transfers electrons from NADH to quinone, utilizing the  reaction energy to translocate protons across the membrane. It is a key enzyme of the respiratory chain of many prokaryotic and most eukaryotic organisms. The reversible NADH oxidation reaction is facilitated in complex I by non-covalently bound flavin mononucleotide (FMN). Here we report that the catalytic activity of E. coli complex I with artificial electron acceptors potassium ferricyanide (FeCy) and hexaamineruthenium (HAR) is significantly inhibited in the enzyme pre-reduced by NADH. Further, we demonstrate that the inhibition is caused by reversible dissociation of FMN. The binding constant (K(d)) for FMN increases from the femto- or picomolar range in oxidized complex I to the nanomolar range in the NADH reduced enzyme, with an FMN dissociation time constant of ~5s. The oxidation state of complex I, rather than that of FMN, proved critical to the dissociation. Such dissociation is not observed with the T. thermophilus enzyme and our analysis suggests that the difference may be due to the unusually high redox potential of Fe-S cluster N1a in E. coli. It is possible that the enzyme attenuates ROS production in vivo by releasing FMN under highly reducing conditions.","author":[{"dropping-particle":"","family":"Holt","given":"Peter J","non-dropping-particle":"","parse-names":false,"suffix":""},{"dropping-particle":"","family":"Efremov","given":"Rouslan G","non-dropping-particle":"","parse-names":false,"suffix":""},{"dropping-particle":"","family":"Nakamaru-Ogiso","given":"Eiko","non-dropping-particle":"","parse-names":false,"suffix":""},{"dropping-particle":"","family":"Sazanov","given":"Leonid A","non-dropping-particle":"","parse-names":false,"suffix":""}],"container-title":"Biochimica et biophysica acta","id":"ITEM-2","issue":"11","issued":{"date-parts":[["2016","11"]]},"language":"eng","page":"1777-1785","publisher-place":"Netherlands","title":"Reversible FMN dissociation from Escherichia coli respiratory complex I.","type":"article-journal","volume":"1857"},"uris":["http://www.mendeley.com/documents/?uuid=9b06e573-6bea-416c-aebe-055e91e3c7bc"]}],"mendeley":{"formattedCitation":"(Birrell &lt;i&gt;et al&lt;/i&gt;, 2013; Holt &lt;i&gt;et al&lt;/i&gt;, 2016)","plainTextFormattedCitation":"(Birrell et al, 2013; Holt et al, 2016)","previouslyFormattedCitation":"(Birrell &lt;i&gt;et al&lt;/i&gt;, 2013; Holt &lt;i&gt;et al&lt;/i&gt;, 2016)"},"properties":{"noteIndex":0},"schema":"https://github.com/citation-style-language/schema/raw/master/csl-citation.json"}</w:instrText>
      </w:r>
      <w:r w:rsidRPr="00E97FC1">
        <w:rPr>
          <w:rFonts w:cs="Times New Roman"/>
          <w:szCs w:val="24"/>
          <w:lang w:val="en-GB"/>
        </w:rPr>
        <w:fldChar w:fldCharType="separate"/>
      </w:r>
      <w:r w:rsidRPr="00E97FC1">
        <w:rPr>
          <w:rFonts w:cs="Times New Roman"/>
          <w:noProof/>
          <w:szCs w:val="24"/>
          <w:lang w:val="en-GB"/>
        </w:rPr>
        <w:t xml:space="preserve">(Birrell </w:t>
      </w:r>
      <w:r w:rsidRPr="00E97FC1">
        <w:rPr>
          <w:rFonts w:cs="Times New Roman"/>
          <w:i/>
          <w:noProof/>
          <w:szCs w:val="24"/>
          <w:lang w:val="en-GB"/>
        </w:rPr>
        <w:t>et al</w:t>
      </w:r>
      <w:r w:rsidRPr="00E97FC1">
        <w:rPr>
          <w:rFonts w:cs="Times New Roman"/>
          <w:noProof/>
          <w:szCs w:val="24"/>
          <w:lang w:val="en-GB"/>
        </w:rPr>
        <w:t xml:space="preserve">, 2013; Holt </w:t>
      </w:r>
      <w:r w:rsidRPr="00E97FC1">
        <w:rPr>
          <w:rFonts w:cs="Times New Roman"/>
          <w:i/>
          <w:noProof/>
          <w:szCs w:val="24"/>
          <w:lang w:val="en-GB"/>
        </w:rPr>
        <w:t>et al</w:t>
      </w:r>
      <w:r w:rsidRPr="00E97FC1">
        <w:rPr>
          <w:rFonts w:cs="Times New Roman"/>
          <w:noProof/>
          <w:szCs w:val="24"/>
          <w:lang w:val="en-GB"/>
        </w:rPr>
        <w:t>, 2016)</w:t>
      </w:r>
      <w:r w:rsidRPr="00E97FC1">
        <w:rPr>
          <w:rFonts w:cs="Times New Roman"/>
          <w:szCs w:val="24"/>
          <w:lang w:val="en-GB"/>
        </w:rPr>
        <w:fldChar w:fldCharType="end"/>
      </w:r>
      <w:r w:rsidRPr="00E97FC1">
        <w:rPr>
          <w:rFonts w:cs="Times New Roman"/>
          <w:szCs w:val="24"/>
          <w:lang w:val="en-GB"/>
        </w:rPr>
        <w:t>, as well as to the additional water molecule.</w:t>
      </w:r>
    </w:p>
    <w:p w14:paraId="09158433" w14:textId="5D239775" w:rsidR="00CE3E6F" w:rsidRPr="00E97FC1" w:rsidRDefault="00CE3E6F" w:rsidP="00CE3E6F">
      <w:pPr>
        <w:ind w:firstLine="720"/>
        <w:rPr>
          <w:rFonts w:cs="Times New Roman"/>
          <w:szCs w:val="24"/>
          <w:lang w:val="en-GB"/>
        </w:rPr>
      </w:pPr>
      <w:r w:rsidRPr="00E97FC1">
        <w:rPr>
          <w:rFonts w:cs="Times New Roman"/>
          <w:szCs w:val="24"/>
          <w:lang w:val="en-GB"/>
        </w:rPr>
        <w:t xml:space="preserve">Most other clusters in the redox chain lack waters in their immediate environment, both in </w:t>
      </w:r>
      <w:r w:rsidRPr="00E97FC1">
        <w:rPr>
          <w:rFonts w:cs="Times New Roman"/>
          <w:i/>
          <w:szCs w:val="24"/>
          <w:lang w:val="en-GB"/>
        </w:rPr>
        <w:t>E. coli</w:t>
      </w:r>
      <w:r w:rsidRPr="00E97FC1">
        <w:rPr>
          <w:rFonts w:cs="Times New Roman"/>
          <w:szCs w:val="24"/>
          <w:lang w:val="en-GB"/>
        </w:rPr>
        <w:t xml:space="preserve"> and in ovine, and are mostly equipotential at about -250/-300 mV </w:t>
      </w:r>
      <w:r w:rsidRPr="00E97FC1">
        <w:rPr>
          <w:rFonts w:cs="Times New Roman"/>
          <w:szCs w:val="24"/>
          <w:lang w:val="en-GB"/>
        </w:rPr>
        <w:fldChar w:fldCharType="begin" w:fldLock="1"/>
      </w:r>
      <w:r w:rsidR="00BB57E9" w:rsidRPr="00E97FC1">
        <w:rPr>
          <w:rFonts w:cs="Times New Roman"/>
          <w:szCs w:val="24"/>
          <w:lang w:val="en-GB"/>
        </w:rPr>
        <w:instrText>ADDIN CSL_CITATION {"citationItems":[{"id":"ITEM-1","itemData":{"ISSN":"0006-3002 (Print)","PMID":"9593887","abstract":"NADH-quinone 1 oxidoreductase (Complex I) isolated from bovine heart mitochondria was, until recently, the major source for the study of this most complicated energy transducing device in the mitochondrial respiratory chain. Complex I has been shown to contain 43 subunits and possesses a molecular mass of about 1 million. Recently, Complex I genes have been cloned and sequenced from several bacterial sources including Escherichia coli, Paracoccus denitrificans, Rhodobacter capsulatus and Thermus thermophilus HB-8. These enzymes are less complicated than the bovine enzyme, containing a core of 13 or 14 subunits homologous to the bovine heart Complex I. From this data, important clues concerning the subunit location of both the substrate binding site and intrinsic redox centers have been gleaned. Powerful molecular genetic approaches used in these bacterial systems can identify structure/function relationships concerning the redox components of Complex I. Site-directed mutants at the level of bacterial chromosomes and over-expression and purification of single subunits have allowed detailed analysis of the amino acid residues involved in ligand binding to several iron-sulfur clusters. Therefore, it has become possible to examine which subunits contain individual iron-sulfur clusters, their location within the enzyme and what their ligand residues are. The discovery of g=2.00 EPR signals arising from two distinct species of semiquinone (SQ) in the activated bovine heart submitochondrial particles (SMP) is another line of recent progress. The intensity of semiquinone signals is sensitive to DeltamicroH+ and is diminished by specific inhibitors of Complex I. To date, semiquinones similar to those reported for the bovine heart mitochondrial Complex I have not yet been discovered in the bacterial systems. This mini-review describes three aspects of the recent progress in the study of the redox components of Complex I: (A) the location of the substrate (NADH) binding site, flavin, and most of the iron-sulfur clusters, which have been identified in the hydrophilic electron entry domain of Complex I; (B) experimental evidence indicating that the cluster N2 is located in the amphipathic domain of Complex I, connecting the promontory and membrane parts. Very recent data is also presented suggesting that the cluster N2 may have a unique ligand structure with an atypical cluster-ligation sequence motif located in the NuoB (NQO6/PSST) subunit rather than in the long a…","author":[{"dropping-particle":"","family":"Ohnishi","given":"T","non-dropping-particle":"","parse-names":false,"suffix":""}],"container-title":"Biochimica et biophysica acta","id":"ITEM-1","issue":"2","issued":{"date-parts":[["1998","5"]]},"language":"eng","page":"186-206","publisher-place":"Netherlands","title":"Iron-sulfur clusters/semiquinones in complex I.","type":"article-journal","volume":"1364"},"uris":["http://www.mendeley.com/documents/?uuid=3b995c0e-84aa-4840-8bcc-55098fdab5f3"]},{"id":"ITEM-2","itemData":{"DOI":"10.1021/bi702063t","ISSN":"0006-2960 (Print)","PMID":"18269245","abstract":"The redox properties of the cofactors of NADH:ubiquinone oxidoreductase (complex  I) from Escherichia coli were studied by following the changes in electron paramagnetic resonance (EPR) and optical spectra upon electrochemical redox titration of the purified protein. At neutral pH, the FMN cofactor had a midpoint redox potential ( E m) approximately -350 mV ( n = 2). Binuclear FeS clusters were well-characterized: N1a was titrated with a single ( n = 1) transition, and E m = -235 mV. In contrast, the titration of N1b can only be fitted with the sum of at least two one-electron Nernstian curves with E m values of -245 and -320 mV. The tetranuclear clusters can also be separated into two groups, either having a single, n = 1, or more complex redox titration curves. The titration curves of the EPR bands attributed to the tetranuclear clusters N2 ( g = 2.045 and g = 1.895) and N6b ( g = 2.089 and g = 1.877) can be presented by the sum of at least two components, each with E m (app) approximately -200/-300 mV and -235/-315 mV, respectively. The titration of the signals at g = 1.956-1.947 (N3 or N7, E m = -315 mV), g = 2.022, and g = 1.932 (Nx, -365 mV) and the low temperature signal at g = 1.929 (N4 or N5, -330 mV) followed Nernstian n = 1 curves. The observed redox titration curves are discussed in terms of intrinsic electrostatic interactions between FeS centers in complex I. A model showing shifts of E m due to the electrostatic interaction between the centers is presented.","author":[{"dropping-particle":"","family":"Euro","given":"Liliya","non-dropping-particle":"","parse-names":false,"suffix":""},{"dropping-particle":"","family":"Bloch","given":"Dmitry A","non-dropping-particle":"","parse-names":false,"suffix":""},{"dropping-particle":"","family":"Wikström","given":"Mårten","non-dropping-particle":"","parse-names":false,"suffix":""},{"dropping-particle":"","family":"Verkhovsky","given":"Michael I","non-dropping-particle":"","parse-names":false,"suffix":""},{"dropping-particle":"","family":"Verkhovskaya","given":"Marina","non-dropping-particle":"","parse-names":false,"suffix":""}],"container-title":"Biochemistry","id":"ITEM-2","issue":"10","issued":{"date-parts":[["2008","3"]]},"language":"eng","page":"3185-3193","publisher-place":"United States","title":"Electrostatic interactions between FeS clusters in NADH:ubiquinone oxidoreductase  (Complex I) from Escherichia coli.","type":"article-journal","volume":"47"},"uris":["http://www.mendeley.com/documents/?uuid=4206205a-1200-459f-80d7-6a043bf25a7a","http://www.mendeley.com/documents/?uuid=ab264556-9a68-49c7-9262-8210c5799ce7"]}],"mendeley":{"formattedCitation":"(Ohnishi, 1998; Euro &lt;i&gt;et al&lt;/i&gt;, 2008b)","plainTextFormattedCitation":"(Ohnishi, 1998; Euro et al, 2008b)","previouslyFormattedCitation":"(Ohnishi, 1998; Euro &lt;i&gt;et al&lt;/i&gt;, 2008b)"},"properties":{"noteIndex":0},"schema":"https://github.com/citation-style-language/schema/raw/master/csl-citation.json"}</w:instrText>
      </w:r>
      <w:r w:rsidRPr="00E97FC1">
        <w:rPr>
          <w:rFonts w:cs="Times New Roman"/>
          <w:szCs w:val="24"/>
          <w:lang w:val="en-GB"/>
        </w:rPr>
        <w:fldChar w:fldCharType="separate"/>
      </w:r>
      <w:r w:rsidR="00DC25DF" w:rsidRPr="00E97FC1">
        <w:rPr>
          <w:rFonts w:cs="Times New Roman"/>
          <w:noProof/>
          <w:szCs w:val="24"/>
          <w:lang w:val="en-GB"/>
        </w:rPr>
        <w:t xml:space="preserve">(Ohnishi, 1998; Euro </w:t>
      </w:r>
      <w:r w:rsidR="00DC25DF" w:rsidRPr="00E97FC1">
        <w:rPr>
          <w:rFonts w:cs="Times New Roman"/>
          <w:i/>
          <w:noProof/>
          <w:szCs w:val="24"/>
          <w:lang w:val="en-GB"/>
        </w:rPr>
        <w:t>et al</w:t>
      </w:r>
      <w:r w:rsidR="00DC25DF" w:rsidRPr="00E97FC1">
        <w:rPr>
          <w:rFonts w:cs="Times New Roman"/>
          <w:noProof/>
          <w:szCs w:val="24"/>
          <w:lang w:val="en-GB"/>
        </w:rPr>
        <w:t>, 2008b)</w:t>
      </w:r>
      <w:r w:rsidRPr="00E97FC1">
        <w:rPr>
          <w:rFonts w:cs="Times New Roman"/>
          <w:szCs w:val="24"/>
          <w:lang w:val="en-GB"/>
        </w:rPr>
        <w:fldChar w:fldCharType="end"/>
      </w:r>
      <w:r w:rsidRPr="00E97FC1">
        <w:rPr>
          <w:rFonts w:cs="Times New Roman"/>
          <w:szCs w:val="24"/>
          <w:lang w:val="en-GB"/>
        </w:rPr>
        <w:t xml:space="preserve">. The terminal cluster N2, which has the highest potential in the chain (~ -200 mV in </w:t>
      </w:r>
      <w:r w:rsidRPr="00E97FC1">
        <w:rPr>
          <w:rFonts w:cs="Times New Roman"/>
          <w:i/>
          <w:szCs w:val="24"/>
          <w:lang w:val="en-GB"/>
        </w:rPr>
        <w:t>E. coli</w:t>
      </w:r>
      <w:r w:rsidRPr="00E97FC1">
        <w:rPr>
          <w:rFonts w:cs="Times New Roman"/>
          <w:szCs w:val="24"/>
          <w:lang w:val="en-GB"/>
        </w:rPr>
        <w:t xml:space="preserve"> </w:t>
      </w:r>
      <w:r w:rsidRPr="00E97FC1">
        <w:rPr>
          <w:rFonts w:cs="Times New Roman"/>
          <w:szCs w:val="24"/>
          <w:lang w:val="en-GB"/>
        </w:rPr>
        <w:fldChar w:fldCharType="begin" w:fldLock="1"/>
      </w:r>
      <w:r w:rsidR="00BB57E9" w:rsidRPr="00E97FC1">
        <w:rPr>
          <w:rFonts w:cs="Times New Roman"/>
          <w:szCs w:val="24"/>
          <w:lang w:val="en-GB"/>
        </w:rPr>
        <w:instrText>ADDIN CSL_CITATION {"citationItems":[{"id":"ITEM-1","itemData":{"DOI":"10.1021/bi702063t","ISSN":"0006-2960 (Print)","PMID":"18269245","abstract":"The redox properties of the cofactors of NADH:ubiquinone oxidoreductase (complex  I) from Escherichia coli were studied by following the changes in electron paramagnetic resonance (EPR) and optical spectra upon electrochemical redox titration of the purified protein. At neutral pH, the FMN cofactor had a midpoint redox potential ( E m) approximately -350 mV ( n = 2). Binuclear FeS clusters were well-characterized: N1a was titrated with a single ( n = 1) transition, and E m = -235 mV. In contrast, the titration of N1b can only be fitted with the sum of at least two one-electron Nernstian curves with E m values of -245 and -320 mV. The tetranuclear clusters can also be separated into two groups, either having a single, n = 1, or more complex redox titration curves. The titration curves of the EPR bands attributed to the tetranuclear clusters N2 ( g = 2.045 and g = 1.895) and N6b ( g = 2.089 and g = 1.877) can be presented by the sum of at least two components, each with E m (app) approximately -200/-300 mV and -235/-315 mV, respectively. The titration of the signals at g = 1.956-1.947 (N3 or N7, E m = -315 mV), g = 2.022, and g = 1.932 (Nx, -365 mV) and the low temperature signal at g = 1.929 (N4 or N5, -330 mV) followed Nernstian n = 1 curves. The observed redox titration curves are discussed in terms of intrinsic electrostatic interactions between FeS centers in complex I. A model showing shifts of E m due to the electrostatic interaction between the centers is presented.","author":[{"dropping-particle":"","family":"Euro","given":"Liliya","non-dropping-particle":"","parse-names":false,"suffix":""},{"dropping-particle":"","family":"Bloch","given":"Dmitry A","non-dropping-particle":"","parse-names":false,"suffix":""},{"dropping-particle":"","family":"Wikström","given":"Mårten","non-dropping-particle":"","parse-names":false,"suffix":""},{"dropping-particle":"","family":"Verkhovsky","given":"Michael I","non-dropping-particle":"","parse-names":false,"suffix":""},{"dropping-particle":"","family":"Verkhovskaya","given":"Marina","non-dropping-particle":"","parse-names":false,"suffix":""}],"container-title":"Biochemistry","id":"ITEM-1","issue":"10","issued":{"date-parts":[["2008","3"]]},"language":"eng","page":"3185-3193","publisher-place":"United States","title":"Electrostatic interactions between FeS clusters in NADH:ubiquinone oxidoreductase  (Complex I) from Escherichia coli.","type":"article-journal","volume":"47"},"uris":["http://www.mendeley.com/documents/?uuid=ab264556-9a68-49c7-9262-8210c5799ce7","http://www.mendeley.com/documents/?uuid=4206205a-1200-459f-80d7-6a043bf25a7a"]}],"mendeley":{"formattedCitation":"(Euro &lt;i&gt;et al&lt;/i&gt;, 2008b)","plainTextFormattedCitation":"(Euro et al, 2008b)","previouslyFormattedCitation":"(Euro &lt;i&gt;et al&lt;/i&gt;, 2008b)"},"properties":{"noteIndex":0},"schema":"https://github.com/citation-style-language/schema/raw/master/csl-citation.json"}</w:instrText>
      </w:r>
      <w:r w:rsidRPr="00E97FC1">
        <w:rPr>
          <w:rFonts w:cs="Times New Roman"/>
          <w:szCs w:val="24"/>
          <w:lang w:val="en-GB"/>
        </w:rPr>
        <w:fldChar w:fldCharType="separate"/>
      </w:r>
      <w:r w:rsidR="00DC25DF" w:rsidRPr="00E97FC1">
        <w:rPr>
          <w:rFonts w:cs="Times New Roman"/>
          <w:noProof/>
          <w:szCs w:val="24"/>
          <w:lang w:val="en-GB"/>
        </w:rPr>
        <w:t xml:space="preserve">(Euro </w:t>
      </w:r>
      <w:r w:rsidR="00DC25DF" w:rsidRPr="00E97FC1">
        <w:rPr>
          <w:rFonts w:cs="Times New Roman"/>
          <w:i/>
          <w:noProof/>
          <w:szCs w:val="24"/>
          <w:lang w:val="en-GB"/>
        </w:rPr>
        <w:t>et al</w:t>
      </w:r>
      <w:r w:rsidR="00DC25DF" w:rsidRPr="00E97FC1">
        <w:rPr>
          <w:rFonts w:cs="Times New Roman"/>
          <w:noProof/>
          <w:szCs w:val="24"/>
          <w:lang w:val="en-GB"/>
        </w:rPr>
        <w:t>, 2008b)</w:t>
      </w:r>
      <w:r w:rsidRPr="00E97FC1">
        <w:rPr>
          <w:rFonts w:cs="Times New Roman"/>
          <w:szCs w:val="24"/>
          <w:lang w:val="en-GB"/>
        </w:rPr>
        <w:fldChar w:fldCharType="end"/>
      </w:r>
      <w:r w:rsidRPr="00E97FC1">
        <w:rPr>
          <w:rFonts w:cs="Times New Roman"/>
          <w:szCs w:val="24"/>
          <w:lang w:val="en-GB"/>
        </w:rPr>
        <w:t xml:space="preserve"> and -140 mV in bovine </w:t>
      </w:r>
      <w:r w:rsidRPr="00E97FC1">
        <w:rPr>
          <w:rFonts w:cs="Times New Roman"/>
          <w:szCs w:val="24"/>
          <w:lang w:val="en-GB"/>
        </w:rPr>
        <w:fldChar w:fldCharType="begin" w:fldLock="1"/>
      </w:r>
      <w:r w:rsidRPr="00E97FC1">
        <w:rPr>
          <w:rFonts w:cs="Times New Roman"/>
          <w:szCs w:val="24"/>
          <w:lang w:val="en-GB"/>
        </w:rPr>
        <w:instrText>ADDIN CSL_CITATION {"citationItems":[{"id":"ITEM-1","itemData":{"DOI":"10.1042/bj1860111","ISSN":"0264-6021 (Print)","PMID":"6245637","abstract":"1. The midpoint potentials of the various iron-sulphur centres in Site I were  determined at different pH values by the technique of redox potentiometry. An interesting feature is the pH-dependence of Centre N-2, the highest potential component of the NADH dehydrogenase segment of the respiratory chain. 2. The apparent midpoint potentials of Centre N-2 (NADH dehydrogenase) and S-1 (succinate dehydrogenase) and their pH-dependence was also determined by using the succinate/fumarate couple. Again Centre N-2 is pH-dependent in midpoint potential, and Centre S-1 is not. The results obtained by titrating with the succinate/fumarate couple are in quantitative agreement with those obtained for these centres by redox potentiometry. 3. Oxidation-reduction titrations of iron-sulphur centres with the couple NADH/NAD+ and an analogue APADH/APAD+ in the presence of rotenone gave results substantially different from those obtained by redox potentiometry; these differences may be due to the mechanism of action of NADH dehydrogenase and its specific interaction with NADH. 5. The addition of ATP to an NAD+/NADH-poised system induces an uncoupler-sensitive oxidation of Centre N-4.","author":[{"dropping-particle":"","family":"Ingledew","given":"W J","non-dropping-particle":"","parse-names":false,"suffix":""},{"dropping-particle":"","family":"Ohnishi","given":"T","non-dropping-particle":"","parse-names":false,"suffix":""}],"container-title":"The Biochemical journal","id":"ITEM-1","issue":"1","issued":{"date-parts":[["1980","1"]]},"language":"eng","page":"111-117","publisher-place":"England","title":"An analysis of some thermodynamic properties of iron-sulphur centres in site I of  mitochondria.","type":"article-journal","volume":"186"},"uris":["http://www.mendeley.com/documents/?uuid=e9e46a46-90ab-4afc-9ad3-3ee9f1f1d60e","http://www.mendeley.com/documents/?uuid=b53a637c-2369-4091-b973-42229058f64b"]}],"mendeley":{"formattedCitation":"(Ingledew &amp; Ohnishi, 1980)","plainTextFormattedCitation":"(Ingledew &amp; Ohnishi, 1980)","previouslyFormattedCitation":"(Ingledew &amp; Ohnishi, 1980)"},"properties":{"noteIndex":0},"schema":"https://github.com/citation-style-language/schema/raw/master/csl-citation.json"}</w:instrText>
      </w:r>
      <w:r w:rsidRPr="00E97FC1">
        <w:rPr>
          <w:rFonts w:cs="Times New Roman"/>
          <w:szCs w:val="24"/>
          <w:lang w:val="en-GB"/>
        </w:rPr>
        <w:fldChar w:fldCharType="separate"/>
      </w:r>
      <w:r w:rsidRPr="00E97FC1">
        <w:rPr>
          <w:rFonts w:cs="Times New Roman"/>
          <w:noProof/>
          <w:szCs w:val="24"/>
          <w:lang w:val="en-GB"/>
        </w:rPr>
        <w:t>(Ingledew &amp; Ohnishi, 1980)</w:t>
      </w:r>
      <w:r w:rsidRPr="00E97FC1">
        <w:rPr>
          <w:rFonts w:cs="Times New Roman"/>
          <w:szCs w:val="24"/>
          <w:lang w:val="en-GB"/>
        </w:rPr>
        <w:fldChar w:fldCharType="end"/>
      </w:r>
      <w:r w:rsidRPr="00E97FC1">
        <w:rPr>
          <w:rFonts w:cs="Times New Roman"/>
          <w:szCs w:val="24"/>
          <w:lang w:val="en-GB"/>
        </w:rPr>
        <w:t xml:space="preserve">), is a clear exception as it has two waters forming hydrogen bonds to the cluster. The waters’ position is conserved between </w:t>
      </w:r>
      <w:r w:rsidRPr="00E97FC1">
        <w:rPr>
          <w:rFonts w:cs="Times New Roman"/>
          <w:i/>
          <w:szCs w:val="24"/>
          <w:lang w:val="en-GB"/>
        </w:rPr>
        <w:t>E. coli</w:t>
      </w:r>
      <w:r w:rsidRPr="00E97FC1">
        <w:rPr>
          <w:rFonts w:cs="Times New Roman"/>
          <w:szCs w:val="24"/>
          <w:lang w:val="en-GB"/>
        </w:rPr>
        <w:t xml:space="preserve"> and ovine enzymes. Additionally, this cluster interacts with the conserved NuoCD residues R254, R274 and H359. This highly polar environment explains the high potential of the cluster. Overall, up to 860 waters are observed within the highly hydrated PA, and some waters closer to the core of the protein are conserved with the ovine enzyme, including the two waters situated roughly b</w:t>
      </w:r>
      <w:r w:rsidR="00DB2B84">
        <w:rPr>
          <w:rFonts w:cs="Times New Roman"/>
          <w:szCs w:val="24"/>
          <w:lang w:val="en-GB"/>
        </w:rPr>
        <w:t>etween the N3 and N4 (Figure 3.2</w:t>
      </w:r>
      <w:r w:rsidRPr="00E97FC1">
        <w:rPr>
          <w:rFonts w:cs="Times New Roman"/>
          <w:szCs w:val="24"/>
          <w:lang w:val="en-GB"/>
        </w:rPr>
        <w:t>c) but located too far from the clusters for any direct interactions.</w:t>
      </w:r>
    </w:p>
    <w:p w14:paraId="197D3D65" w14:textId="6B81DD8C" w:rsidR="00CE3E6F" w:rsidRPr="00E97FC1" w:rsidRDefault="00CE3E6F" w:rsidP="00CE3E6F">
      <w:pPr>
        <w:ind w:firstLine="720"/>
        <w:rPr>
          <w:rFonts w:cs="Times New Roman"/>
          <w:szCs w:val="40"/>
          <w:lang w:val="en-GB"/>
        </w:rPr>
      </w:pPr>
      <w:r w:rsidRPr="00E97FC1">
        <w:rPr>
          <w:rFonts w:cs="Times New Roman"/>
          <w:szCs w:val="40"/>
          <w:lang w:val="en-GB"/>
        </w:rPr>
        <w:t xml:space="preserve">Complex I is a major source of ROS with the fully reduced FMN being the main producer </w:t>
      </w:r>
      <w:r w:rsidRPr="00E97FC1">
        <w:rPr>
          <w:rFonts w:cs="Times New Roman"/>
          <w:szCs w:val="40"/>
          <w:lang w:val="en-GB"/>
        </w:rPr>
        <w:fldChar w:fldCharType="begin" w:fldLock="1"/>
      </w:r>
      <w:r w:rsidRPr="00E97FC1">
        <w:rPr>
          <w:rFonts w:cs="Times New Roman"/>
          <w:szCs w:val="40"/>
          <w:lang w:val="en-GB"/>
        </w:rPr>
        <w:instrText>ADDIN CSL_CITATION {"citationItems":[{"id":"ITEM-1","itemData":{"DOI":"10.1021/bi702243b","ISSN":"0006-2960 (Print)","PMID":"18307315","abstract":"The generation of reactive oxygen species by mitochondrial complex I (NADH:ubiquinone oxidoreductase) is considered a significant cause of cellular oxidative stress, linked to neuromuscular diseases and aging. Defining its mechanism is important for the formulation of causative connections between complex I defects and pathological effects. Oxygen is probably reduced at two sites in complex I, one associated with NADH oxidation in the mitochondrial matrix and the other associated with ubiquinone reduction in the membrane. Here, we study complex I from Escherichia coli, exploiting similarities and differences in the bacterial and mitochondrial enzymes to extend our knowledge of O2 reduction at the active site for NADH oxidation. E. coli and bovine complex I reduce O2 at essentially the same rate, with the same potential dependence (set by the NAD (+)/NADH ratio), showing that the rate-determining step is conserved. The potential dependent rate of H2O2 production does not correlate to the potential of the distal [2Fe-2S] cluster N1a in E. coli complex I, excluding it as the point of O2 reduction. Therefore, our results confirm previous proposals that O2 reacts with the fully reduced flavin mononucleotide. Assays for superoxide production by E. coli complex I were prone to artifacts, but dihydroethidium reduction showed that, upon reducing O2, it produces approximately 20% superoxide and 80% H2O2. In contrast, bovine complex I produces 95% superoxide. The results are consistent with (but do not prove) a specific role for cluster N1a in determining the outcome of O2 reduction; possible reaction mechanisms are discussed.","author":[{"dropping-particle":"","family":"Esterhazy","given":"Daria","non-dropping-particle":"","parse-names":false,"suffix":""},{"dropping-particle":"","family":"King","given":"Martin S","non-dropping-particle":"","parse-names":false,"suffix":""},{"dropping-particle":"","family":"Yakovlev","given":"Gregory","non-dropping-particle":"","parse-names":false,"suffix":""},{"dropping-particle":"","family":"Hirst","given":"Judy","non-dropping-particle":"","parse-names":false,"suffix":""}],"container-title":"Biochemistry","id":"ITEM-1","issue":"12","issued":{"date-parts":[["2008","3"]]},"language":"eng","page":"3964-3971","publisher-place":"United States","title":"Production of reactive oxygen species by complex I (NADH:ubiquinone oxidoreductase) from Escherichia coli and comparison to the enzyme from mitochondria.","type":"article-journal","volume":"47"},"uris":["http://www.mendeley.com/documents/?uuid=6012893d-f6fa-41f0-931d-4fe2ef599557"]}],"mendeley":{"formattedCitation":"(Esterhazy &lt;i&gt;et al&lt;/i&gt;, 2008)","plainTextFormattedCitation":"(Esterhazy et al, 2008)","previouslyFormattedCitation":"(Esterhazy &lt;i&gt;et al&lt;/i&gt;, 2008)"},"properties":{"noteIndex":0},"schema":"https://github.com/citation-style-language/schema/raw/master/csl-citation.json"}</w:instrText>
      </w:r>
      <w:r w:rsidRPr="00E97FC1">
        <w:rPr>
          <w:rFonts w:cs="Times New Roman"/>
          <w:szCs w:val="40"/>
          <w:lang w:val="en-GB"/>
        </w:rPr>
        <w:fldChar w:fldCharType="separate"/>
      </w:r>
      <w:r w:rsidRPr="00E97FC1">
        <w:rPr>
          <w:rFonts w:cs="Times New Roman"/>
          <w:noProof/>
          <w:szCs w:val="40"/>
          <w:lang w:val="en-GB"/>
        </w:rPr>
        <w:t xml:space="preserve">(Esterhazy </w:t>
      </w:r>
      <w:r w:rsidRPr="00E97FC1">
        <w:rPr>
          <w:rFonts w:cs="Times New Roman"/>
          <w:i/>
          <w:noProof/>
          <w:szCs w:val="40"/>
          <w:lang w:val="en-GB"/>
        </w:rPr>
        <w:t>et al</w:t>
      </w:r>
      <w:r w:rsidRPr="00E97FC1">
        <w:rPr>
          <w:rFonts w:cs="Times New Roman"/>
          <w:noProof/>
          <w:szCs w:val="40"/>
          <w:lang w:val="en-GB"/>
        </w:rPr>
        <w:t>, 2008)</w:t>
      </w:r>
      <w:r w:rsidRPr="00E97FC1">
        <w:rPr>
          <w:rFonts w:cs="Times New Roman"/>
          <w:szCs w:val="40"/>
          <w:lang w:val="en-GB"/>
        </w:rPr>
        <w:fldChar w:fldCharType="end"/>
      </w:r>
      <w:r w:rsidRPr="00E97FC1">
        <w:rPr>
          <w:rFonts w:cs="Times New Roman"/>
          <w:szCs w:val="40"/>
          <w:lang w:val="en-GB"/>
        </w:rPr>
        <w:t>. In the bovine enzyme, FMN predominantly donates an electron to O</w:t>
      </w:r>
      <w:r w:rsidRPr="00E97FC1">
        <w:rPr>
          <w:rFonts w:cs="Times New Roman"/>
          <w:szCs w:val="40"/>
          <w:vertAlign w:val="subscript"/>
          <w:lang w:val="en-GB"/>
        </w:rPr>
        <w:t>2</w:t>
      </w:r>
      <w:r w:rsidRPr="00E97FC1">
        <w:rPr>
          <w:rFonts w:cs="Times New Roman"/>
          <w:szCs w:val="40"/>
          <w:lang w:val="en-GB"/>
        </w:rPr>
        <w:t xml:space="preserve"> forming superoxide, which is detoxified to H</w:t>
      </w:r>
      <w:r w:rsidRPr="00E97FC1">
        <w:rPr>
          <w:rFonts w:cs="Times New Roman"/>
          <w:szCs w:val="40"/>
          <w:vertAlign w:val="subscript"/>
          <w:lang w:val="en-GB"/>
        </w:rPr>
        <w:t>2</w:t>
      </w:r>
      <w:r w:rsidRPr="00E97FC1">
        <w:rPr>
          <w:rFonts w:cs="Times New Roman"/>
          <w:szCs w:val="40"/>
          <w:lang w:val="en-GB"/>
        </w:rPr>
        <w:t>O</w:t>
      </w:r>
      <w:r w:rsidRPr="00E97FC1">
        <w:rPr>
          <w:rFonts w:cs="Times New Roman"/>
          <w:szCs w:val="40"/>
          <w:vertAlign w:val="subscript"/>
          <w:lang w:val="en-GB"/>
        </w:rPr>
        <w:t>2</w:t>
      </w:r>
      <w:r w:rsidRPr="00E97FC1">
        <w:rPr>
          <w:rFonts w:cs="Times New Roman"/>
          <w:b/>
          <w:szCs w:val="40"/>
          <w:vertAlign w:val="subscript"/>
          <w:lang w:val="en-GB"/>
        </w:rPr>
        <w:t xml:space="preserve"> </w:t>
      </w:r>
      <w:r w:rsidRPr="00E97FC1">
        <w:rPr>
          <w:rFonts w:cs="Times New Roman"/>
          <w:szCs w:val="40"/>
          <w:lang w:val="en-GB"/>
        </w:rPr>
        <w:t xml:space="preserve">by superoxide dismutase </w:t>
      </w:r>
      <w:r w:rsidRPr="00E97FC1">
        <w:rPr>
          <w:rFonts w:cs="Times New Roman"/>
          <w:szCs w:val="40"/>
          <w:lang w:val="en-GB"/>
        </w:rPr>
        <w:fldChar w:fldCharType="begin" w:fldLock="1"/>
      </w:r>
      <w:r w:rsidRPr="00E97FC1">
        <w:rPr>
          <w:rFonts w:cs="Times New Roman"/>
          <w:szCs w:val="40"/>
          <w:lang w:val="en-GB"/>
        </w:rPr>
        <w:instrText>ADDIN CSL_CITATION {"citationItems":[{"id":"ITEM-1","itemData":{"DOI":"https://doi.org/10.1016/j.bbabio.2013.01.002","ISSN":"0005-2728","abstract":"Membrane-bound respiratory complex I in inside-out submitochondrial particles (SMP) catalyzes both superoxide and hydrogen peroxide formation in NADH- and/or succinate-supported reactions. At optimal NADH concentration (50μM), the complex I-mediated process results in a formation of two superoxide anions and H2O2 as the reaction products in approximately 0.7 ratio. Almost the same ratio is found for purified complex I (0.6) and for the aerobic succinate-supported reverse electron transfer reaction. Superoxide production is depressed at high, more physiologically relevant NADH concentrations, whereas hydrogen peroxide formation is insensitive to the elevated level of NADH. The rates of H2O2 formation at variable NAD+/NADH ratios satisfactorily fit the Nernst equation for a single reactive two-electron donor component equilibrated with ambient midpoint redox potential of −347mV (0.13 NAD+/NADH ratio, pH 8.0). Half-maximal superoxide production rate proceeds at significantly higher NAD+/NADH ratio (0.33). Guanidine strongly stimulates NADH-supported hydrogen peroxide and superoxide production at any NADH concentration and activates NADH:ferricyanide and inhibits NADH:hexaammineruthenium (III) reductase activities while showing no effects on NADH oxidase of SMP. In the low range of NADH concentration, superoxide production rate shows a simple hyperbolic dependence on NADH with apparent KmNADH of 0.5μM, whereas sigmoidal dependence of hydrogen peroxide production is seen with half-maximal rate at 25μM NADH. We interpret the data as to suggest that at least two sites participate in complex I-mediated ROS generation: FMNH– that produces hydrogen peroxide, and an iron–sulfur center (likely N-2) that produces superoxide anion.","author":[{"dropping-particle":"","family":"Grivennikova","given":"Vera G","non-dropping-particle":"","parse-names":false,"suffix":""},{"dropping-particle":"","family":"Vinogradov","given":"Andrei D","non-dropping-particle":"","parse-names":false,"suffix":""}],"container-title":"Biochimica et Biophysica Acta (BBA) - Bioenergetics","id":"ITEM-1","issue":"3","issued":{"date-parts":[["2013"]]},"page":"446-454","title":"Partitioning of superoxide and hydrogen peroxide production by mitochondrial respiratory complex I","type":"article-journal","volume":"1827"},"uris":["http://www.mendeley.com/documents/?uuid=f9e0ac72-231d-47bd-b823-41061781eddd"]}],"mendeley":{"formattedCitation":"(Grivennikova &amp; Vinogradov, 2013)","plainTextFormattedCitation":"(Grivennikova &amp; Vinogradov, 2013)","previouslyFormattedCitation":"(Grivennikova &amp; Vinogradov, 2013)"},"properties":{"noteIndex":0},"schema":"https://github.com/citation-style-language/schema/raw/master/csl-citation.json"}</w:instrText>
      </w:r>
      <w:r w:rsidRPr="00E97FC1">
        <w:rPr>
          <w:rFonts w:cs="Times New Roman"/>
          <w:szCs w:val="40"/>
          <w:lang w:val="en-GB"/>
        </w:rPr>
        <w:fldChar w:fldCharType="separate"/>
      </w:r>
      <w:r w:rsidRPr="00E97FC1">
        <w:rPr>
          <w:rFonts w:cs="Times New Roman"/>
          <w:noProof/>
          <w:szCs w:val="40"/>
          <w:lang w:val="en-GB"/>
        </w:rPr>
        <w:t>(Grivennikova &amp; Vinogradov, 2013)</w:t>
      </w:r>
      <w:r w:rsidRPr="00E97FC1">
        <w:rPr>
          <w:rFonts w:cs="Times New Roman"/>
          <w:szCs w:val="40"/>
          <w:lang w:val="en-GB"/>
        </w:rPr>
        <w:fldChar w:fldCharType="end"/>
      </w:r>
      <w:r w:rsidRPr="00E97FC1">
        <w:rPr>
          <w:rFonts w:cs="Times New Roman"/>
          <w:szCs w:val="40"/>
          <w:lang w:val="en-GB"/>
        </w:rPr>
        <w:t xml:space="preserve">. In contrast, </w:t>
      </w:r>
      <w:r w:rsidRPr="00E97FC1">
        <w:rPr>
          <w:rFonts w:cs="Times New Roman"/>
          <w:i/>
          <w:szCs w:val="40"/>
          <w:lang w:val="en-GB"/>
        </w:rPr>
        <w:t>Ec</w:t>
      </w:r>
      <w:r w:rsidRPr="00E97FC1">
        <w:rPr>
          <w:rFonts w:cs="Times New Roman"/>
          <w:szCs w:val="40"/>
          <w:lang w:val="en-GB"/>
        </w:rPr>
        <w:t>CI forms H</w:t>
      </w:r>
      <w:r w:rsidRPr="00E97FC1">
        <w:rPr>
          <w:rFonts w:cs="Times New Roman"/>
          <w:szCs w:val="40"/>
          <w:vertAlign w:val="subscript"/>
          <w:lang w:val="en-GB"/>
        </w:rPr>
        <w:t>2</w:t>
      </w:r>
      <w:r w:rsidRPr="00E97FC1">
        <w:rPr>
          <w:rFonts w:cs="Times New Roman"/>
          <w:szCs w:val="40"/>
          <w:lang w:val="en-GB"/>
        </w:rPr>
        <w:t>O</w:t>
      </w:r>
      <w:r w:rsidRPr="00E97FC1">
        <w:rPr>
          <w:rFonts w:cs="Times New Roman"/>
          <w:szCs w:val="40"/>
          <w:vertAlign w:val="subscript"/>
          <w:lang w:val="en-GB"/>
        </w:rPr>
        <w:t>2</w:t>
      </w:r>
      <w:r w:rsidRPr="00E97FC1">
        <w:rPr>
          <w:rFonts w:cs="Times New Roman"/>
          <w:szCs w:val="40"/>
          <w:lang w:val="en-GB"/>
        </w:rPr>
        <w:t xml:space="preserve"> directly </w:t>
      </w:r>
      <w:r w:rsidRPr="00E97FC1">
        <w:rPr>
          <w:lang w:val="en-GB"/>
        </w:rPr>
        <w:fldChar w:fldCharType="begin" w:fldLock="1"/>
      </w:r>
      <w:r w:rsidRPr="00E97FC1">
        <w:rPr>
          <w:rFonts w:cs="Times New Roman"/>
          <w:szCs w:val="40"/>
          <w:lang w:val="en-GB"/>
        </w:rPr>
        <w:instrText>ADDIN CSL_CITATION {"citationItems":[{"id":"ITEM-1","itemData":{"DOI":"10.1021/bi702243b","ISSN":"0006-2960 (Print)","PMID":"18307315","abstract":"The generation of reactive oxygen species by mitochondrial complex I  (NADH:ubiquinone oxidoreductase) is considered a significant cause of cellular oxidative stress, linked to neuromuscular diseases and aging. Defining its mechanism is important for the formulation of causative connections between complex I defects and pathological effects. Oxygen is probably reduced at two sites in complex I, one associated with NADH oxidation in the mitochondrial matrix and the other associated with ubiquinone reduction in the membrane. Here, we study complex I from Escherichia coli, exploiting similarities and differences in the bacterial and mitochondrial enzymes to extend our knowledge of O2 reduction at the active site for NADH oxidation. E. coli and bovine complex I reduce O2 at essentially the same rate, with the same potential dependence (set by the NAD (+)/NADH ratio), showing that the rate-determining step is conserved. The potential dependent rate of H2O2 production does not correlate to the potential of the distal [2Fe-2S] cluster N1a in E. coli complex I, excluding it as the point of O2 reduction. Therefore, our results confirm previous proposals that O2 reacts with the fully reduced flavin mononucleotide. Assays for superoxide production by E. coli complex I were prone to artifacts, but dihydroethidium reduction showed that, upon reducing O2, it produces approximately 20% superoxide and 80% H2O2. In contrast, bovine complex I produces 95% superoxide. The results are consistent with (but do not prove) a specific role for cluster N1a in determining the outcome of O2 reduction; possible reaction mechanisms are discussed.","author":[{"dropping-particle":"","family":"Esterházy","given":"Daria","non-dropping-particle":"","parse-names":false,"suffix":""},{"dropping-particle":"","family":"King","given":"Martin S","non-dropping-particle":"","parse-names":false,"suffix":""},{"dropping-particle":"","family":"Yakovlev","given":"Gregory","non-dropping-particle":"","parse-names":false,"suffix":""},{"dropping-particle":"","family":"Hirst","given":"Judy","non-dropping-particle":"","parse-names":false,"suffix":""}],"container-title":"Biochemistry","id":"ITEM-1","issue":"12","issued":{"date-parts":[["2008","3"]]},"language":"eng","page":"3964-3971","publisher-place":"United States","title":"Production of reactive oxygen species by complex I (NADH:ubiquinone oxidoreductase)  from Escherichia coli and comparison to the enzyme from mitochondria.","type":"article-journal","volume":"47"},"uris":["http://www.mendeley.com/documents/?uuid=734688ed-eb1e-49d4-a993-c47a651a2776"]}],"mendeley":{"formattedCitation":"(Esterházy &lt;i&gt;et al&lt;/i&gt;, 2008)","plainTextFormattedCitation":"(Esterházy et al, 2008)","previouslyFormattedCitation":"(Esterházy &lt;i&gt;et al&lt;/i&gt;, 2008)"},"properties":{"noteIndex":0},"schema":"https://github.com/citation-style-language/schema/raw/master/csl-citation.json"}</w:instrText>
      </w:r>
      <w:r w:rsidRPr="00E97FC1">
        <w:rPr>
          <w:lang w:val="en-GB"/>
        </w:rPr>
        <w:fldChar w:fldCharType="separate"/>
      </w:r>
      <w:r w:rsidRPr="00E97FC1">
        <w:rPr>
          <w:rFonts w:cs="Times New Roman"/>
          <w:noProof/>
          <w:szCs w:val="40"/>
          <w:lang w:val="en-GB"/>
        </w:rPr>
        <w:t xml:space="preserve">(Esterházy </w:t>
      </w:r>
      <w:r w:rsidRPr="00E97FC1">
        <w:rPr>
          <w:rFonts w:cs="Times New Roman"/>
          <w:i/>
          <w:noProof/>
          <w:szCs w:val="40"/>
          <w:lang w:val="en-GB"/>
        </w:rPr>
        <w:t>et al</w:t>
      </w:r>
      <w:r w:rsidRPr="00E97FC1">
        <w:rPr>
          <w:rFonts w:cs="Times New Roman"/>
          <w:noProof/>
          <w:szCs w:val="40"/>
          <w:lang w:val="en-GB"/>
        </w:rPr>
        <w:t>, 2008)</w:t>
      </w:r>
      <w:r w:rsidRPr="00E97FC1">
        <w:rPr>
          <w:lang w:val="en-GB"/>
        </w:rPr>
        <w:fldChar w:fldCharType="end"/>
      </w:r>
      <w:r w:rsidRPr="00E97FC1">
        <w:rPr>
          <w:lang w:val="en-GB"/>
        </w:rPr>
        <w:t>,</w:t>
      </w:r>
      <w:r w:rsidRPr="00E97FC1">
        <w:rPr>
          <w:rFonts w:cs="Times New Roman"/>
          <w:szCs w:val="40"/>
          <w:lang w:val="en-GB"/>
        </w:rPr>
        <w:t xml:space="preserve"> which is not due to the high N1a potential </w:t>
      </w:r>
      <w:r w:rsidRPr="00E97FC1">
        <w:rPr>
          <w:rFonts w:cs="Times New Roman"/>
          <w:szCs w:val="40"/>
          <w:lang w:val="en-GB"/>
        </w:rPr>
        <w:fldChar w:fldCharType="begin" w:fldLock="1"/>
      </w:r>
      <w:r w:rsidRPr="00E97FC1">
        <w:rPr>
          <w:rFonts w:cs="Times New Roman"/>
          <w:szCs w:val="40"/>
          <w:lang w:val="en-GB"/>
        </w:rPr>
        <w:instrText>ADDIN CSL_CITATION {"citationItems":[{"id":"ITEM-1","itemData":{"DOI":"10.1042/BJ20130606","ISSN":"1470-8728 (Electronic)","PMID":"23980528","abstract":"NADH:quinone oxidoreductase (complex I) couples NADH oxidation and quinone reduction to proton translocation across an energy-transducing membrane. All complexes I contain a flavin to oxidize NADH, seven iron-sulfur clusters to transfer electrons from the flavin to quinone and an eighth cluster (N1a) on the opposite side of the flavin. The role of cluster N1a is unknown, but Escherichia coli complex I has an unusually high-potential cluster N1a and its reduced flavin produces H2O2, not superoxide, suggesting that cluster N1a may affect reactive oxygen species production. In the present study, we combine protein film voltammetry with mutagenesis in overproduced N1a-binding subunits to identify two residues that switch N1a between its high- (E. coli, valine and asparagine) and low- (Bos taurus and Yarrowia lipolytica, proline and methionine) potential forms. The mutations were incorporated into E. coli complex I: cluster N1a could no longer be reduced by NADH, but H2O2 and superoxide production were unaffected. The reverse mutations (that increase the potential by ~0.16 V) were incorporated into Y. lipolytica complex I, but N1a was still not reduced by NADH. We conclude that cluster N1a does not affect reactive oxygen species production by the complex I flavin; it is probably required for enzyme assembly or stability.","author":[{"dropping-particle":"","family":"Birrell","given":"James A","non-dropping-particle":"","parse-names":false,"suffix":""},{"dropping-particle":"","family":"Morina","given":"Klaudia","non-dropping-particle":"","parse-names":false,"suffix":""},{"dropping-particle":"","family":"Bridges","given":"Hannah R","non-dropping-particle":"","parse-names":false,"suffix":""},{"dropping-particle":"","family":"Friedrich","given":"Thorsten","non-dropping-particle":"","parse-names":false,"suffix":""},{"dropping-particle":"","family":"Hirst","given":"Judy","non-dropping-particle":"","parse-names":false,"suffix":""}],"container-title":"The Biochemical journal","id":"ITEM-1","issue":"1","issued":{"date-parts":[["2013","11"]]},"language":"eng","page":"139-146","publisher-place":"England","title":"Investigating the function of [2Fe-2S] cluster N1a, the off-pathway cluster in complex I, by manipulating its reduction potential.","type":"article-journal","volume":"456"},"uris":["http://www.mendeley.com/documents/?uuid=850785c0-bb09-4e19-a25c-9382607b0b28"]}],"mendeley":{"formattedCitation":"(Birrell &lt;i&gt;et al&lt;/i&gt;, 2013)","plainTextFormattedCitation":"(Birrell et al, 2013)","previouslyFormattedCitation":"(Birrell &lt;i&gt;et al&lt;/i&gt;, 2013)"},"properties":{"noteIndex":0},"schema":"https://github.com/citation-style-language/schema/raw/master/csl-citation.json"}</w:instrText>
      </w:r>
      <w:r w:rsidRPr="00E97FC1">
        <w:rPr>
          <w:rFonts w:cs="Times New Roman"/>
          <w:szCs w:val="40"/>
          <w:lang w:val="en-GB"/>
        </w:rPr>
        <w:fldChar w:fldCharType="separate"/>
      </w:r>
      <w:r w:rsidRPr="00E97FC1">
        <w:rPr>
          <w:rFonts w:cs="Times New Roman"/>
          <w:noProof/>
          <w:szCs w:val="40"/>
          <w:lang w:val="en-GB"/>
        </w:rPr>
        <w:t xml:space="preserve">(Birrell </w:t>
      </w:r>
      <w:r w:rsidRPr="00E97FC1">
        <w:rPr>
          <w:rFonts w:cs="Times New Roman"/>
          <w:i/>
          <w:noProof/>
          <w:szCs w:val="40"/>
          <w:lang w:val="en-GB"/>
        </w:rPr>
        <w:t>et al</w:t>
      </w:r>
      <w:r w:rsidRPr="00E97FC1">
        <w:rPr>
          <w:rFonts w:cs="Times New Roman"/>
          <w:noProof/>
          <w:szCs w:val="40"/>
          <w:lang w:val="en-GB"/>
        </w:rPr>
        <w:t>, 2013)</w:t>
      </w:r>
      <w:r w:rsidRPr="00E97FC1">
        <w:rPr>
          <w:rFonts w:cs="Times New Roman"/>
          <w:szCs w:val="40"/>
          <w:lang w:val="en-GB"/>
        </w:rPr>
        <w:fldChar w:fldCharType="end"/>
      </w:r>
      <w:r w:rsidRPr="00E97FC1">
        <w:rPr>
          <w:rFonts w:cs="Times New Roman"/>
          <w:szCs w:val="40"/>
          <w:lang w:val="en-GB"/>
        </w:rPr>
        <w:t xml:space="preserve">. We compared the NADH-binding sites of </w:t>
      </w:r>
      <w:r w:rsidRPr="00E97FC1">
        <w:rPr>
          <w:rFonts w:cs="Times New Roman"/>
          <w:i/>
          <w:szCs w:val="40"/>
          <w:lang w:val="en-GB"/>
        </w:rPr>
        <w:t>Tt</w:t>
      </w:r>
      <w:r w:rsidRPr="00E97FC1">
        <w:rPr>
          <w:rFonts w:cs="Times New Roman"/>
          <w:szCs w:val="40"/>
          <w:lang w:val="en-GB"/>
        </w:rPr>
        <w:t xml:space="preserve">, </w:t>
      </w:r>
      <w:r w:rsidRPr="00E97FC1">
        <w:rPr>
          <w:rFonts w:cs="Times New Roman"/>
          <w:i/>
          <w:szCs w:val="40"/>
          <w:lang w:val="en-GB"/>
        </w:rPr>
        <w:t>Aquifex aeolicus</w:t>
      </w:r>
      <w:r w:rsidRPr="00E97FC1">
        <w:rPr>
          <w:rFonts w:cs="Times New Roman"/>
          <w:szCs w:val="40"/>
          <w:lang w:val="en-GB"/>
        </w:rPr>
        <w:t xml:space="preserve"> (</w:t>
      </w:r>
      <w:r w:rsidRPr="00E97FC1">
        <w:rPr>
          <w:rFonts w:cs="Times New Roman"/>
          <w:i/>
          <w:szCs w:val="40"/>
          <w:lang w:val="en-GB"/>
        </w:rPr>
        <w:t>Aa)</w:t>
      </w:r>
      <w:r w:rsidRPr="00E97FC1">
        <w:rPr>
          <w:rFonts w:cs="Times New Roman"/>
          <w:szCs w:val="40"/>
          <w:lang w:val="en-GB"/>
        </w:rPr>
        <w:t xml:space="preserve">, </w:t>
      </w:r>
      <w:r w:rsidRPr="00E97FC1">
        <w:rPr>
          <w:rFonts w:cs="Times New Roman"/>
          <w:i/>
          <w:szCs w:val="40"/>
          <w:lang w:val="en-GB"/>
        </w:rPr>
        <w:t>Yarrowia lipolytica (Yl)</w:t>
      </w:r>
      <w:r w:rsidRPr="00E97FC1">
        <w:rPr>
          <w:rFonts w:cs="Times New Roman"/>
          <w:szCs w:val="40"/>
          <w:lang w:val="en-GB"/>
        </w:rPr>
        <w:t xml:space="preserve"> and mammalian NuoF structures with </w:t>
      </w:r>
      <w:r w:rsidRPr="00E97FC1">
        <w:rPr>
          <w:rFonts w:cs="Times New Roman"/>
          <w:i/>
          <w:szCs w:val="40"/>
          <w:lang w:val="en-GB"/>
        </w:rPr>
        <w:t>Ec</w:t>
      </w:r>
      <w:r w:rsidRPr="00E97FC1">
        <w:rPr>
          <w:rFonts w:cs="Times New Roman"/>
          <w:szCs w:val="40"/>
          <w:lang w:val="en-GB"/>
        </w:rPr>
        <w:t>CI. About 8 Å from FMN we identified an arginine residue (</w:t>
      </w:r>
      <w:r w:rsidRPr="00E97FC1">
        <w:rPr>
          <w:rFonts w:cs="Times New Roman"/>
          <w:szCs w:val="40"/>
          <w:vertAlign w:val="subscript"/>
          <w:lang w:val="en-GB"/>
        </w:rPr>
        <w:t>F</w:t>
      </w:r>
      <w:r w:rsidRPr="00E97FC1">
        <w:rPr>
          <w:rFonts w:cs="Times New Roman"/>
          <w:szCs w:val="40"/>
          <w:lang w:val="en-GB"/>
        </w:rPr>
        <w:t>R320), which is not present</w:t>
      </w:r>
      <w:r w:rsidR="00DB2B84">
        <w:rPr>
          <w:rFonts w:cs="Times New Roman"/>
          <w:szCs w:val="40"/>
          <w:lang w:val="en-GB"/>
        </w:rPr>
        <w:t xml:space="preserve"> in other structures (Figure 3.3</w:t>
      </w:r>
      <w:r w:rsidRPr="00E97FC1">
        <w:rPr>
          <w:rFonts w:cs="Times New Roman"/>
          <w:szCs w:val="40"/>
          <w:lang w:val="en-GB"/>
        </w:rPr>
        <w:t xml:space="preserve">c), being replaced by Gly in the mitochondrial and </w:t>
      </w:r>
      <w:r w:rsidRPr="00E97FC1">
        <w:rPr>
          <w:rFonts w:cs="Times New Roman"/>
          <w:szCs w:val="40"/>
          <w:lang w:val="en-GB"/>
        </w:rPr>
        <w:lastRenderedPageBreak/>
        <w:t xml:space="preserve">by Met in the </w:t>
      </w:r>
      <w:r w:rsidRPr="00E97FC1">
        <w:rPr>
          <w:rFonts w:cs="Times New Roman"/>
          <w:i/>
          <w:szCs w:val="40"/>
          <w:lang w:val="en-GB"/>
        </w:rPr>
        <w:t xml:space="preserve">Tt </w:t>
      </w:r>
      <w:r w:rsidRPr="00E97FC1">
        <w:rPr>
          <w:rFonts w:cs="Times New Roman"/>
          <w:szCs w:val="40"/>
          <w:lang w:val="en-GB"/>
        </w:rPr>
        <w:t xml:space="preserve">enzymes. It is thus possible that the extra positive charge on </w:t>
      </w:r>
      <w:r w:rsidRPr="00E97FC1">
        <w:rPr>
          <w:rFonts w:cs="Times New Roman"/>
          <w:szCs w:val="40"/>
          <w:vertAlign w:val="subscript"/>
          <w:lang w:val="en-GB"/>
        </w:rPr>
        <w:t>F</w:t>
      </w:r>
      <w:r w:rsidRPr="00E97FC1">
        <w:rPr>
          <w:rFonts w:cs="Times New Roman"/>
          <w:szCs w:val="40"/>
          <w:lang w:val="en-GB"/>
        </w:rPr>
        <w:t>R320 retains the nascent superoxide long enough for the spontaneous degradation into hydrogen peroxide to happen. Additionally, when NADH is bound, this arginine forms a tight hydrogen bond to the ribose moiety of NADH. This possibly changes the kinetics of NADH/NAD</w:t>
      </w:r>
      <w:r w:rsidRPr="00E97FC1">
        <w:rPr>
          <w:rFonts w:cs="Times New Roman"/>
          <w:szCs w:val="40"/>
          <w:vertAlign w:val="superscript"/>
          <w:lang w:val="en-GB"/>
        </w:rPr>
        <w:t>+</w:t>
      </w:r>
      <w:r w:rsidRPr="00E97FC1">
        <w:rPr>
          <w:rFonts w:cs="Times New Roman"/>
          <w:szCs w:val="40"/>
          <w:lang w:val="en-GB"/>
        </w:rPr>
        <w:t xml:space="preserve"> binding/release and, as a consequence, ROS production. Mutagenesis on R320 would be necessary to verify these hypotheses.</w:t>
      </w:r>
    </w:p>
    <w:p w14:paraId="74A90D40" w14:textId="7376D30B" w:rsidR="00CE3E6F" w:rsidRPr="00E97FC1" w:rsidRDefault="00CE3E6F" w:rsidP="00CE3E6F">
      <w:pPr>
        <w:ind w:firstLine="720"/>
        <w:rPr>
          <w:rFonts w:cs="Times New Roman"/>
          <w:szCs w:val="40"/>
          <w:lang w:val="en-GB"/>
        </w:rPr>
      </w:pPr>
      <w:r w:rsidRPr="00E97FC1">
        <w:rPr>
          <w:rFonts w:cs="Times New Roman"/>
          <w:szCs w:val="40"/>
          <w:lang w:val="en-GB"/>
        </w:rPr>
        <w:t xml:space="preserve">Recently, from the analysis of structures of the </w:t>
      </w:r>
      <w:r w:rsidRPr="00E97FC1">
        <w:rPr>
          <w:rFonts w:cs="Times New Roman"/>
          <w:i/>
          <w:szCs w:val="40"/>
          <w:lang w:val="en-GB"/>
        </w:rPr>
        <w:t>Aa</w:t>
      </w:r>
      <w:r w:rsidRPr="00E97FC1">
        <w:rPr>
          <w:rFonts w:cs="Times New Roman"/>
          <w:szCs w:val="40"/>
          <w:lang w:val="en-GB"/>
        </w:rPr>
        <w:t>NuoFE subcomplex, it was suggested that the peptide bond between E95 and S96 (</w:t>
      </w:r>
      <w:r w:rsidRPr="00E97FC1">
        <w:rPr>
          <w:rFonts w:cs="Times New Roman"/>
          <w:szCs w:val="40"/>
          <w:vertAlign w:val="subscript"/>
          <w:lang w:val="en-GB"/>
        </w:rPr>
        <w:t>F</w:t>
      </w:r>
      <w:r w:rsidRPr="00E97FC1">
        <w:rPr>
          <w:rFonts w:cs="Times New Roman"/>
          <w:szCs w:val="40"/>
          <w:lang w:val="en-GB"/>
        </w:rPr>
        <w:t xml:space="preserve">E93 and </w:t>
      </w:r>
      <w:r w:rsidRPr="00E97FC1">
        <w:rPr>
          <w:rFonts w:cs="Times New Roman"/>
          <w:szCs w:val="40"/>
          <w:vertAlign w:val="subscript"/>
          <w:lang w:val="en-GB"/>
        </w:rPr>
        <w:t>F</w:t>
      </w:r>
      <w:r w:rsidRPr="00E97FC1">
        <w:rPr>
          <w:rFonts w:cs="Times New Roman"/>
          <w:szCs w:val="40"/>
          <w:lang w:val="en-GB"/>
        </w:rPr>
        <w:t xml:space="preserve">M94 in </w:t>
      </w:r>
      <w:r w:rsidRPr="00E97FC1">
        <w:rPr>
          <w:rFonts w:cs="Times New Roman"/>
          <w:i/>
          <w:szCs w:val="40"/>
          <w:lang w:val="en-GB"/>
        </w:rPr>
        <w:t>Ec</w:t>
      </w:r>
      <w:r w:rsidRPr="00E97FC1">
        <w:rPr>
          <w:rFonts w:cs="Times New Roman"/>
          <w:szCs w:val="40"/>
          <w:lang w:val="en-GB"/>
        </w:rPr>
        <w:t xml:space="preserve">CI) flips away from FMN in the reduced state and towards FMN in oxidized, as a mechanism to reduce ROS production </w:t>
      </w:r>
      <w:r w:rsidRPr="00E97FC1">
        <w:rPr>
          <w:rFonts w:cs="Times New Roman"/>
          <w:szCs w:val="40"/>
          <w:lang w:val="en-GB"/>
        </w:rPr>
        <w:fldChar w:fldCharType="begin" w:fldLock="1"/>
      </w:r>
      <w:r w:rsidRPr="00E97FC1">
        <w:rPr>
          <w:rFonts w:cs="Times New Roman"/>
          <w:szCs w:val="40"/>
          <w:lang w:val="en-GB"/>
        </w:rPr>
        <w:instrText>ADDIN CSL_CITATION {"citationItems":[{"id":"ITEM-1","itemData":{"DOI":"10.1038/s41467-019-10429-0","ISSN":"20411723","abstract":"Respiratory complex I plays a central role in cellular energy metabolism coupling NADH oxidation to proton translocation. In humans its dysfunction is associated with degenerative diseases. Here we report the structure of the electron input part of Aquifex aeolicus complex I at up to 1.8 Å resolution with bound substrates in the reduced and oxidized states. The redox states differ by the flip of a peptide bond close to the NADH binding site. The orientation of this peptide bond is determined by the reduction state of the nearby [Fe-S] cluster N1a. Fixation of the peptide bond by site-directed mutagenesis led to an inactivation of electron transfer and a decreased reactive oxygen species (ROS) production. We suggest the redox-gated peptide flip to represent a previously unrecognized molecular switch synchronizing NADH oxidation in response to the redox state of the complex as part of an intramolecular feed-back mechanism to prevent ROS production.","author":[{"dropping-particle":"","family":"Schulte","given":"Marius","non-dropping-particle":"","parse-names":false,"suffix":""},{"dropping-particle":"","family":"Frick","given":"Klaudia","non-dropping-particle":"","parse-names":false,"suffix":""},{"dropping-particle":"","family":"Gnandt","given":"Emmanuel","non-dropping-particle":"","parse-names":false,"suffix":""},{"dropping-particle":"","family":"Jurkovic","given":"Sascha","non-dropping-particle":"","parse-names":false,"suffix":""},{"dropping-particle":"","family":"Burschel","given":"Sabrina","non-dropping-particle":"","parse-names":false,"suffix":""},{"dropping-particle":"","family":"Labatzke","given":"Ramona","non-dropping-particle":"","parse-names":false,"suffix":""},{"dropping-particle":"","family":"Aierstock","given":"Karoline","non-dropping-particle":"","parse-names":false,"suffix":""},{"dropping-particle":"","family":"Fiegen","given":"Dennis","non-dropping-particle":"","parse-names":false,"suffix":""},{"dropping-particle":"","family":"Wohlwend","given":"Daniel","non-dropping-particle":"","parse-names":false,"suffix":""},{"dropping-particle":"","family":"Gerhardt","given":"Stefan","non-dropping-particle":"","parse-names":false,"suffix":""},{"dropping-particle":"","family":"Einsle","given":"Oliver","non-dropping-particle":"","parse-names":false,"suffix":""},{"dropping-particle":"","family":"Friedrich","given":"Thorsten","non-dropping-particle":"","parse-names":false,"suffix":""}],"container-title":"Nature Communications","id":"ITEM-1","issue":"1","issued":{"date-parts":[["2019","12"]]},"page":"2551","publisher":"Nature Publishing Group","title":"A mechanism to prevent production of reactive oxygen species by Escherichia coli respiratory complex I","type":"article-journal","volume":"10"},"uris":["http://www.mendeley.com/documents/?uuid=5f484e2a-aba2-4881-812e-1717a56fd1fd"]}],"mendeley":{"formattedCitation":"(Schulte &lt;i&gt;et al&lt;/i&gt;, 2019)","plainTextFormattedCitation":"(Schulte et al, 2019)","previouslyFormattedCitation":"(Schulte &lt;i&gt;et al&lt;/i&gt;, 2019)"},"properties":{"noteIndex":0},"schema":"https://github.com/citation-style-language/schema/raw/master/csl-citation.json"}</w:instrText>
      </w:r>
      <w:r w:rsidRPr="00E97FC1">
        <w:rPr>
          <w:rFonts w:cs="Times New Roman"/>
          <w:szCs w:val="40"/>
          <w:lang w:val="en-GB"/>
        </w:rPr>
        <w:fldChar w:fldCharType="separate"/>
      </w:r>
      <w:r w:rsidRPr="00E97FC1">
        <w:rPr>
          <w:rFonts w:cs="Times New Roman"/>
          <w:noProof/>
          <w:szCs w:val="40"/>
          <w:lang w:val="en-GB"/>
        </w:rPr>
        <w:t xml:space="preserve">(Schulte </w:t>
      </w:r>
      <w:r w:rsidRPr="00E97FC1">
        <w:rPr>
          <w:rFonts w:cs="Times New Roman"/>
          <w:i/>
          <w:noProof/>
          <w:szCs w:val="40"/>
          <w:lang w:val="en-GB"/>
        </w:rPr>
        <w:t>et al</w:t>
      </w:r>
      <w:r w:rsidRPr="00E97FC1">
        <w:rPr>
          <w:rFonts w:cs="Times New Roman"/>
          <w:noProof/>
          <w:szCs w:val="40"/>
          <w:lang w:val="en-GB"/>
        </w:rPr>
        <w:t>, 2019)</w:t>
      </w:r>
      <w:r w:rsidRPr="00E97FC1">
        <w:rPr>
          <w:rFonts w:cs="Times New Roman"/>
          <w:szCs w:val="40"/>
          <w:lang w:val="en-GB"/>
        </w:rPr>
        <w:fldChar w:fldCharType="end"/>
      </w:r>
      <w:r w:rsidRPr="00E97FC1">
        <w:rPr>
          <w:rFonts w:cs="Times New Roman"/>
          <w:szCs w:val="40"/>
          <w:lang w:val="en-GB"/>
        </w:rPr>
        <w:t>. This contradicts our high-resolution structures - the peptide is clearly always oriented away from FMN (Figure 3.</w:t>
      </w:r>
      <w:r w:rsidR="000F12F2">
        <w:rPr>
          <w:rFonts w:cs="Times New Roman"/>
          <w:szCs w:val="40"/>
          <w:lang w:val="en-GB"/>
        </w:rPr>
        <w:t>3</w:t>
      </w:r>
      <w:r w:rsidRPr="00E97FC1">
        <w:rPr>
          <w:rFonts w:cs="Times New Roman"/>
          <w:szCs w:val="40"/>
          <w:lang w:val="en-GB"/>
        </w:rPr>
        <w:t xml:space="preserve">ab), similarly to </w:t>
      </w:r>
      <w:r w:rsidRPr="00E97FC1">
        <w:rPr>
          <w:rFonts w:cs="Times New Roman"/>
          <w:i/>
          <w:szCs w:val="40"/>
          <w:lang w:val="en-GB"/>
        </w:rPr>
        <w:t>Oa</w:t>
      </w:r>
      <w:r w:rsidRPr="00E97FC1">
        <w:rPr>
          <w:rFonts w:cs="Times New Roman"/>
          <w:szCs w:val="40"/>
          <w:lang w:val="en-GB"/>
        </w:rPr>
        <w:t xml:space="preserve">CI </w:t>
      </w:r>
      <w:r w:rsidRPr="00E97FC1">
        <w:rPr>
          <w:rFonts w:cs="Times New Roman"/>
          <w:szCs w:val="40"/>
          <w:lang w:val="en-GB"/>
        </w:rPr>
        <w:fldChar w:fldCharType="begin" w:fldLock="1"/>
      </w:r>
      <w:r w:rsidRPr="00E97FC1">
        <w:rPr>
          <w:rFonts w:cs="Times New Roman"/>
          <w:szCs w:val="40"/>
          <w:lang w:val="en-GB"/>
        </w:rPr>
        <w:instrText>ADDIN CSL_CITATION {"citationItems":[{"id":"ITEM-1","itemData":{"DOI":"10.1126/science.abc4209","ISSN":"1095-9203 (Electronic)","PMID":"32972993","abstract":"Mitochondrial complex I couples NADH:ubiquinone oxidoreduction to proton pumping by  an unknown mechanism. Here, we present cryo-electron microscopy structures of ovine complex I in five different conditions, including turnover, at resolutions up to 2.3 to 2.5 angstroms. Resolved water molecules allowed us to experimentally define the proton translocation pathways. Quinone binds at three positions along the quinone cavity, as does the inhibitor rotenone that also binds within subunit ND4. Dramatic conformational changes around the quinone cavity couple the redox reaction to proton translocation during open-to-closed state transitions of the enzyme. In the induced deactive state, the open conformation is arrested by the ND6 subunit. We propose a detailed molecular coupling mechanism of complex I, which is an unexpected combination of conformational changes and electrostatic interactions.","author":[{"dropping-particle":"","family":"Kampjut","given":"Domen","non-dropping-particle":"","parse-names":false,"suffix":""},{"dropping-particle":"","family":"Sazanov","given":"Leonid A","non-dropping-particle":"","parse-names":false,"suffix":""}],"container-title":"Science (New York, N.Y.)","id":"ITEM-1","issue":"6516","issued":{"date-parts":[["2020","10"]]},"language":"eng","publisher-place":"United States","title":"The coupling mechanism of mammalian respiratory complex I.","type":"article-journal","volume":"370"},"uris":["http://www.mendeley.com/documents/?uuid=7ba13959-8c17-4313-8227-becdec77971c"]}],"mendeley":{"formattedCitation":"(Kampjut &amp; Sazanov, 2020)","plainTextFormattedCitation":"(Kampjut &amp; Sazanov, 2020)","previouslyFormattedCitation":"(Kampjut &amp; Sazanov, 2020)"},"properties":{"noteIndex":0},"schema":"https://github.com/citation-style-language/schema/raw/master/csl-citation.json"}</w:instrText>
      </w:r>
      <w:r w:rsidRPr="00E97FC1">
        <w:rPr>
          <w:rFonts w:cs="Times New Roman"/>
          <w:szCs w:val="40"/>
          <w:lang w:val="en-GB"/>
        </w:rPr>
        <w:fldChar w:fldCharType="separate"/>
      </w:r>
      <w:r w:rsidRPr="00E97FC1">
        <w:rPr>
          <w:rFonts w:cs="Times New Roman"/>
          <w:noProof/>
          <w:szCs w:val="40"/>
          <w:lang w:val="en-GB"/>
        </w:rPr>
        <w:t>(Kampjut &amp; Sazanov, 2020)</w:t>
      </w:r>
      <w:r w:rsidRPr="00E97FC1">
        <w:rPr>
          <w:rFonts w:cs="Times New Roman"/>
          <w:szCs w:val="40"/>
          <w:lang w:val="en-GB"/>
        </w:rPr>
        <w:fldChar w:fldCharType="end"/>
      </w:r>
      <w:r w:rsidRPr="00E97FC1">
        <w:rPr>
          <w:rFonts w:cs="Times New Roman"/>
          <w:szCs w:val="40"/>
          <w:lang w:val="en-GB"/>
        </w:rPr>
        <w:t xml:space="preserve">. The difference with </w:t>
      </w:r>
      <w:r w:rsidRPr="00E97FC1">
        <w:rPr>
          <w:rFonts w:cs="Times New Roman"/>
          <w:i/>
          <w:szCs w:val="40"/>
          <w:lang w:val="en-GB"/>
        </w:rPr>
        <w:t>Aa</w:t>
      </w:r>
      <w:r w:rsidRPr="00E97FC1">
        <w:rPr>
          <w:rFonts w:cs="Times New Roman"/>
          <w:szCs w:val="40"/>
          <w:lang w:val="en-GB"/>
        </w:rPr>
        <w:t xml:space="preserve"> is likely due to the different properties of the protein and the FeS clusters in a two-subunit subcomplex as compared to the intact enzyme </w:t>
      </w:r>
      <w:r w:rsidRPr="00E97FC1">
        <w:rPr>
          <w:rFonts w:cs="Times New Roman"/>
          <w:szCs w:val="40"/>
          <w:lang w:val="en-GB"/>
        </w:rPr>
        <w:fldChar w:fldCharType="begin" w:fldLock="1"/>
      </w:r>
      <w:r w:rsidRPr="00E97FC1">
        <w:rPr>
          <w:rFonts w:cs="Times New Roman"/>
          <w:szCs w:val="40"/>
          <w:lang w:val="en-GB"/>
        </w:rPr>
        <w:instrText>ADDIN CSL_CITATION {"citationItems":[{"id":"ITEM-1","itemData":{"DOI":"10.1038/s41467-019-10429-0","ISSN":"20411723","abstract":"Respiratory complex I plays a central role in cellular energy metabolism coupling NADH oxidation to proton translocation. In humans its dysfunction is associated with degenerative diseases. Here we report the structure of the electron input part of Aquifex aeolicus complex I at up to 1.8 Å resolution with bound substrates in the reduced and oxidized states. The redox states differ by the flip of a peptide bond close to the NADH binding site. The orientation of this peptide bond is determined by the reduction state of the nearby [Fe-S] cluster N1a. Fixation of the peptide bond by site-directed mutagenesis led to an inactivation of electron transfer and a decreased reactive oxygen species (ROS) production. We suggest the redox-gated peptide flip to represent a previously unrecognized molecular switch synchronizing NADH oxidation in response to the redox state of the complex as part of an intramolecular feed-back mechanism to prevent ROS production.","author":[{"dropping-particle":"","family":"Schulte","given":"Marius","non-dropping-particle":"","parse-names":false,"suffix":""},{"dropping-particle":"","family":"Frick","given":"Klaudia","non-dropping-particle":"","parse-names":false,"suffix":""},{"dropping-particle":"","family":"Gnandt","given":"Emmanuel","non-dropping-particle":"","parse-names":false,"suffix":""},{"dropping-particle":"","family":"Jurkovic","given":"Sascha","non-dropping-particle":"","parse-names":false,"suffix":""},{"dropping-particle":"","family":"Burschel","given":"Sabrina","non-dropping-particle":"","parse-names":false,"suffix":""},{"dropping-particle":"","family":"Labatzke","given":"Ramona","non-dropping-particle":"","parse-names":false,"suffix":""},{"dropping-particle":"","family":"Aierstock","given":"Karoline","non-dropping-particle":"","parse-names":false,"suffix":""},{"dropping-particle":"","family":"Fiegen","given":"Dennis","non-dropping-particle":"","parse-names":false,"suffix":""},{"dropping-particle":"","family":"Wohlwend","given":"Daniel","non-dropping-particle":"","parse-names":false,"suffix":""},{"dropping-particle":"","family":"Gerhardt","given":"Stefan","non-dropping-particle":"","parse-names":false,"suffix":""},{"dropping-particle":"","family":"Einsle","given":"Oliver","non-dropping-particle":"","parse-names":false,"suffix":""},{"dropping-particle":"","family":"Friedrich","given":"Thorsten","non-dropping-particle":"","parse-names":false,"suffix":""}],"container-title":"Nature Communications","id":"ITEM-1","issue":"1","issued":{"date-parts":[["2019","12"]]},"page":"2551","publisher":"Nature Publishing Group","title":"A mechanism to prevent production of reactive oxygen species by Escherichia coli respiratory complex I","type":"article-journal","volume":"10"},"uris":["http://www.mendeley.com/documents/?uuid=5f484e2a-aba2-4881-812e-1717a56fd1fd"]},{"id":"ITEM-2","itemData":{"DOI":"10.1016/j.bbabio.2018.02.008","ISSN":"0005-2728 (Print)","PMID":"29501404","abstract":"The NADH:ubiquinone oxidoreductase (complex I) is the first enzyme of the  respiratory chain and the entry point for most electrons. Generally, the bacterial complex I consists of 14 core subunits, homologues of which are also found in complex I of mitochondria. In complex I preparations from the hyperthermophilic bacterium Aquifex aeolicus we have identified 20 partially homologous subunits by combining MALDI-TOF and LILBID mass spectrometry methods. The subunits could be assigned to two different complex I isoforms, named NQOR1 and NQOR2. NQOR1 consists of subunits NuoA(2), NuoB, NuoD(2), NuoE, NuoF, NuoG, NuoI(1), NuoH(1), NuoJ(1), NuoK(1), NuoL(1), NuoM(1) and NuoN(1), with an entire mass of 504.17 kDa. NQOR2 comprises subunits NuoA(1), NuoB, NuoD(1), NuoE, NuoF, NuoG, NuoH(2), NuoI(2), NuoJ(1), NuoK(1), NuoL(2), NuoM(2) and NuoN(2), with a total mass of 523.99 kDa. Three Fe-S clusters could be identified by EPR spectroscopy in a preparation containing predominantly NQOR1. These were tentatively assigned to a binuclear center N1, and two tetranuclear centers, N2 and N4. The redox midpoint potentials of N1 and N2 are -273 mV and -184 mV, respectively. Specific activity assays indicated that NQOR1 from cells grown under low concentrations of oxygen was the more active form. Increasing the concentration of oxygen in the bacterial cultures induced formation of NQOR2 showing the lower specific activity.","author":[{"dropping-particle":"","family":"Peng","given":"Guohong","non-dropping-particle":"","parse-names":false,"suffix":""},{"dropping-particle":"","family":"Meyer","given":"Björn","non-dropping-particle":"","parse-names":false,"suffix":""},{"dropping-particle":"","family":"Sokolova","given":"Lucie","non-dropping-particle":"","parse-names":false,"suffix":""},{"dropping-particle":"","family":"Liu","given":"Wenxia","non-dropping-particle":"","parse-names":false,"suffix":""},{"dropping-particle":"","family":"Bornemann","given":"Sandra","non-dropping-particle":"","parse-names":false,"suffix":""},{"dropping-particle":"","family":"Juli","given":"Jana","non-dropping-particle":"","parse-names":false,"suffix":""},{"dropping-particle":"","family":"Zwicker","given":"Klaus","non-dropping-particle":"","parse-names":false,"suffix":""},{"dropping-particle":"","family":"Karas","given":"Michael","non-dropping-particle":"","parse-names":false,"suffix":""},{"dropping-particle":"","family":"Brutschy","given":"Bernd","non-dropping-particle":"","parse-names":false,"suffix":""},{"dropping-particle":"","family":"Michel","given":"Hartmut","non-dropping-particle":"","parse-names":false,"suffix":""}],"container-title":"Biochimica et biophysica acta. Bioenergetics","id":"ITEM-2","issue":"5","issued":{"date-parts":[["2018","5"]]},"language":"eng","page":"366-373","publisher-place":"Netherlands","title":"Identification and characterization two isoforms of NADH:ubiquinone oxidoreductase  from the hyperthermophilic eubacterium Aquifex aeolicus.","type":"article-journal","volume":"1859"},"uris":["http://www.mendeley.com/documents/?uuid=e0ad7965-0f43-41e6-8c8f-61051eae3bc5"]}],"mendeley":{"formattedCitation":"(Schulte &lt;i&gt;et al&lt;/i&gt;, 2019; Peng &lt;i&gt;et al&lt;/i&gt;, 2018)","plainTextFormattedCitation":"(Schulte et al, 2019; Peng et al, 2018)","previouslyFormattedCitation":"(Schulte &lt;i&gt;et al&lt;/i&gt;, 2019; Peng &lt;i&gt;et al&lt;/i&gt;, 2018)"},"properties":{"noteIndex":0},"schema":"https://github.com/citation-style-language/schema/raw/master/csl-citation.json"}</w:instrText>
      </w:r>
      <w:r w:rsidRPr="00E97FC1">
        <w:rPr>
          <w:rFonts w:cs="Times New Roman"/>
          <w:szCs w:val="40"/>
          <w:lang w:val="en-GB"/>
        </w:rPr>
        <w:fldChar w:fldCharType="separate"/>
      </w:r>
      <w:r w:rsidRPr="00E97FC1">
        <w:rPr>
          <w:rFonts w:cs="Times New Roman"/>
          <w:noProof/>
          <w:szCs w:val="40"/>
          <w:lang w:val="en-GB"/>
        </w:rPr>
        <w:t xml:space="preserve">(Schulte </w:t>
      </w:r>
      <w:r w:rsidRPr="00E97FC1">
        <w:rPr>
          <w:rFonts w:cs="Times New Roman"/>
          <w:i/>
          <w:noProof/>
          <w:szCs w:val="40"/>
          <w:lang w:val="en-GB"/>
        </w:rPr>
        <w:t>et al</w:t>
      </w:r>
      <w:r w:rsidRPr="00E97FC1">
        <w:rPr>
          <w:rFonts w:cs="Times New Roman"/>
          <w:noProof/>
          <w:szCs w:val="40"/>
          <w:lang w:val="en-GB"/>
        </w:rPr>
        <w:t xml:space="preserve">, 2019; Peng </w:t>
      </w:r>
      <w:r w:rsidRPr="00E97FC1">
        <w:rPr>
          <w:rFonts w:cs="Times New Roman"/>
          <w:i/>
          <w:noProof/>
          <w:szCs w:val="40"/>
          <w:lang w:val="en-GB"/>
        </w:rPr>
        <w:t>et al</w:t>
      </w:r>
      <w:r w:rsidRPr="00E97FC1">
        <w:rPr>
          <w:rFonts w:cs="Times New Roman"/>
          <w:noProof/>
          <w:szCs w:val="40"/>
          <w:lang w:val="en-GB"/>
        </w:rPr>
        <w:t>, 2018)</w:t>
      </w:r>
      <w:r w:rsidRPr="00E97FC1">
        <w:rPr>
          <w:rFonts w:cs="Times New Roman"/>
          <w:szCs w:val="40"/>
          <w:lang w:val="en-GB"/>
        </w:rPr>
        <w:fldChar w:fldCharType="end"/>
      </w:r>
      <w:r w:rsidRPr="00E97FC1">
        <w:rPr>
          <w:rFonts w:cs="Times New Roman"/>
          <w:szCs w:val="40"/>
          <w:lang w:val="en-GB"/>
        </w:rPr>
        <w:t xml:space="preserve">. </w:t>
      </w:r>
    </w:p>
    <w:p w14:paraId="146E4DFC" w14:textId="77777777" w:rsidR="00CE3E6F" w:rsidRPr="00E97FC1" w:rsidRDefault="00CE3E6F" w:rsidP="00CE3E6F">
      <w:pPr>
        <w:ind w:firstLine="720"/>
        <w:rPr>
          <w:rFonts w:cs="Times New Roman"/>
          <w:szCs w:val="40"/>
          <w:lang w:val="en-GB"/>
        </w:rPr>
      </w:pPr>
      <w:r w:rsidRPr="00E97FC1">
        <w:rPr>
          <w:rFonts w:cs="Times New Roman"/>
          <w:noProof/>
          <w:szCs w:val="40"/>
        </w:rPr>
        <w:drawing>
          <wp:inline distT="0" distB="0" distL="0" distR="0" wp14:anchorId="3CDCC6A9" wp14:editId="7CBE0D38">
            <wp:extent cx="4985467" cy="2762577"/>
            <wp:effectExtent l="0" t="0" r="571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92955" cy="2766726"/>
                    </a:xfrm>
                    <a:prstGeom prst="rect">
                      <a:avLst/>
                    </a:prstGeom>
                    <a:noFill/>
                    <a:ln>
                      <a:noFill/>
                    </a:ln>
                  </pic:spPr>
                </pic:pic>
              </a:graphicData>
            </a:graphic>
          </wp:inline>
        </w:drawing>
      </w:r>
    </w:p>
    <w:p w14:paraId="66B2683A" w14:textId="4DF5D5C8" w:rsidR="00CE3E6F" w:rsidRPr="00E97FC1" w:rsidRDefault="00CE3E6F" w:rsidP="00CE3E6F">
      <w:pPr>
        <w:pStyle w:val="Caption"/>
      </w:pPr>
      <w:bookmarkStart w:id="109" w:name="_Toc121834119"/>
      <w:bookmarkStart w:id="110" w:name="_Toc128136631"/>
      <w:r w:rsidRPr="00E97FC1">
        <w:t xml:space="preserve">Figure </w:t>
      </w:r>
      <w:r w:rsidR="00CC7652">
        <w:fldChar w:fldCharType="begin"/>
      </w:r>
      <w:r w:rsidR="00CC7652">
        <w:instrText xml:space="preserve"> STYLEREF 1 \s </w:instrText>
      </w:r>
      <w:r w:rsidR="00CC7652">
        <w:fldChar w:fldCharType="separate"/>
      </w:r>
      <w:r w:rsidR="00ED1816">
        <w:rPr>
          <w:noProof/>
        </w:rPr>
        <w:t>3</w:t>
      </w:r>
      <w:r w:rsidR="00CC7652">
        <w:fldChar w:fldCharType="end"/>
      </w:r>
      <w:r w:rsidR="00CC7652">
        <w:t>.</w:t>
      </w:r>
      <w:r w:rsidR="00CC7652">
        <w:fldChar w:fldCharType="begin"/>
      </w:r>
      <w:r w:rsidR="00CC7652">
        <w:instrText xml:space="preserve"> SEQ Figure \* ARABIC \s 1 </w:instrText>
      </w:r>
      <w:r w:rsidR="00CC7652">
        <w:fldChar w:fldCharType="separate"/>
      </w:r>
      <w:r w:rsidR="00ED1816">
        <w:rPr>
          <w:noProof/>
        </w:rPr>
        <w:t>3</w:t>
      </w:r>
      <w:r w:rsidR="00CC7652">
        <w:fldChar w:fldCharType="end"/>
      </w:r>
      <w:r w:rsidRPr="00E97FC1">
        <w:t xml:space="preserve"> Environment of N1a cluster</w:t>
      </w:r>
      <w:bookmarkEnd w:id="109"/>
      <w:bookmarkEnd w:id="110"/>
    </w:p>
    <w:p w14:paraId="6555754D" w14:textId="53A856D8" w:rsidR="00CE3E6F" w:rsidRPr="00E97FC1" w:rsidRDefault="00CE3E6F" w:rsidP="00CE3E6F">
      <w:pPr>
        <w:rPr>
          <w:i/>
          <w:sz w:val="20"/>
          <w:lang w:val="en-GB"/>
        </w:rPr>
      </w:pPr>
      <w:r w:rsidRPr="00E97FC1">
        <w:rPr>
          <w:rFonts w:cs="Times New Roman"/>
          <w:i/>
          <w:sz w:val="20"/>
          <w:szCs w:val="24"/>
          <w:lang w:val="en-GB"/>
        </w:rPr>
        <w:t>A-B) The</w:t>
      </w:r>
      <w:r w:rsidRPr="00E97FC1">
        <w:rPr>
          <w:rFonts w:cs="Times New Roman"/>
          <w:b/>
          <w:i/>
          <w:sz w:val="20"/>
          <w:szCs w:val="24"/>
          <w:lang w:val="en-GB"/>
        </w:rPr>
        <w:t xml:space="preserve"> </w:t>
      </w:r>
      <w:r w:rsidRPr="00E97FC1">
        <w:rPr>
          <w:rFonts w:cs="Times New Roman"/>
          <w:i/>
          <w:sz w:val="20"/>
          <w:szCs w:val="24"/>
          <w:lang w:val="en-GB"/>
        </w:rPr>
        <w:t xml:space="preserve">conformation of the backbone between </w:t>
      </w:r>
      <w:r w:rsidRPr="00E97FC1">
        <w:rPr>
          <w:rFonts w:cs="Times New Roman"/>
          <w:i/>
          <w:sz w:val="20"/>
          <w:szCs w:val="24"/>
          <w:vertAlign w:val="subscript"/>
          <w:lang w:val="en-GB"/>
        </w:rPr>
        <w:t>F</w:t>
      </w:r>
      <w:r w:rsidRPr="00E97FC1">
        <w:rPr>
          <w:rFonts w:cs="Times New Roman"/>
          <w:i/>
          <w:sz w:val="20"/>
          <w:szCs w:val="24"/>
          <w:lang w:val="en-GB"/>
        </w:rPr>
        <w:t xml:space="preserve">D92 and </w:t>
      </w:r>
      <w:r w:rsidRPr="00E97FC1">
        <w:rPr>
          <w:rFonts w:cs="Times New Roman"/>
          <w:i/>
          <w:sz w:val="20"/>
          <w:szCs w:val="24"/>
          <w:vertAlign w:val="subscript"/>
          <w:lang w:val="en-GB"/>
        </w:rPr>
        <w:t>F</w:t>
      </w:r>
      <w:r w:rsidRPr="00E97FC1">
        <w:rPr>
          <w:rFonts w:cs="Times New Roman"/>
          <w:i/>
          <w:sz w:val="20"/>
          <w:szCs w:val="24"/>
          <w:lang w:val="en-GB"/>
        </w:rPr>
        <w:t xml:space="preserve">P96 is unchanged in EcCI regardless of NADH presence. Red arrows point to the backbone oxygen atom, which was suggested to change conformation (peptide bond flip) in </w:t>
      </w:r>
      <w:r w:rsidRPr="00E97FC1">
        <w:rPr>
          <w:rFonts w:cs="Times New Roman"/>
          <w:i/>
          <w:sz w:val="20"/>
          <w:szCs w:val="40"/>
          <w:lang w:val="en-GB"/>
        </w:rPr>
        <w:t xml:space="preserve">Aquifex aeolicus studies. </w:t>
      </w:r>
      <w:r w:rsidRPr="00E97FC1">
        <w:rPr>
          <w:rFonts w:cs="Times New Roman"/>
          <w:i/>
          <w:sz w:val="20"/>
          <w:szCs w:val="24"/>
          <w:lang w:val="en-GB"/>
        </w:rPr>
        <w:t>C</w:t>
      </w:r>
      <w:r w:rsidRPr="00E97FC1">
        <w:rPr>
          <w:rFonts w:cs="Times New Roman"/>
          <w:b/>
          <w:i/>
          <w:sz w:val="20"/>
          <w:szCs w:val="24"/>
          <w:lang w:val="en-GB"/>
        </w:rPr>
        <w:t>)</w:t>
      </w:r>
      <w:r w:rsidRPr="00E97FC1">
        <w:rPr>
          <w:rFonts w:cs="Times New Roman"/>
          <w:i/>
          <w:sz w:val="20"/>
          <w:szCs w:val="24"/>
          <w:lang w:val="en-GB"/>
        </w:rPr>
        <w:t xml:space="preserve"> Comparison of NuoF subunits from different CI species. EcCI contains unique </w:t>
      </w:r>
      <w:r w:rsidRPr="00E97FC1">
        <w:rPr>
          <w:rFonts w:cs="Times New Roman"/>
          <w:i/>
          <w:sz w:val="20"/>
          <w:szCs w:val="24"/>
          <w:vertAlign w:val="subscript"/>
          <w:lang w:val="en-GB"/>
        </w:rPr>
        <w:t>F</w:t>
      </w:r>
      <w:r w:rsidRPr="00E97FC1">
        <w:rPr>
          <w:rFonts w:cs="Times New Roman"/>
          <w:i/>
          <w:sz w:val="20"/>
          <w:szCs w:val="24"/>
          <w:lang w:val="en-GB"/>
        </w:rPr>
        <w:t>R320, which points into the active site and interacts with NADH.</w:t>
      </w:r>
      <w:r w:rsidR="00414A2B">
        <w:rPr>
          <w:rFonts w:cs="Times New Roman"/>
          <w:i/>
          <w:sz w:val="20"/>
          <w:szCs w:val="24"/>
          <w:lang w:val="en-GB"/>
        </w:rPr>
        <w:t xml:space="preserve"> </w:t>
      </w:r>
      <w:r w:rsidR="00414A2B" w:rsidRPr="00414A2B">
        <w:rPr>
          <w:rFonts w:cs="Times New Roman"/>
          <w:i/>
          <w:sz w:val="20"/>
          <w:szCs w:val="24"/>
          <w:lang w:val="en-GB"/>
        </w:rPr>
        <w:t>Figure adapted from (Kravchuk et al, 2022)</w:t>
      </w:r>
    </w:p>
    <w:p w14:paraId="1A81EAF5" w14:textId="3668BD15" w:rsidR="00CE3E6F" w:rsidRPr="00E97FC1" w:rsidRDefault="00CE3E6F" w:rsidP="00CE3E6F">
      <w:pPr>
        <w:ind w:firstLine="720"/>
        <w:rPr>
          <w:rFonts w:cs="Times New Roman"/>
          <w:szCs w:val="40"/>
          <w:lang w:val="en-GB"/>
        </w:rPr>
      </w:pPr>
      <w:r w:rsidRPr="00E97FC1">
        <w:rPr>
          <w:rFonts w:cs="Times New Roman"/>
          <w:szCs w:val="40"/>
          <w:lang w:val="en-GB"/>
        </w:rPr>
        <w:t xml:space="preserve">When the </w:t>
      </w:r>
      <w:r w:rsidRPr="00E97FC1">
        <w:rPr>
          <w:rFonts w:cs="Times New Roman"/>
          <w:i/>
          <w:szCs w:val="40"/>
          <w:lang w:val="en-GB"/>
        </w:rPr>
        <w:t>E. coli</w:t>
      </w:r>
      <w:r w:rsidRPr="00E97FC1">
        <w:rPr>
          <w:rFonts w:cs="Times New Roman"/>
          <w:szCs w:val="40"/>
          <w:lang w:val="en-GB"/>
        </w:rPr>
        <w:t xml:space="preserve"> </w:t>
      </w:r>
      <w:r w:rsidRPr="00E97FC1">
        <w:rPr>
          <w:rFonts w:cs="Times New Roman"/>
          <w:szCs w:val="40"/>
          <w:lang w:val="en-GB"/>
        </w:rPr>
        <w:fldChar w:fldCharType="begin" w:fldLock="1"/>
      </w:r>
      <w:r w:rsidRPr="00E97FC1">
        <w:rPr>
          <w:rFonts w:cs="Times New Roman"/>
          <w:szCs w:val="40"/>
          <w:lang w:val="en-GB"/>
        </w:rPr>
        <w:instrText>ADDIN CSL_CITATION {"citationItems":[{"id":"ITEM-1","itemData":{"DOI":"10.1016/j.bbabio.2016.08.008","ISSN":"0006-3002 (Print)","PMID":"27555334","abstract":"Respiratory complex I transfers electrons from NADH to quinone, utilizing the  reaction energy to translocate protons across the membrane. It is a key enzyme of the respiratory chain of many prokaryotic and most eukaryotic organisms. The reversible NADH oxidation reaction is facilitated in complex I by non-covalently bound flavin mononucleotide (FMN). Here we report that the catalytic activity of E. coli complex I with artificial electron acceptors potassium ferricyanide (FeCy) and hexaamineruthenium (HAR) is significantly inhibited in the enzyme pre-reduced by NADH. Further, we demonstrate that the inhibition is caused by reversible dissociation of FMN. The binding constant (K(d)) for FMN increases from the femto- or picomolar range in oxidized complex I to the nanomolar range in the NADH reduced enzyme, with an FMN dissociation time constant of ~5s. The oxidation state of complex I, rather than that of FMN, proved critical to the dissociation. Such dissociation is not observed with the T. thermophilus enzyme and our analysis suggests that the difference may be due to the unusually high redox potential of Fe-S cluster N1a in E. coli. It is possible that the enzyme attenuates ROS production in vivo by releasing FMN under highly reducing conditions.","author":[{"dropping-particle":"","family":"Holt","given":"Peter J","non-dropping-particle":"","parse-names":false,"suffix":""},{"dropping-particle":"","family":"Efremov","given":"Rouslan G","non-dropping-particle":"","parse-names":false,"suffix":""},{"dropping-particle":"","family":"Nakamaru-Ogiso","given":"Eiko","non-dropping-particle":"","parse-names":false,"suffix":""},{"dropping-particle":"","family":"Sazanov","given":"Leonid A","non-dropping-particle":"","parse-names":false,"suffix":""}],"container-title":"Biochimica et biophysica acta","id":"ITEM-1","issue":"11","issued":{"date-parts":[["2016","11"]]},"language":"eng","page":"1777-1785","publisher-place":"Netherlands","title":"Reversible FMN dissociation from Escherichia coli respiratory complex I.","type":"article-journal","volume":"1857"},"uris":["http://www.mendeley.com/documents/?uuid=9b06e573-6bea-416c-aebe-055e91e3c7bc"]}],"mendeley":{"formattedCitation":"(Holt &lt;i&gt;et al&lt;/i&gt;, 2016)","plainTextFormattedCitation":"(Holt et al, 2016)","previouslyFormattedCitation":"(Holt &lt;i&gt;et al&lt;/i&gt;, 2016)"},"properties":{"noteIndex":0},"schema":"https://github.com/citation-style-language/schema/raw/master/csl-citation.json"}</w:instrText>
      </w:r>
      <w:r w:rsidRPr="00E97FC1">
        <w:rPr>
          <w:rFonts w:cs="Times New Roman"/>
          <w:szCs w:val="40"/>
          <w:lang w:val="en-GB"/>
        </w:rPr>
        <w:fldChar w:fldCharType="separate"/>
      </w:r>
      <w:r w:rsidRPr="00E97FC1">
        <w:rPr>
          <w:rFonts w:cs="Times New Roman"/>
          <w:noProof/>
          <w:szCs w:val="40"/>
          <w:lang w:val="en-GB"/>
        </w:rPr>
        <w:t xml:space="preserve">(Holt </w:t>
      </w:r>
      <w:r w:rsidRPr="00E97FC1">
        <w:rPr>
          <w:rFonts w:cs="Times New Roman"/>
          <w:i/>
          <w:noProof/>
          <w:szCs w:val="40"/>
          <w:lang w:val="en-GB"/>
        </w:rPr>
        <w:t>et al</w:t>
      </w:r>
      <w:r w:rsidRPr="00E97FC1">
        <w:rPr>
          <w:rFonts w:cs="Times New Roman"/>
          <w:noProof/>
          <w:szCs w:val="40"/>
          <w:lang w:val="en-GB"/>
        </w:rPr>
        <w:t>, 2016)</w:t>
      </w:r>
      <w:r w:rsidRPr="00E97FC1">
        <w:rPr>
          <w:rFonts w:cs="Times New Roman"/>
          <w:szCs w:val="40"/>
          <w:lang w:val="en-GB"/>
        </w:rPr>
        <w:fldChar w:fldCharType="end"/>
      </w:r>
      <w:r w:rsidRPr="00E97FC1">
        <w:rPr>
          <w:rFonts w:cs="Times New Roman"/>
          <w:szCs w:val="40"/>
          <w:lang w:val="en-GB"/>
        </w:rPr>
        <w:t xml:space="preserve"> or bovine </w:t>
      </w:r>
      <w:r w:rsidRPr="00E97FC1">
        <w:rPr>
          <w:rFonts w:cs="Times New Roman"/>
          <w:szCs w:val="40"/>
          <w:lang w:val="en-GB"/>
        </w:rPr>
        <w:fldChar w:fldCharType="begin" w:fldLock="1"/>
      </w:r>
      <w:r w:rsidRPr="00E97FC1">
        <w:rPr>
          <w:rFonts w:cs="Times New Roman"/>
          <w:szCs w:val="40"/>
          <w:lang w:val="en-GB"/>
        </w:rPr>
        <w:instrText>ADDIN CSL_CITATION {"citationItems":[{"id":"ITEM-1","itemData":{"DOI":"10.1016/j.febslet.2007.11.048","ISSN":"0014-5793 (Print)","PMID":"18037377","abstract":"Conditions for the reversible dissociation of flavin mononucleotide (FMN) from  the membrane-bound mitochondrial NADH:ubiquinone oxidoreductase (complex I) are described. The catalytic activities of the enzyme, i.e. rotenone-insensitive NADH:hexaammineruthenium III reductase and rotenone-sensitive NADH:quinone reductase decline when bovine heart submitochondrial particles are incubated with NADH in the presence of rotenone or cyanide at alkaline pH. FMN protects and fully restores the NADH-induced inactivation whereas riboflavin and flavin adenine dinucleotide do not. The data show that the reduction of complex I significantly weakens the binding of FMN to protein thus resulting in its dissociation when the concentration of holoenzyme is comparable with K(d ( approximately 10(-8)M at pH 10.0).","author":[{"dropping-particle":"","family":"Gostimskaya","given":"Irina S","non-dropping-particle":"","parse-names":false,"suffix":""},{"dropping-particle":"","family":"Grivennikova","given":"Vera G","non-dropping-particle":"","parse-names":false,"suffix":""},{"dropping-particle":"","family":"Cecchini","given":"Gary","non-dropping-particle":"","parse-names":false,"suffix":""},{"dropping-particle":"","family":"Vinogradov","given":"Andrei D","non-dropping-particle":"","parse-names":false,"suffix":""}],"container-title":"FEBS letters","id":"ITEM-1","issue":"30","issued":{"date-parts":[["2007","12"]]},"language":"eng","page":"5803-5806","publisher-place":"England","title":"Reversible dissociation of flavin mononucleotide from the mammalian  membrane-bound NADH: ubiquinone oxidoreductase (complex I).","type":"article-journal","volume":"581"},"uris":["http://www.mendeley.com/documents/?uuid=591da646-1260-4ebe-b613-10c52507b751","http://www.mendeley.com/documents/?uuid=2cc3ee14-abc6-40d6-8391-28e4a04db3ca"]}],"mendeley":{"formattedCitation":"(Gostimskaya &lt;i&gt;et al&lt;/i&gt;, 2007)","plainTextFormattedCitation":"(Gostimskaya et al, 2007)","previouslyFormattedCitation":"(Gostimskaya &lt;i&gt;et al&lt;/i&gt;, 2007)"},"properties":{"noteIndex":0},"schema":"https://github.com/citation-style-language/schema/raw/master/csl-citation.json"}</w:instrText>
      </w:r>
      <w:r w:rsidRPr="00E97FC1">
        <w:rPr>
          <w:rFonts w:cs="Times New Roman"/>
          <w:szCs w:val="40"/>
          <w:lang w:val="en-GB"/>
        </w:rPr>
        <w:fldChar w:fldCharType="separate"/>
      </w:r>
      <w:r w:rsidRPr="00E97FC1">
        <w:rPr>
          <w:rFonts w:cs="Times New Roman"/>
          <w:noProof/>
          <w:szCs w:val="40"/>
          <w:lang w:val="en-GB"/>
        </w:rPr>
        <w:t xml:space="preserve">(Gostimskaya </w:t>
      </w:r>
      <w:r w:rsidRPr="00E97FC1">
        <w:rPr>
          <w:rFonts w:cs="Times New Roman"/>
          <w:i/>
          <w:noProof/>
          <w:szCs w:val="40"/>
          <w:lang w:val="en-GB"/>
        </w:rPr>
        <w:t>et al</w:t>
      </w:r>
      <w:r w:rsidRPr="00E97FC1">
        <w:rPr>
          <w:rFonts w:cs="Times New Roman"/>
          <w:noProof/>
          <w:szCs w:val="40"/>
          <w:lang w:val="en-GB"/>
        </w:rPr>
        <w:t>, 2007)</w:t>
      </w:r>
      <w:r w:rsidRPr="00E97FC1">
        <w:rPr>
          <w:rFonts w:cs="Times New Roman"/>
          <w:szCs w:val="40"/>
          <w:lang w:val="en-GB"/>
        </w:rPr>
        <w:fldChar w:fldCharType="end"/>
      </w:r>
      <w:r w:rsidRPr="00E97FC1">
        <w:rPr>
          <w:rFonts w:cs="Times New Roman"/>
          <w:szCs w:val="40"/>
          <w:lang w:val="en-GB"/>
        </w:rPr>
        <w:t xml:space="preserve"> enzyme is reduced by NADH in the absence of electron acceptors (DQ or FeCy), FMN reversibly dissociates from the complex, as a possible mechanism for the prevention of ROS production </w:t>
      </w:r>
      <w:r w:rsidRPr="00E97FC1">
        <w:rPr>
          <w:rFonts w:cs="Times New Roman"/>
          <w:szCs w:val="40"/>
          <w:lang w:val="en-GB"/>
        </w:rPr>
        <w:fldChar w:fldCharType="begin" w:fldLock="1"/>
      </w:r>
      <w:r w:rsidRPr="00E97FC1">
        <w:rPr>
          <w:rFonts w:cs="Times New Roman"/>
          <w:szCs w:val="40"/>
          <w:lang w:val="en-GB"/>
        </w:rPr>
        <w:instrText>ADDIN CSL_CITATION {"citationItems":[{"id":"ITEM-1","itemData":{"DOI":"10.1016/j.bbabio.2016.08.008","ISSN":"0006-3002 (Print)","PMID":"27555334","abstract":"Respiratory complex I transfers electrons from NADH to quinone, utilizing the  reaction energy to translocate protons across the membrane. It is a key enzyme of the respiratory chain of many prokaryotic and most eukaryotic organisms. The reversible NADH oxidation reaction is facilitated in complex I by non-covalently bound flavin mononucleotide (FMN). Here we report that the catalytic activity of E. coli complex I with artificial electron acceptors potassium ferricyanide (FeCy) and hexaamineruthenium (HAR) is significantly inhibited in the enzyme pre-reduced by NADH. Further, we demonstrate that the inhibition is caused by reversible dissociation of FMN. The binding constant (K(d)) for FMN increases from the femto- or picomolar range in oxidized complex I to the nanomolar range in the NADH reduced enzyme, with an FMN dissociation time constant of ~5s. The oxidation state of complex I, rather than that of FMN, proved critical to the dissociation. Such dissociation is not observed with the T. thermophilus enzyme and our analysis suggests that the difference may be due to the unusually high redox potential of Fe-S cluster N1a in E. coli. It is possible that the enzyme attenuates ROS production in vivo by releasing FMN under highly reducing conditions.","author":[{"dropping-particle":"","family":"Holt","given":"Peter J","non-dropping-particle":"","parse-names":false,"suffix":""},{"dropping-particle":"","family":"Efremov","given":"Rouslan G","non-dropping-particle":"","parse-names":false,"suffix":""},{"dropping-particle":"","family":"Nakamaru-Ogiso","given":"Eiko","non-dropping-particle":"","parse-names":false,"suffix":""},{"dropping-particle":"","family":"Sazanov","given":"Leonid A","non-dropping-particle":"","parse-names":false,"suffix":""}],"container-title":"Biochimica et biophysica acta","id":"ITEM-1","issue":"11","issued":{"date-parts":[["2016","11"]]},"language":"eng","page":"1777-1785","publisher-place":"Netherlands","title":"Reversible FMN dissociation from Escherichia coli respiratory complex I.","type":"article-journal","volume":"1857"},"uris":["http://www.mendeley.com/documents/?uuid=9b06e573-6bea-416c-aebe-055e91e3c7bc"]}],"mendeley":{"formattedCitation":"(Holt &lt;i&gt;et al&lt;/i&gt;, 2016)","plainTextFormattedCitation":"(Holt et al, 2016)","previouslyFormattedCitation":"(Holt &lt;i&gt;et al&lt;/i&gt;, 2016)"},"properties":{"noteIndex":0},"schema":"https://github.com/citation-style-language/schema/raw/master/csl-citation.json"}</w:instrText>
      </w:r>
      <w:r w:rsidRPr="00E97FC1">
        <w:rPr>
          <w:rFonts w:cs="Times New Roman"/>
          <w:szCs w:val="40"/>
          <w:lang w:val="en-GB"/>
        </w:rPr>
        <w:fldChar w:fldCharType="separate"/>
      </w:r>
      <w:r w:rsidRPr="00E97FC1">
        <w:rPr>
          <w:rFonts w:cs="Times New Roman"/>
          <w:noProof/>
          <w:szCs w:val="40"/>
          <w:lang w:val="en-GB"/>
        </w:rPr>
        <w:t xml:space="preserve">(Holt </w:t>
      </w:r>
      <w:r w:rsidRPr="00E97FC1">
        <w:rPr>
          <w:rFonts w:cs="Times New Roman"/>
          <w:i/>
          <w:noProof/>
          <w:szCs w:val="40"/>
          <w:lang w:val="en-GB"/>
        </w:rPr>
        <w:t>et al</w:t>
      </w:r>
      <w:r w:rsidRPr="00E97FC1">
        <w:rPr>
          <w:rFonts w:cs="Times New Roman"/>
          <w:noProof/>
          <w:szCs w:val="40"/>
          <w:lang w:val="en-GB"/>
        </w:rPr>
        <w:t>, 2016)</w:t>
      </w:r>
      <w:r w:rsidRPr="00E97FC1">
        <w:rPr>
          <w:rFonts w:cs="Times New Roman"/>
          <w:szCs w:val="40"/>
          <w:lang w:val="en-GB"/>
        </w:rPr>
        <w:fldChar w:fldCharType="end"/>
      </w:r>
      <w:r w:rsidRPr="00E97FC1">
        <w:rPr>
          <w:rFonts w:cs="Times New Roman"/>
          <w:szCs w:val="40"/>
          <w:lang w:val="en-GB"/>
        </w:rPr>
        <w:t>. The dissociation is prevented at high protein concentrations when protein-</w:t>
      </w:r>
      <w:r w:rsidRPr="00E97FC1">
        <w:rPr>
          <w:rFonts w:cs="Times New Roman"/>
          <w:szCs w:val="40"/>
          <w:lang w:val="en-GB"/>
        </w:rPr>
        <w:lastRenderedPageBreak/>
        <w:t xml:space="preserve">bound FMN concentration exceeds the </w:t>
      </w:r>
      <w:r w:rsidRPr="00E97FC1">
        <w:rPr>
          <w:rFonts w:cs="Times New Roman"/>
          <w:i/>
          <w:szCs w:val="40"/>
          <w:lang w:val="en-GB"/>
        </w:rPr>
        <w:t>K</w:t>
      </w:r>
      <w:r w:rsidRPr="00E97FC1">
        <w:rPr>
          <w:rFonts w:cs="Times New Roman"/>
          <w:szCs w:val="40"/>
          <w:vertAlign w:val="subscript"/>
          <w:lang w:val="en-GB"/>
        </w:rPr>
        <w:t>d</w:t>
      </w:r>
      <w:r w:rsidRPr="00E97FC1">
        <w:rPr>
          <w:rFonts w:cs="Times New Roman"/>
          <w:szCs w:val="40"/>
          <w:lang w:val="en-GB"/>
        </w:rPr>
        <w:t xml:space="preserve"> for FMN dissociation </w:t>
      </w:r>
      <w:r w:rsidRPr="00E97FC1">
        <w:rPr>
          <w:rFonts w:cs="Times New Roman"/>
          <w:szCs w:val="40"/>
          <w:lang w:val="en-GB"/>
        </w:rPr>
        <w:fldChar w:fldCharType="begin" w:fldLock="1"/>
      </w:r>
      <w:r w:rsidRPr="00E97FC1">
        <w:rPr>
          <w:rFonts w:cs="Times New Roman"/>
          <w:szCs w:val="40"/>
          <w:lang w:val="en-GB"/>
        </w:rPr>
        <w:instrText>ADDIN CSL_CITATION {"citationItems":[{"id":"ITEM-1","itemData":{"DOI":"10.1016/j.bbabio.2016.08.008","ISSN":"0006-3002 (Print)","PMID":"27555334","abstract":"Respiratory complex I transfers electrons from NADH to quinone, utilizing the  reaction energy to translocate protons across the membrane. It is a key enzyme of the respiratory chain of many prokaryotic and most eukaryotic organisms. The reversible NADH oxidation reaction is facilitated in complex I by non-covalently bound flavin mononucleotide (FMN). Here we report that the catalytic activity of E. coli complex I with artificial electron acceptors potassium ferricyanide (FeCy) and hexaamineruthenium (HAR) is significantly inhibited in the enzyme pre-reduced by NADH. Further, we demonstrate that the inhibition is caused by reversible dissociation of FMN. The binding constant (K(d)) for FMN increases from the femto- or picomolar range in oxidized complex I to the nanomolar range in the NADH reduced enzyme, with an FMN dissociation time constant of ~5s. The oxidation state of complex I, rather than that of FMN, proved critical to the dissociation. Such dissociation is not observed with the T. thermophilus enzyme and our analysis suggests that the difference may be due to the unusually high redox potential of Fe-S cluster N1a in E. coli. It is possible that the enzyme attenuates ROS production in vivo by releasing FMN under highly reducing conditions.","author":[{"dropping-particle":"","family":"Holt","given":"Peter J","non-dropping-particle":"","parse-names":false,"suffix":""},{"dropping-particle":"","family":"Efremov","given":"Rouslan G","non-dropping-particle":"","parse-names":false,"suffix":""},{"dropping-particle":"","family":"Nakamaru-Ogiso","given":"Eiko","non-dropping-particle":"","parse-names":false,"suffix":""},{"dropping-particle":"","family":"Sazanov","given":"Leonid A","non-dropping-particle":"","parse-names":false,"suffix":""}],"container-title":"Biochimica et biophysica acta","id":"ITEM-1","issue":"11","issued":{"date-parts":[["2016","11"]]},"language":"eng","page":"1777-1785","publisher-place":"Netherlands","title":"Reversible FMN dissociation from Escherichia coli respiratory complex I.","type":"article-journal","volume":"1857"},"uris":["http://www.mendeley.com/documents/?uuid=9b06e573-6bea-416c-aebe-055e91e3c7bc"]}],"mendeley":{"formattedCitation":"(Holt &lt;i&gt;et al&lt;/i&gt;, 2016)","plainTextFormattedCitation":"(Holt et al, 2016)","previouslyFormattedCitation":"(Holt &lt;i&gt;et al&lt;/i&gt;, 2016)"},"properties":{"noteIndex":0},"schema":"https://github.com/citation-style-language/schema/raw/master/csl-citation.json"}</w:instrText>
      </w:r>
      <w:r w:rsidRPr="00E97FC1">
        <w:rPr>
          <w:rFonts w:cs="Times New Roman"/>
          <w:szCs w:val="40"/>
          <w:lang w:val="en-GB"/>
        </w:rPr>
        <w:fldChar w:fldCharType="separate"/>
      </w:r>
      <w:r w:rsidRPr="00E97FC1">
        <w:rPr>
          <w:rFonts w:cs="Times New Roman"/>
          <w:noProof/>
          <w:szCs w:val="40"/>
          <w:lang w:val="en-GB"/>
        </w:rPr>
        <w:t xml:space="preserve">(Holt </w:t>
      </w:r>
      <w:r w:rsidRPr="00E97FC1">
        <w:rPr>
          <w:rFonts w:cs="Times New Roman"/>
          <w:i/>
          <w:noProof/>
          <w:szCs w:val="40"/>
          <w:lang w:val="en-GB"/>
        </w:rPr>
        <w:t>et al</w:t>
      </w:r>
      <w:r w:rsidRPr="00E97FC1">
        <w:rPr>
          <w:rFonts w:cs="Times New Roman"/>
          <w:noProof/>
          <w:szCs w:val="40"/>
          <w:lang w:val="en-GB"/>
        </w:rPr>
        <w:t>, 2016)</w:t>
      </w:r>
      <w:r w:rsidRPr="00E97FC1">
        <w:rPr>
          <w:rFonts w:cs="Times New Roman"/>
          <w:szCs w:val="40"/>
          <w:lang w:val="en-GB"/>
        </w:rPr>
        <w:fldChar w:fldCharType="end"/>
      </w:r>
      <w:r w:rsidRPr="00E97FC1">
        <w:rPr>
          <w:rFonts w:cs="Times New Roman"/>
          <w:szCs w:val="40"/>
          <w:lang w:val="en-GB"/>
        </w:rPr>
        <w:t xml:space="preserve">. Our DDM datasets were obtained with high </w:t>
      </w:r>
      <w:r w:rsidRPr="00E97FC1">
        <w:rPr>
          <w:rFonts w:cs="Times New Roman"/>
          <w:i/>
          <w:szCs w:val="40"/>
          <w:lang w:val="en-GB"/>
        </w:rPr>
        <w:t>Ec</w:t>
      </w:r>
      <w:r w:rsidRPr="00E97FC1">
        <w:rPr>
          <w:rFonts w:cs="Times New Roman"/>
          <w:szCs w:val="40"/>
          <w:lang w:val="en-GB"/>
        </w:rPr>
        <w:t>CI concentration on a grid, 8-10 mg/ml, as compared to ~0.2 mg/ml in DDM/LMNG, due to the use of the carbon support in the latter case. Consistently, in the structure of the reduced enzyme in DDM (DDM_NADH) we did not observe FMN dissociation and saw clear NADH d</w:t>
      </w:r>
      <w:r w:rsidR="00C67CC4">
        <w:rPr>
          <w:rFonts w:cs="Times New Roman"/>
          <w:szCs w:val="40"/>
          <w:lang w:val="en-GB"/>
        </w:rPr>
        <w:t>ensity alongside FMN (Figure 3.4</w:t>
      </w:r>
      <w:r w:rsidRPr="00E97FC1">
        <w:rPr>
          <w:rFonts w:cs="Times New Roman"/>
          <w:szCs w:val="40"/>
          <w:lang w:val="en-GB"/>
        </w:rPr>
        <w:t xml:space="preserve">a). However, in </w:t>
      </w:r>
      <w:r w:rsidRPr="00E97FC1">
        <w:rPr>
          <w:rFonts w:cs="Times New Roman"/>
          <w:szCs w:val="24"/>
          <w:lang w:val="en-GB"/>
        </w:rPr>
        <w:t>DDM/LMNG_PieA+NADH</w:t>
      </w:r>
      <w:r w:rsidRPr="00E97FC1">
        <w:rPr>
          <w:rFonts w:cs="Times New Roman"/>
          <w:szCs w:val="40"/>
          <w:lang w:val="en-GB"/>
        </w:rPr>
        <w:t xml:space="preserve"> dataset substantial parts of NuoF and NuoE subunits (including FMN) were disordered an</w:t>
      </w:r>
      <w:r w:rsidR="00C67CC4">
        <w:rPr>
          <w:rFonts w:cs="Times New Roman"/>
          <w:szCs w:val="40"/>
          <w:lang w:val="en-GB"/>
        </w:rPr>
        <w:t>d had a weak density (Figure 3.4</w:t>
      </w:r>
      <w:r w:rsidRPr="00E97FC1">
        <w:rPr>
          <w:rFonts w:cs="Times New Roman"/>
          <w:szCs w:val="40"/>
          <w:lang w:val="en-GB"/>
        </w:rPr>
        <w:t xml:space="preserve">c). In the </w:t>
      </w:r>
      <w:r w:rsidRPr="00E97FC1">
        <w:rPr>
          <w:rFonts w:cs="Times New Roman"/>
          <w:szCs w:val="24"/>
          <w:lang w:val="en-GB"/>
        </w:rPr>
        <w:t>DDM/LMNG_NADH+FMN</w:t>
      </w:r>
      <w:r w:rsidRPr="00E97FC1">
        <w:rPr>
          <w:rFonts w:cs="Times New Roman"/>
          <w:szCs w:val="40"/>
          <w:lang w:val="en-GB"/>
        </w:rPr>
        <w:t xml:space="preserve"> dataset, external FMN was added, which according to the experimental data recovers the electron transfer activity </w:t>
      </w:r>
      <w:r w:rsidRPr="00E97FC1">
        <w:rPr>
          <w:rFonts w:cs="Times New Roman"/>
          <w:szCs w:val="40"/>
          <w:lang w:val="en-GB"/>
        </w:rPr>
        <w:fldChar w:fldCharType="begin" w:fldLock="1"/>
      </w:r>
      <w:r w:rsidRPr="00E97FC1">
        <w:rPr>
          <w:rFonts w:cs="Times New Roman"/>
          <w:szCs w:val="40"/>
          <w:lang w:val="en-GB"/>
        </w:rPr>
        <w:instrText>ADDIN CSL_CITATION {"citationItems":[{"id":"ITEM-1","itemData":{"DOI":"10.1016/j.bbabio.2016.08.008","ISSN":"0006-3002 (Print)","PMID":"27555334","abstract":"Respiratory complex I transfers electrons from NADH to quinone, utilizing the  reaction energy to translocate protons across the membrane. It is a key enzyme of the respiratory chain of many prokaryotic and most eukaryotic organisms. The reversible NADH oxidation reaction is facilitated in complex I by non-covalently bound flavin mononucleotide (FMN). Here we report that the catalytic activity of E. coli complex I with artificial electron acceptors potassium ferricyanide (FeCy) and hexaamineruthenium (HAR) is significantly inhibited in the enzyme pre-reduced by NADH. Further, we demonstrate that the inhibition is caused by reversible dissociation of FMN. The binding constant (K(d)) for FMN increases from the femto- or picomolar range in oxidized complex I to the nanomolar range in the NADH reduced enzyme, with an FMN dissociation time constant of ~5s. The oxidation state of complex I, rather than that of FMN, proved critical to the dissociation. Such dissociation is not observed with the T. thermophilus enzyme and our analysis suggests that the difference may be due to the unusually high redox potential of Fe-S cluster N1a in E. coli. It is possible that the enzyme attenuates ROS production in vivo by releasing FMN under highly reducing conditions.","author":[{"dropping-particle":"","family":"Holt","given":"Peter J","non-dropping-particle":"","parse-names":false,"suffix":""},{"dropping-particle":"","family":"Efremov","given":"Rouslan G","non-dropping-particle":"","parse-names":false,"suffix":""},{"dropping-particle":"","family":"Nakamaru-Ogiso","given":"Eiko","non-dropping-particle":"","parse-names":false,"suffix":""},{"dropping-particle":"","family":"Sazanov","given":"Leonid A","non-dropping-particle":"","parse-names":false,"suffix":""}],"container-title":"Biochimica et biophysica acta","id":"ITEM-1","issue":"11","issued":{"date-parts":[["2016","11"]]},"language":"eng","page":"1777-1785","publisher-place":"Netherlands","title":"Reversible FMN dissociation from Escherichia coli respiratory complex I.","type":"article-journal","volume":"1857"},"uris":["http://www.mendeley.com/documents/?uuid=9b06e573-6bea-416c-aebe-055e91e3c7bc"]}],"mendeley":{"formattedCitation":"(Holt &lt;i&gt;et al&lt;/i&gt;, 2016)","plainTextFormattedCitation":"(Holt et al, 2016)","previouslyFormattedCitation":"(Holt &lt;i&gt;et al&lt;/i&gt;, 2016)"},"properties":{"noteIndex":0},"schema":"https://github.com/citation-style-language/schema/raw/master/csl-citation.json"}</w:instrText>
      </w:r>
      <w:r w:rsidRPr="00E97FC1">
        <w:rPr>
          <w:rFonts w:cs="Times New Roman"/>
          <w:szCs w:val="40"/>
          <w:lang w:val="en-GB"/>
        </w:rPr>
        <w:fldChar w:fldCharType="separate"/>
      </w:r>
      <w:r w:rsidRPr="00E97FC1">
        <w:rPr>
          <w:rFonts w:cs="Times New Roman"/>
          <w:noProof/>
          <w:szCs w:val="40"/>
          <w:lang w:val="en-GB"/>
        </w:rPr>
        <w:t xml:space="preserve">(Holt </w:t>
      </w:r>
      <w:r w:rsidRPr="00E97FC1">
        <w:rPr>
          <w:rFonts w:cs="Times New Roman"/>
          <w:i/>
          <w:noProof/>
          <w:szCs w:val="40"/>
          <w:lang w:val="en-GB"/>
        </w:rPr>
        <w:t>et al</w:t>
      </w:r>
      <w:r w:rsidRPr="00E97FC1">
        <w:rPr>
          <w:rFonts w:cs="Times New Roman"/>
          <w:noProof/>
          <w:szCs w:val="40"/>
          <w:lang w:val="en-GB"/>
        </w:rPr>
        <w:t>, 2016)</w:t>
      </w:r>
      <w:r w:rsidRPr="00E97FC1">
        <w:rPr>
          <w:rFonts w:cs="Times New Roman"/>
          <w:szCs w:val="40"/>
          <w:lang w:val="en-GB"/>
        </w:rPr>
        <w:fldChar w:fldCharType="end"/>
      </w:r>
      <w:r w:rsidRPr="00E97FC1">
        <w:rPr>
          <w:rFonts w:cs="Times New Roman"/>
          <w:szCs w:val="40"/>
          <w:lang w:val="en-GB"/>
        </w:rPr>
        <w:t>. Indeed, we observed stronger FMN density, although NuoF and E subunits were still subs</w:t>
      </w:r>
      <w:r w:rsidR="00C67CC4">
        <w:rPr>
          <w:rFonts w:cs="Times New Roman"/>
          <w:szCs w:val="40"/>
          <w:lang w:val="en-GB"/>
        </w:rPr>
        <w:t>tantially disordered (Figure 3.4</w:t>
      </w:r>
      <w:r w:rsidRPr="00E97FC1">
        <w:rPr>
          <w:rFonts w:cs="Times New Roman"/>
          <w:szCs w:val="40"/>
          <w:lang w:val="en-GB"/>
        </w:rPr>
        <w:t xml:space="preserve">d). These data unequivocally confirm our original proposal that FMN dissociates under these conditions, in contrast to alternative explanations </w:t>
      </w:r>
      <w:r w:rsidRPr="00E97FC1">
        <w:rPr>
          <w:rFonts w:cs="Times New Roman"/>
          <w:szCs w:val="40"/>
          <w:lang w:val="en-GB"/>
        </w:rPr>
        <w:fldChar w:fldCharType="begin" w:fldLock="1"/>
      </w:r>
      <w:r w:rsidRPr="00E97FC1">
        <w:rPr>
          <w:rFonts w:cs="Times New Roman"/>
          <w:szCs w:val="40"/>
          <w:lang w:val="en-GB"/>
        </w:rPr>
        <w:instrText>ADDIN CSL_CITATION {"citationItems":[{"id":"ITEM-1","itemData":{"DOI":"10.1038/s41598-017-09345-4","ISSN":"2045-2322 (Electronic)","PMID":"28821859","abstract":"Respiratory complex I couples the electron transfer from NADH to ubiquinone with  the translocation of protons across the membrane. The reaction starts with NADH oxidation by a flavin cofactor followed by transferring the electrons through a chain of seven iron-sulphur clusters to quinone. An eighth cluster called N1a is located proximally to flavin, but on the opposite side of the chain of clusters. N1a is strictly conserved although not involved in the direct electron transfer to quinone. Here, we show that the NADH:ferricyanide oxidoreductase activity of E. coli complex I is strongly diminished when the reaction is initiated by an addition of ferricyanide instead of NADH. This effect is significantly less pronounced in a variant containing N1a with a 100 mV more negative redox potential. Detailed kinetic analysis revealed that the reduced activity is due to a lower dissociation constant of bound NAD(+). Thus, reduction of N1a induces local structural rearrangements of the protein that stabilise binding of NAD(+). The variant features a considerably enhanced production of reactive oxygen species indicating that bound NAD(+) represses this process.","author":[{"dropping-particle":"","family":"Gnandt","given":"Emmanuel","non-dropping-particle":"","parse-names":false,"suffix":""},{"dropping-particle":"","family":"Schimpf","given":"Johannes","non-dropping-particle":"","parse-names":false,"suffix":""},{"dropping-particle":"","family":"Harter","given":"Caroline","non-dropping-particle":"","parse-names":false,"suffix":""},{"dropping-particle":"","family":"Hoeser","given":"Jo","non-dropping-particle":"","parse-names":false,"suffix":""},{"dropping-particle":"","family":"Friedrich","given":"Thorsten","non-dropping-particle":"","parse-names":false,"suffix":""}],"container-title":"Scientific reports","id":"ITEM-1","issue":"1","issued":{"date-parts":[["2017","8"]]},"language":"eng","page":"8754","publisher-place":"England","title":"Reduction of the off-pathway iron-sulphur cluster N1a of Escherichia coli  respiratory complex I restrains NAD(+) dissociation.","type":"article-journal","volume":"7"},"uris":["http://www.mendeley.com/documents/?uuid=7ccb54b3-ab4d-48fe-8608-b4d6eeefe92a","http://www.mendeley.com/documents/?uuid=c5844311-50ce-47f6-ba8c-9226b9defb2c"]}],"mendeley":{"formattedCitation":"(Gnandt &lt;i&gt;et al&lt;/i&gt;, 2017)","plainTextFormattedCitation":"(Gnandt et al, 2017)","previouslyFormattedCitation":"(Gnandt &lt;i&gt;et al&lt;/i&gt;, 2017)"},"properties":{"noteIndex":0},"schema":"https://github.com/citation-style-language/schema/raw/master/csl-citation.json"}</w:instrText>
      </w:r>
      <w:r w:rsidRPr="00E97FC1">
        <w:rPr>
          <w:rFonts w:cs="Times New Roman"/>
          <w:szCs w:val="40"/>
          <w:lang w:val="en-GB"/>
        </w:rPr>
        <w:fldChar w:fldCharType="separate"/>
      </w:r>
      <w:r w:rsidRPr="00E97FC1">
        <w:rPr>
          <w:rFonts w:cs="Times New Roman"/>
          <w:noProof/>
          <w:szCs w:val="40"/>
          <w:lang w:val="en-GB"/>
        </w:rPr>
        <w:t xml:space="preserve">(Gnandt </w:t>
      </w:r>
      <w:r w:rsidRPr="00E97FC1">
        <w:rPr>
          <w:rFonts w:cs="Times New Roman"/>
          <w:i/>
          <w:noProof/>
          <w:szCs w:val="40"/>
          <w:lang w:val="en-GB"/>
        </w:rPr>
        <w:t>et al</w:t>
      </w:r>
      <w:r w:rsidRPr="00E97FC1">
        <w:rPr>
          <w:rFonts w:cs="Times New Roman"/>
          <w:noProof/>
          <w:szCs w:val="40"/>
          <w:lang w:val="en-GB"/>
        </w:rPr>
        <w:t>, 2017)</w:t>
      </w:r>
      <w:r w:rsidRPr="00E97FC1">
        <w:rPr>
          <w:rFonts w:cs="Times New Roman"/>
          <w:szCs w:val="40"/>
          <w:lang w:val="en-GB"/>
        </w:rPr>
        <w:fldChar w:fldCharType="end"/>
      </w:r>
      <w:r w:rsidRPr="00E97FC1">
        <w:rPr>
          <w:rFonts w:cs="Times New Roman"/>
          <w:szCs w:val="40"/>
          <w:lang w:val="en-GB"/>
        </w:rPr>
        <w:t>.</w:t>
      </w:r>
    </w:p>
    <w:p w14:paraId="051F86A2" w14:textId="77777777" w:rsidR="00CE3E6F" w:rsidRPr="00E97FC1" w:rsidRDefault="00CE3E6F" w:rsidP="00CE3E6F">
      <w:pPr>
        <w:ind w:firstLine="720"/>
        <w:jc w:val="center"/>
        <w:rPr>
          <w:rFonts w:cs="Times New Roman"/>
          <w:szCs w:val="40"/>
          <w:lang w:val="en-GB"/>
        </w:rPr>
      </w:pPr>
      <w:r w:rsidRPr="00E97FC1">
        <w:rPr>
          <w:rFonts w:cs="Times New Roman"/>
          <w:noProof/>
          <w:szCs w:val="40"/>
        </w:rPr>
        <w:drawing>
          <wp:inline distT="0" distB="0" distL="0" distR="0" wp14:anchorId="220E16A8" wp14:editId="1187E182">
            <wp:extent cx="4858247" cy="3617547"/>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9">
                      <a:extLst>
                        <a:ext uri="{28A0092B-C50C-407E-A947-70E740481C1C}">
                          <a14:useLocalDpi xmlns:a14="http://schemas.microsoft.com/office/drawing/2010/main" val="0"/>
                        </a:ext>
                      </a:extLst>
                    </a:blip>
                    <a:srcRect l="1803" t="6714" r="1521" b="1583"/>
                    <a:stretch/>
                  </pic:blipFill>
                  <pic:spPr bwMode="auto">
                    <a:xfrm>
                      <a:off x="0" y="0"/>
                      <a:ext cx="4871914" cy="3627724"/>
                    </a:xfrm>
                    <a:prstGeom prst="rect">
                      <a:avLst/>
                    </a:prstGeom>
                    <a:noFill/>
                    <a:ln>
                      <a:noFill/>
                    </a:ln>
                    <a:extLst>
                      <a:ext uri="{53640926-AAD7-44D8-BBD7-CCE9431645EC}">
                        <a14:shadowObscured xmlns:a14="http://schemas.microsoft.com/office/drawing/2010/main"/>
                      </a:ext>
                    </a:extLst>
                  </pic:spPr>
                </pic:pic>
              </a:graphicData>
            </a:graphic>
          </wp:inline>
        </w:drawing>
      </w:r>
    </w:p>
    <w:p w14:paraId="257CAF39" w14:textId="55B3DBAC" w:rsidR="00CE3E6F" w:rsidRPr="00E97FC1" w:rsidRDefault="00CE3E6F" w:rsidP="00CE3E6F">
      <w:pPr>
        <w:pStyle w:val="Caption"/>
      </w:pPr>
      <w:bookmarkStart w:id="111" w:name="_Toc121834120"/>
      <w:bookmarkStart w:id="112" w:name="_Toc128136632"/>
      <w:r w:rsidRPr="00E97FC1">
        <w:t xml:space="preserve">Figure </w:t>
      </w:r>
      <w:r w:rsidR="00CC7652">
        <w:fldChar w:fldCharType="begin"/>
      </w:r>
      <w:r w:rsidR="00CC7652">
        <w:instrText xml:space="preserve"> STYLEREF 1 \s </w:instrText>
      </w:r>
      <w:r w:rsidR="00CC7652">
        <w:fldChar w:fldCharType="separate"/>
      </w:r>
      <w:r w:rsidR="00ED1816">
        <w:rPr>
          <w:noProof/>
        </w:rPr>
        <w:t>3</w:t>
      </w:r>
      <w:r w:rsidR="00CC7652">
        <w:fldChar w:fldCharType="end"/>
      </w:r>
      <w:r w:rsidR="00CC7652">
        <w:t>.</w:t>
      </w:r>
      <w:r w:rsidR="00CC7652">
        <w:fldChar w:fldCharType="begin"/>
      </w:r>
      <w:r w:rsidR="00CC7652">
        <w:instrText xml:space="preserve"> SEQ Figure \* ARABIC \s 1 </w:instrText>
      </w:r>
      <w:r w:rsidR="00CC7652">
        <w:fldChar w:fldCharType="separate"/>
      </w:r>
      <w:r w:rsidR="00ED1816">
        <w:rPr>
          <w:noProof/>
        </w:rPr>
        <w:t>4</w:t>
      </w:r>
      <w:r w:rsidR="00CC7652">
        <w:fldChar w:fldCharType="end"/>
      </w:r>
      <w:r w:rsidRPr="00E97FC1">
        <w:t xml:space="preserve"> Cryo-EM density of the FMN binding site at different conditions in the presence of NADH</w:t>
      </w:r>
      <w:bookmarkEnd w:id="111"/>
      <w:bookmarkEnd w:id="112"/>
    </w:p>
    <w:p w14:paraId="3B5AE44A" w14:textId="65EB5161" w:rsidR="00CE3E6F" w:rsidRPr="00E97FC1" w:rsidRDefault="00CE3E6F" w:rsidP="00CE3E6F">
      <w:pPr>
        <w:rPr>
          <w:i/>
          <w:sz w:val="20"/>
          <w:lang w:val="en-GB"/>
        </w:rPr>
      </w:pPr>
      <w:r w:rsidRPr="00E97FC1">
        <w:rPr>
          <w:rFonts w:cs="Times New Roman"/>
          <w:i/>
          <w:sz w:val="20"/>
          <w:szCs w:val="24"/>
          <w:lang w:val="en-GB"/>
        </w:rPr>
        <w:t xml:space="preserve">NuoFE subunits are highlighted with a dashed circle, FMN and NADH are indicated by the orange and yellow arrows, respectively. The concentration of CI applied to EM grids was ~10 mg/ml in condition A and ~0.2 mg/ml in conditions B-D. </w:t>
      </w:r>
      <w:r w:rsidRPr="00E97FC1">
        <w:rPr>
          <w:rFonts w:cs="Times New Roman"/>
          <w:b/>
          <w:i/>
          <w:sz w:val="20"/>
          <w:szCs w:val="24"/>
          <w:lang w:val="en-GB"/>
        </w:rPr>
        <w:t>A)</w:t>
      </w:r>
      <w:r w:rsidRPr="00E97FC1">
        <w:rPr>
          <w:rFonts w:cs="Times New Roman"/>
          <w:i/>
          <w:sz w:val="20"/>
          <w:szCs w:val="24"/>
          <w:lang w:val="en-GB"/>
        </w:rPr>
        <w:t xml:space="preserve"> When the concentration of the holoenzyme is high (above the K</w:t>
      </w:r>
      <w:r w:rsidRPr="00E97FC1">
        <w:rPr>
          <w:rFonts w:cs="Times New Roman"/>
          <w:i/>
          <w:sz w:val="20"/>
          <w:szCs w:val="24"/>
          <w:vertAlign w:val="subscript"/>
          <w:lang w:val="en-GB"/>
        </w:rPr>
        <w:t>d</w:t>
      </w:r>
      <w:r w:rsidRPr="00E97FC1">
        <w:rPr>
          <w:rFonts w:cs="Times New Roman"/>
          <w:i/>
          <w:sz w:val="20"/>
          <w:szCs w:val="24"/>
          <w:lang w:val="en-GB"/>
        </w:rPr>
        <w:t xml:space="preserve"> for FMN dissociation) NuoFE, FMN and NADH all have clear densities. </w:t>
      </w:r>
      <w:r w:rsidRPr="00E97FC1">
        <w:rPr>
          <w:rFonts w:cs="Times New Roman"/>
          <w:b/>
          <w:i/>
          <w:sz w:val="20"/>
          <w:szCs w:val="24"/>
          <w:lang w:val="en-GB"/>
        </w:rPr>
        <w:t>B)</w:t>
      </w:r>
      <w:r w:rsidRPr="00E97FC1">
        <w:rPr>
          <w:rFonts w:cs="Times New Roman"/>
          <w:i/>
          <w:sz w:val="20"/>
          <w:szCs w:val="24"/>
          <w:lang w:val="en-GB"/>
        </w:rPr>
        <w:t xml:space="preserve"> The same is true when the protein concentration is low but a constant electron flow from FMN to DQ occurs during turnover. </w:t>
      </w:r>
      <w:r w:rsidRPr="00E97FC1">
        <w:rPr>
          <w:rFonts w:cs="Times New Roman"/>
          <w:b/>
          <w:i/>
          <w:sz w:val="20"/>
          <w:szCs w:val="24"/>
          <w:lang w:val="en-GB"/>
        </w:rPr>
        <w:t>C)</w:t>
      </w:r>
      <w:r w:rsidRPr="00E97FC1">
        <w:rPr>
          <w:rFonts w:cs="Times New Roman"/>
          <w:i/>
          <w:sz w:val="20"/>
          <w:szCs w:val="24"/>
          <w:lang w:val="en-GB"/>
        </w:rPr>
        <w:t xml:space="preserve"> When the protein concentration is low and the complex is reduced without electron acceptor present, NuoFE subunits get disordered and most of FMN completely dissociates from the active site. </w:t>
      </w:r>
      <w:r w:rsidRPr="00E97FC1">
        <w:rPr>
          <w:rFonts w:cs="Times New Roman"/>
          <w:b/>
          <w:i/>
          <w:sz w:val="20"/>
          <w:szCs w:val="24"/>
          <w:lang w:val="en-GB"/>
        </w:rPr>
        <w:t xml:space="preserve">D) </w:t>
      </w:r>
      <w:r w:rsidRPr="00E97FC1">
        <w:rPr>
          <w:rFonts w:cs="Times New Roman"/>
          <w:i/>
          <w:sz w:val="20"/>
          <w:szCs w:val="24"/>
          <w:lang w:val="en-GB"/>
        </w:rPr>
        <w:t xml:space="preserve">However, FMN remains bound when external excess of FMN is added, even though NuoEF subunits still get disordered. Inserts show zoom-in into FMN/NADH (A, B) and FMN </w:t>
      </w:r>
      <w:r w:rsidRPr="00E97FC1">
        <w:rPr>
          <w:rFonts w:cs="Times New Roman"/>
          <w:i/>
          <w:sz w:val="20"/>
          <w:szCs w:val="24"/>
          <w:lang w:val="en-GB"/>
        </w:rPr>
        <w:lastRenderedPageBreak/>
        <w:t>(C, D) density. Taken together, this data provides additional confirmation of the true turnover condition in B.</w:t>
      </w:r>
      <w:r w:rsidR="00414A2B" w:rsidRPr="00414A2B">
        <w:rPr>
          <w:rFonts w:cs="Times New Roman"/>
          <w:i/>
          <w:sz w:val="20"/>
          <w:szCs w:val="24"/>
          <w:lang w:val="en-GB"/>
        </w:rPr>
        <w:t xml:space="preserve"> Figure adapted from (Kravchuk et al, 2022)</w:t>
      </w:r>
    </w:p>
    <w:p w14:paraId="28F4C8C5" w14:textId="29634BE4" w:rsidR="00CE3E6F" w:rsidRPr="00E97FC1" w:rsidRDefault="00CE3E6F" w:rsidP="00CE3E6F">
      <w:pPr>
        <w:ind w:firstLine="720"/>
        <w:rPr>
          <w:rFonts w:cs="Times New Roman"/>
          <w:szCs w:val="40"/>
          <w:lang w:val="en-GB"/>
        </w:rPr>
      </w:pPr>
      <w:r w:rsidRPr="00E97FC1">
        <w:rPr>
          <w:rFonts w:cs="Times New Roman"/>
          <w:szCs w:val="40"/>
          <w:lang w:val="en-GB"/>
        </w:rPr>
        <w:t>Importantly, in the turnover dataset, FMN, NADH, NuoF and Nu</w:t>
      </w:r>
      <w:r w:rsidR="00C67CC4">
        <w:rPr>
          <w:rFonts w:cs="Times New Roman"/>
          <w:szCs w:val="40"/>
          <w:lang w:val="en-GB"/>
        </w:rPr>
        <w:t>oE all have strong densities (Figure</w:t>
      </w:r>
      <w:r w:rsidRPr="00E97FC1">
        <w:rPr>
          <w:rFonts w:cs="Times New Roman"/>
          <w:szCs w:val="40"/>
          <w:lang w:val="en-GB"/>
        </w:rPr>
        <w:t xml:space="preserve"> 3</w:t>
      </w:r>
      <w:r w:rsidR="00C67CC4">
        <w:rPr>
          <w:rFonts w:cs="Times New Roman"/>
          <w:szCs w:val="40"/>
          <w:lang w:val="en-GB"/>
        </w:rPr>
        <w:t>.4</w:t>
      </w:r>
      <w:r w:rsidRPr="00E97FC1">
        <w:rPr>
          <w:rFonts w:cs="Times New Roman"/>
          <w:szCs w:val="40"/>
          <w:lang w:val="en-GB"/>
        </w:rPr>
        <w:t>b), confirming that the constant electron transfer from NADH to DQ was happening at the time of flash-freezing (otherwise NuoF and NuoE would be disordered and FMN w</w:t>
      </w:r>
      <w:r w:rsidR="00C67CC4">
        <w:rPr>
          <w:rFonts w:cs="Times New Roman"/>
          <w:szCs w:val="40"/>
          <w:lang w:val="en-GB"/>
        </w:rPr>
        <w:t>ould dissociate as in Figure 3.4</w:t>
      </w:r>
      <w:r w:rsidR="000F12F2">
        <w:rPr>
          <w:rFonts w:cs="Times New Roman"/>
          <w:szCs w:val="40"/>
          <w:lang w:val="en-GB"/>
        </w:rPr>
        <w:t>c</w:t>
      </w:r>
      <w:r w:rsidRPr="00E97FC1">
        <w:rPr>
          <w:rFonts w:cs="Times New Roman"/>
          <w:szCs w:val="40"/>
          <w:lang w:val="en-GB"/>
        </w:rPr>
        <w:t xml:space="preserve">). </w:t>
      </w:r>
    </w:p>
    <w:p w14:paraId="54C20528" w14:textId="77777777" w:rsidR="006B318B" w:rsidRPr="00E97FC1" w:rsidRDefault="006B318B" w:rsidP="00CE3E6F">
      <w:pPr>
        <w:ind w:firstLine="720"/>
        <w:rPr>
          <w:lang w:val="en-GB"/>
        </w:rPr>
      </w:pPr>
    </w:p>
    <w:p w14:paraId="324CB596" w14:textId="77777777" w:rsidR="003C3D28" w:rsidRPr="00E97FC1" w:rsidRDefault="00CE3B09" w:rsidP="00F016AD">
      <w:pPr>
        <w:pStyle w:val="Heading2"/>
      </w:pPr>
      <w:bookmarkStart w:id="113" w:name="_Toc132640013"/>
      <w:r w:rsidRPr="00E97FC1">
        <w:t>Conformational dynamics of complex I</w:t>
      </w:r>
      <w:bookmarkEnd w:id="113"/>
    </w:p>
    <w:p w14:paraId="43DEFE1B" w14:textId="77777777" w:rsidR="003C3D28" w:rsidRPr="00E97FC1" w:rsidRDefault="00CE3B09" w:rsidP="00CE3E6F">
      <w:pPr>
        <w:pStyle w:val="Heading3"/>
      </w:pPr>
      <w:bookmarkStart w:id="114" w:name="_Toc132640014"/>
      <w:r w:rsidRPr="00E97FC1">
        <w:t xml:space="preserve">Three conformations of the </w:t>
      </w:r>
      <w:r w:rsidRPr="00E97FC1">
        <w:rPr>
          <w:i/>
        </w:rPr>
        <w:t>E.coli</w:t>
      </w:r>
      <w:r w:rsidRPr="00E97FC1">
        <w:t xml:space="preserve"> complex I</w:t>
      </w:r>
      <w:bookmarkEnd w:id="114"/>
    </w:p>
    <w:p w14:paraId="5CC717A4" w14:textId="0EAF7C6D" w:rsidR="009C0734" w:rsidRPr="00E97FC1" w:rsidRDefault="009C0734" w:rsidP="00CE3E6F">
      <w:pPr>
        <w:ind w:firstLine="720"/>
        <w:rPr>
          <w:rFonts w:cs="Times New Roman"/>
          <w:szCs w:val="24"/>
          <w:lang w:val="en-GB"/>
        </w:rPr>
      </w:pPr>
      <w:r w:rsidRPr="00E97FC1">
        <w:rPr>
          <w:rFonts w:cs="Times New Roman"/>
          <w:szCs w:val="24"/>
          <w:lang w:val="en-GB"/>
        </w:rPr>
        <w:t>DDM datasets may show the “resting” state, where activity is uncoupled from proton pumping</w:t>
      </w:r>
      <w:r w:rsidR="000F1DE7" w:rsidRPr="00E97FC1">
        <w:rPr>
          <w:rFonts w:cs="Times New Roman"/>
          <w:szCs w:val="24"/>
          <w:lang w:val="en-GB"/>
        </w:rPr>
        <w:t xml:space="preserve"> </w:t>
      </w:r>
      <w:r w:rsidR="000F1DE7" w:rsidRPr="00E97FC1">
        <w:rPr>
          <w:rFonts w:cs="Times New Roman"/>
          <w:szCs w:val="24"/>
          <w:lang w:val="en-GB"/>
        </w:rPr>
        <w:fldChar w:fldCharType="begin" w:fldLock="1"/>
      </w:r>
      <w:r w:rsidR="00776703" w:rsidRPr="00E97FC1">
        <w:rPr>
          <w:rFonts w:cs="Times New Roman"/>
          <w:szCs w:val="24"/>
          <w:lang w:val="en-GB"/>
        </w:rPr>
        <w:instrText>ADDIN CSL_CITATION {"citationItems":[{"id":"ITEM-1","itemData":{"DOI":"10.1021/acs.biochem.7b00727","ISSN":"1520-4995 (Electronic)","PMID":"28960069","abstract":"Activation of proton pumping by reconstituted and native membrane-bound Complex I  was studied using optical electric potential- and pH-sensitive probes. We find that reconstituted Complex I has a delay in proton translocation, which is significantly longer than the delay in quinone reductase activity, indicating an initially decoupled state of Complex I. Studies of the amount of NADH required for the activation of pumping indicate the prerequisite of multiple turnovers. Proton pumping by Complex I was also activated by NADPH, excluding significant reduction of Complex I and a preexisting Δψ as activation factors. Co-reconstitution of Complex I and ATPase did not indicate an increased membrane permeability for protons in the uncoupled Complex I state. The delay in Complex I proton pumping activation was also observed in subbacterial vesicles. While it is negligible at room temperature, it strongly increases at a lower temperature. We conclude that Complex I undergoes a conversion from a decoupled state to a coupled state upon activation. The possible origins and importance of the observed phenomenon are discussed.","author":[{"dropping-particle":"","family":"Belevich","given":"Nikolai","non-dropping-particle":"","parse-names":false,"suffix":""},{"dropping-particle":"","family":"Ballmoos","given":"Christoph","non-dropping-particle":"von","parse-names":false,"suffix":""},{"dropping-particle":"","family":"Verkhovskaya","given":"Marina","non-dropping-particle":"","parse-names":false,"suffix":""}],"container-title":"Biochemistry","id":"ITEM-1","issue":"42","issued":{"date-parts":[["2017","10"]]},"language":"eng","page":"5691-5697","publisher-place":"United States","title":"Activation of Proton Translocation by Respiratory Complex I.","type":"article-journal","volume":"56"},"uris":["http://www.mendeley.com/documents/?uuid=5e4f39df-b60c-400e-abfd-0c82e15c45e0"]}],"mendeley":{"formattedCitation":"(Belevich &lt;i&gt;et al&lt;/i&gt;, 2017)","plainTextFormattedCitation":"(Belevich et al, 2017)","previouslyFormattedCitation":"(Belevich &lt;i&gt;et al&lt;/i&gt;, 2017)"},"properties":{"noteIndex":0},"schema":"https://github.com/citation-style-language/schema/raw/master/csl-citation.json"}</w:instrText>
      </w:r>
      <w:r w:rsidR="000F1DE7" w:rsidRPr="00E97FC1">
        <w:rPr>
          <w:rFonts w:cs="Times New Roman"/>
          <w:szCs w:val="24"/>
          <w:lang w:val="en-GB"/>
        </w:rPr>
        <w:fldChar w:fldCharType="separate"/>
      </w:r>
      <w:r w:rsidR="00E55873" w:rsidRPr="00E97FC1">
        <w:rPr>
          <w:rFonts w:cs="Times New Roman"/>
          <w:noProof/>
          <w:szCs w:val="24"/>
          <w:lang w:val="en-GB"/>
        </w:rPr>
        <w:t xml:space="preserve">(Belevich </w:t>
      </w:r>
      <w:r w:rsidR="00E55873" w:rsidRPr="00E97FC1">
        <w:rPr>
          <w:rFonts w:cs="Times New Roman"/>
          <w:i/>
          <w:noProof/>
          <w:szCs w:val="24"/>
          <w:lang w:val="en-GB"/>
        </w:rPr>
        <w:t>et al</w:t>
      </w:r>
      <w:r w:rsidR="00E55873" w:rsidRPr="00E97FC1">
        <w:rPr>
          <w:rFonts w:cs="Times New Roman"/>
          <w:noProof/>
          <w:szCs w:val="24"/>
          <w:lang w:val="en-GB"/>
        </w:rPr>
        <w:t>, 2017)</w:t>
      </w:r>
      <w:r w:rsidR="000F1DE7" w:rsidRPr="00E97FC1">
        <w:rPr>
          <w:rFonts w:cs="Times New Roman"/>
          <w:szCs w:val="24"/>
          <w:lang w:val="en-GB"/>
        </w:rPr>
        <w:fldChar w:fldCharType="end"/>
      </w:r>
      <w:r w:rsidRPr="00E97FC1">
        <w:rPr>
          <w:rFonts w:cs="Times New Roman"/>
          <w:szCs w:val="24"/>
          <w:lang w:val="en-GB"/>
        </w:rPr>
        <w:t xml:space="preserve"> due to disruption of Q cavity. The resting state has similarities to the deactive state of mammalian CI, but the disorder around Q cavity encompasses a larger area in </w:t>
      </w:r>
      <w:r w:rsidRPr="00E97FC1">
        <w:rPr>
          <w:rFonts w:cs="Times New Roman"/>
          <w:i/>
          <w:szCs w:val="24"/>
          <w:lang w:val="en-GB"/>
        </w:rPr>
        <w:t>Ec</w:t>
      </w:r>
      <w:r w:rsidRPr="00E97FC1">
        <w:rPr>
          <w:rFonts w:cs="Times New Roman"/>
          <w:szCs w:val="24"/>
          <w:lang w:val="en-GB"/>
        </w:rPr>
        <w:t>CI. However, in contrast to deactive</w:t>
      </w:r>
      <w:r w:rsidR="00B35CE8" w:rsidRPr="00E97FC1">
        <w:rPr>
          <w:rFonts w:cs="Times New Roman"/>
          <w:szCs w:val="24"/>
          <w:lang w:val="en-GB"/>
        </w:rPr>
        <w:t xml:space="preserve"> </w:t>
      </w:r>
      <w:r w:rsidR="00B35CE8" w:rsidRPr="00E97FC1">
        <w:rPr>
          <w:rFonts w:cs="Times New Roman"/>
          <w:i/>
          <w:szCs w:val="24"/>
          <w:lang w:val="en-GB"/>
        </w:rPr>
        <w:t>Ovis aries</w:t>
      </w:r>
      <w:r w:rsidR="00B35CE8" w:rsidRPr="00E97FC1">
        <w:rPr>
          <w:rFonts w:cs="Times New Roman"/>
          <w:szCs w:val="24"/>
          <w:lang w:val="en-GB"/>
        </w:rPr>
        <w:t xml:space="preserve"> complex I</w:t>
      </w:r>
      <w:r w:rsidRPr="00E97FC1">
        <w:rPr>
          <w:rFonts w:cs="Times New Roman"/>
          <w:szCs w:val="24"/>
          <w:lang w:val="en-GB"/>
        </w:rPr>
        <w:t xml:space="preserve"> </w:t>
      </w:r>
      <w:r w:rsidR="00B35CE8" w:rsidRPr="00E97FC1">
        <w:rPr>
          <w:rFonts w:cs="Times New Roman"/>
          <w:szCs w:val="24"/>
          <w:lang w:val="en-GB"/>
        </w:rPr>
        <w:t>(</w:t>
      </w:r>
      <w:r w:rsidRPr="00E97FC1">
        <w:rPr>
          <w:rFonts w:cs="Times New Roman"/>
          <w:i/>
          <w:szCs w:val="24"/>
          <w:lang w:val="en-GB"/>
        </w:rPr>
        <w:t>Oa</w:t>
      </w:r>
      <w:r w:rsidRPr="00E97FC1">
        <w:rPr>
          <w:rFonts w:cs="Times New Roman"/>
          <w:szCs w:val="24"/>
          <w:lang w:val="en-GB"/>
        </w:rPr>
        <w:t>CI</w:t>
      </w:r>
      <w:r w:rsidR="00B35CE8" w:rsidRPr="00E97FC1">
        <w:rPr>
          <w:rFonts w:cs="Times New Roman"/>
          <w:szCs w:val="24"/>
          <w:lang w:val="en-GB"/>
        </w:rPr>
        <w:t>)</w:t>
      </w:r>
      <w:r w:rsidRPr="00E97FC1">
        <w:rPr>
          <w:rFonts w:cs="Times New Roman"/>
          <w:szCs w:val="24"/>
          <w:lang w:val="en-GB"/>
        </w:rPr>
        <w:t xml:space="preserve">, </w:t>
      </w:r>
      <w:r w:rsidRPr="00E97FC1">
        <w:rPr>
          <w:rFonts w:cs="Times New Roman"/>
          <w:szCs w:val="24"/>
          <w:vertAlign w:val="subscript"/>
          <w:lang w:val="en-GB"/>
        </w:rPr>
        <w:t>H</w:t>
      </w:r>
      <w:r w:rsidRPr="00E97FC1">
        <w:rPr>
          <w:rFonts w:cs="Times New Roman"/>
          <w:szCs w:val="24"/>
          <w:lang w:val="en-GB"/>
        </w:rPr>
        <w:t xml:space="preserve">TM5-6 loop is ordered in resting </w:t>
      </w:r>
      <w:r w:rsidRPr="00E97FC1">
        <w:rPr>
          <w:rFonts w:cs="Times New Roman"/>
          <w:i/>
          <w:szCs w:val="24"/>
          <w:lang w:val="en-GB"/>
        </w:rPr>
        <w:t>Ec</w:t>
      </w:r>
      <w:r w:rsidRPr="00E97FC1">
        <w:rPr>
          <w:rFonts w:cs="Times New Roman"/>
          <w:szCs w:val="24"/>
          <w:lang w:val="en-GB"/>
        </w:rPr>
        <w:t>CI, adopting “up” conformation (</w:t>
      </w:r>
      <w:r w:rsidR="00AF4C71" w:rsidRPr="00E97FC1">
        <w:rPr>
          <w:rFonts w:cs="Times New Roman"/>
          <w:szCs w:val="24"/>
          <w:lang w:val="en-GB"/>
        </w:rPr>
        <w:t>Figure 3.</w:t>
      </w:r>
      <w:r w:rsidR="000F12F2">
        <w:rPr>
          <w:rFonts w:cs="Times New Roman"/>
          <w:szCs w:val="24"/>
          <w:lang w:val="en-GB"/>
        </w:rPr>
        <w:t>1</w:t>
      </w:r>
      <w:r w:rsidR="00AF4C71" w:rsidRPr="00E97FC1">
        <w:rPr>
          <w:rFonts w:cs="Times New Roman"/>
          <w:szCs w:val="24"/>
          <w:lang w:val="en-GB"/>
        </w:rPr>
        <w:t>c</w:t>
      </w:r>
      <w:r w:rsidRPr="00E97FC1">
        <w:rPr>
          <w:rFonts w:cs="Times New Roman"/>
          <w:szCs w:val="24"/>
          <w:lang w:val="en-GB"/>
        </w:rPr>
        <w:t>) and pushing NuoCD so that PA is shifted about 8 Å away from MA (Fig</w:t>
      </w:r>
      <w:r w:rsidR="003B1F90" w:rsidRPr="00E97FC1">
        <w:rPr>
          <w:rFonts w:cs="Times New Roman"/>
          <w:szCs w:val="24"/>
          <w:lang w:val="en-GB"/>
        </w:rPr>
        <w:t>ure</w:t>
      </w:r>
      <w:r w:rsidRPr="00E97FC1">
        <w:rPr>
          <w:rFonts w:cs="Times New Roman"/>
          <w:szCs w:val="24"/>
          <w:lang w:val="en-GB"/>
        </w:rPr>
        <w:t xml:space="preserve"> </w:t>
      </w:r>
      <w:r w:rsidR="00CF5126" w:rsidRPr="00E97FC1">
        <w:rPr>
          <w:rFonts w:cs="Times New Roman"/>
          <w:szCs w:val="24"/>
          <w:lang w:val="en-GB"/>
        </w:rPr>
        <w:t>3.</w:t>
      </w:r>
      <w:r w:rsidRPr="00E97FC1">
        <w:rPr>
          <w:rFonts w:cs="Times New Roman"/>
          <w:szCs w:val="24"/>
          <w:lang w:val="en-GB"/>
        </w:rPr>
        <w:t xml:space="preserve">1b). </w:t>
      </w:r>
    </w:p>
    <w:p w14:paraId="5CE2D381" w14:textId="77777777" w:rsidR="00B85830" w:rsidRPr="00E97FC1" w:rsidRDefault="00B85830" w:rsidP="00CE3E6F">
      <w:pPr>
        <w:ind w:firstLine="720"/>
        <w:rPr>
          <w:rFonts w:cs="Times New Roman"/>
          <w:b/>
          <w:szCs w:val="40"/>
          <w:lang w:val="en-GB"/>
        </w:rPr>
      </w:pPr>
      <w:r w:rsidRPr="00E97FC1">
        <w:rPr>
          <w:rFonts w:cs="Times New Roman"/>
          <w:b/>
          <w:noProof/>
          <w:szCs w:val="40"/>
        </w:rPr>
        <w:drawing>
          <wp:inline distT="0" distB="0" distL="0" distR="0" wp14:anchorId="384F93AD" wp14:editId="5FE11D80">
            <wp:extent cx="4882101" cy="427183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85252" cy="4274595"/>
                    </a:xfrm>
                    <a:prstGeom prst="rect">
                      <a:avLst/>
                    </a:prstGeom>
                    <a:noFill/>
                    <a:ln>
                      <a:noFill/>
                    </a:ln>
                  </pic:spPr>
                </pic:pic>
              </a:graphicData>
            </a:graphic>
          </wp:inline>
        </w:drawing>
      </w:r>
    </w:p>
    <w:p w14:paraId="04D8EF68" w14:textId="32247361" w:rsidR="00F51D9A" w:rsidRPr="00E97FC1" w:rsidRDefault="00B85830" w:rsidP="00CE3E6F">
      <w:pPr>
        <w:pStyle w:val="Caption"/>
      </w:pPr>
      <w:bookmarkStart w:id="115" w:name="_Toc121834113"/>
      <w:bookmarkStart w:id="116" w:name="_Toc128136633"/>
      <w:r w:rsidRPr="00E97FC1">
        <w:t xml:space="preserve">Figure </w:t>
      </w:r>
      <w:r w:rsidR="00CC7652">
        <w:fldChar w:fldCharType="begin"/>
      </w:r>
      <w:r w:rsidR="00CC7652">
        <w:instrText xml:space="preserve"> STYLEREF 1 \s </w:instrText>
      </w:r>
      <w:r w:rsidR="00CC7652">
        <w:fldChar w:fldCharType="separate"/>
      </w:r>
      <w:r w:rsidR="00ED1816">
        <w:rPr>
          <w:noProof/>
        </w:rPr>
        <w:t>3</w:t>
      </w:r>
      <w:r w:rsidR="00CC7652">
        <w:fldChar w:fldCharType="end"/>
      </w:r>
      <w:r w:rsidR="00CC7652">
        <w:t>.</w:t>
      </w:r>
      <w:r w:rsidR="00CC7652">
        <w:fldChar w:fldCharType="begin"/>
      </w:r>
      <w:r w:rsidR="00CC7652">
        <w:instrText xml:space="preserve"> SEQ Figure \* ARABIC \s 1 </w:instrText>
      </w:r>
      <w:r w:rsidR="00CC7652">
        <w:fldChar w:fldCharType="separate"/>
      </w:r>
      <w:r w:rsidR="00ED1816">
        <w:rPr>
          <w:noProof/>
        </w:rPr>
        <w:t>5</w:t>
      </w:r>
      <w:r w:rsidR="00CC7652">
        <w:fldChar w:fldCharType="end"/>
      </w:r>
      <w:r w:rsidR="00F51D9A" w:rsidRPr="00E97FC1">
        <w:t xml:space="preserve"> Conformational changes induced upon EcCI closing.</w:t>
      </w:r>
      <w:bookmarkEnd w:id="115"/>
      <w:bookmarkEnd w:id="116"/>
    </w:p>
    <w:p w14:paraId="11651FB5" w14:textId="2FE0C66D" w:rsidR="00F51D9A" w:rsidRPr="00CF7C36" w:rsidRDefault="00F51D9A" w:rsidP="00CE3E6F">
      <w:pPr>
        <w:pStyle w:val="Caption"/>
        <w:rPr>
          <w:szCs w:val="40"/>
        </w:rPr>
      </w:pPr>
      <w:r w:rsidRPr="00CF7C36">
        <w:rPr>
          <w:szCs w:val="40"/>
        </w:rPr>
        <w:lastRenderedPageBreak/>
        <w:t xml:space="preserve">A) Global conformational changes upon open (grey) to closed (coloured) state transition. Key areas with changing conformation are indicated. NuoCD LHL element radically changes conformation, guiding NuoA loop to order and close the Q cavity. This process is assisted by the re-arrangement of NuoJ TM3-4 loop (note different W87 positions) and the rotation of </w:t>
      </w:r>
      <w:r w:rsidRPr="00CF7C36">
        <w:rPr>
          <w:szCs w:val="40"/>
          <w:vertAlign w:val="subscript"/>
        </w:rPr>
        <w:t>J</w:t>
      </w:r>
      <w:r w:rsidRPr="00CF7C36">
        <w:rPr>
          <w:szCs w:val="40"/>
        </w:rPr>
        <w:t xml:space="preserve">TM3 and </w:t>
      </w:r>
      <w:r w:rsidRPr="00CF7C36">
        <w:rPr>
          <w:szCs w:val="40"/>
          <w:vertAlign w:val="subscript"/>
        </w:rPr>
        <w:t>H</w:t>
      </w:r>
      <w:r w:rsidRPr="00CF7C36">
        <w:rPr>
          <w:szCs w:val="40"/>
        </w:rPr>
        <w:t xml:space="preserve">TM4 (note different </w:t>
      </w:r>
      <w:r w:rsidRPr="00CF7C36">
        <w:rPr>
          <w:szCs w:val="40"/>
          <w:vertAlign w:val="subscript"/>
        </w:rPr>
        <w:t>J</w:t>
      </w:r>
      <w:r w:rsidRPr="00CF7C36">
        <w:rPr>
          <w:szCs w:val="40"/>
        </w:rPr>
        <w:t xml:space="preserve">F67 and </w:t>
      </w:r>
      <w:r w:rsidRPr="00CF7C36">
        <w:rPr>
          <w:szCs w:val="40"/>
          <w:vertAlign w:val="subscript"/>
        </w:rPr>
        <w:t>H</w:t>
      </w:r>
      <w:r w:rsidRPr="00CF7C36">
        <w:rPr>
          <w:szCs w:val="40"/>
        </w:rPr>
        <w:t>Y156 positions). B) Conformational changes inside the Q cavity upon open to closed transition. NuoCD loop adopts retracted conformation, allowing quinone (magenta sticks) to bind in the Q</w:t>
      </w:r>
      <w:r w:rsidRPr="00CF7C36">
        <w:rPr>
          <w:szCs w:val="40"/>
          <w:vertAlign w:val="subscript"/>
        </w:rPr>
        <w:t>d</w:t>
      </w:r>
      <w:r w:rsidRPr="00CF7C36">
        <w:rPr>
          <w:szCs w:val="40"/>
        </w:rPr>
        <w:t xml:space="preserve"> site. Here quinone would clash with the extended NuoCD loop (grey), so the retraction is necessary. NuoH and NuoA loops get ordered, enclosing the Q cavity. C) Comparison of key NuoCD and NuoH loops in different states. In resting state NuoCD loop is disordered and NuoH is ordered in the “up” conformation resembling, but distinct from that in open-ready state. In open-ready state both loops are ordered such that conserved </w:t>
      </w:r>
      <w:r w:rsidRPr="00CF7C36">
        <w:rPr>
          <w:szCs w:val="40"/>
          <w:vertAlign w:val="subscript"/>
        </w:rPr>
        <w:t>H</w:t>
      </w:r>
      <w:r w:rsidRPr="00CF7C36">
        <w:rPr>
          <w:szCs w:val="40"/>
        </w:rPr>
        <w:t xml:space="preserve">E220 can compensate for </w:t>
      </w:r>
      <w:r w:rsidRPr="00CF7C36">
        <w:rPr>
          <w:szCs w:val="40"/>
          <w:vertAlign w:val="subscript"/>
        </w:rPr>
        <w:t>C</w:t>
      </w:r>
      <w:r w:rsidRPr="00CF7C36">
        <w:rPr>
          <w:szCs w:val="40"/>
        </w:rPr>
        <w:t xml:space="preserve">H224 charge, allowing key </w:t>
      </w:r>
      <w:r w:rsidRPr="00CF7C36">
        <w:rPr>
          <w:szCs w:val="40"/>
          <w:vertAlign w:val="subscript"/>
        </w:rPr>
        <w:t>CD</w:t>
      </w:r>
      <w:r w:rsidRPr="00CF7C36">
        <w:rPr>
          <w:szCs w:val="40"/>
        </w:rPr>
        <w:t xml:space="preserve">H224 and </w:t>
      </w:r>
      <w:r w:rsidRPr="00CF7C36">
        <w:rPr>
          <w:szCs w:val="40"/>
          <w:vertAlign w:val="subscript"/>
        </w:rPr>
        <w:t>CD</w:t>
      </w:r>
      <w:r w:rsidRPr="00CF7C36">
        <w:rPr>
          <w:szCs w:val="40"/>
        </w:rPr>
        <w:t xml:space="preserve">H228 to interact strongly, stabilizing extended conformation of NuoCD loop. In open state NuoCD loop keeps this conformation whilst NuoH loop is disordered, facilitating quinone movement. In closed state NuoH loop changes its conformation to “down” such that </w:t>
      </w:r>
      <w:r w:rsidRPr="00CF7C36">
        <w:rPr>
          <w:szCs w:val="40"/>
          <w:vertAlign w:val="subscript"/>
        </w:rPr>
        <w:t>H</w:t>
      </w:r>
      <w:r w:rsidRPr="00CF7C36">
        <w:rPr>
          <w:szCs w:val="40"/>
        </w:rPr>
        <w:t xml:space="preserve">E220 flips to form a salt bridge with conserved </w:t>
      </w:r>
      <w:r w:rsidRPr="00CF7C36">
        <w:rPr>
          <w:szCs w:val="40"/>
          <w:vertAlign w:val="subscript"/>
        </w:rPr>
        <w:t>CD</w:t>
      </w:r>
      <w:r w:rsidRPr="00CF7C36">
        <w:rPr>
          <w:szCs w:val="40"/>
        </w:rPr>
        <w:t xml:space="preserve">R407. This helps </w:t>
      </w:r>
      <w:r w:rsidRPr="00CF7C36">
        <w:rPr>
          <w:szCs w:val="40"/>
          <w:vertAlign w:val="subscript"/>
        </w:rPr>
        <w:t>CD</w:t>
      </w:r>
      <w:r w:rsidRPr="00CF7C36">
        <w:rPr>
          <w:szCs w:val="40"/>
        </w:rPr>
        <w:t xml:space="preserve">H224 and </w:t>
      </w:r>
      <w:r w:rsidRPr="00CF7C36">
        <w:rPr>
          <w:szCs w:val="40"/>
          <w:vertAlign w:val="subscript"/>
        </w:rPr>
        <w:t>CD</w:t>
      </w:r>
      <w:r w:rsidRPr="00CF7C36">
        <w:rPr>
          <w:szCs w:val="40"/>
        </w:rPr>
        <w:t>H228 to separate, allowing retracted conformation of NuoCD loop and quinone binding in Q</w:t>
      </w:r>
      <w:r w:rsidRPr="00CF7C36">
        <w:rPr>
          <w:szCs w:val="40"/>
          <w:vertAlign w:val="subscript"/>
        </w:rPr>
        <w:t>d</w:t>
      </w:r>
      <w:r w:rsidR="00414A2B" w:rsidRPr="00CF7C36">
        <w:rPr>
          <w:szCs w:val="40"/>
        </w:rPr>
        <w:t xml:space="preserve"> site. Figure adapted from (Kravchuk et al, 2022)</w:t>
      </w:r>
    </w:p>
    <w:p w14:paraId="6F7E1BB2" w14:textId="77777777" w:rsidR="00B85830" w:rsidRPr="00E97FC1" w:rsidRDefault="00B85830" w:rsidP="00CE3E6F">
      <w:pPr>
        <w:pStyle w:val="Caption"/>
        <w:rPr>
          <w:b/>
          <w:szCs w:val="40"/>
        </w:rPr>
      </w:pPr>
    </w:p>
    <w:p w14:paraId="53F97DAA" w14:textId="57AF368D" w:rsidR="00221FC6" w:rsidRPr="00E97FC1" w:rsidRDefault="00FF4A80" w:rsidP="00CE3E6F">
      <w:pPr>
        <w:ind w:firstLine="720"/>
        <w:rPr>
          <w:rFonts w:cs="Times New Roman"/>
          <w:szCs w:val="24"/>
          <w:lang w:val="en-GB"/>
        </w:rPr>
      </w:pPr>
      <w:r w:rsidRPr="00E97FC1">
        <w:rPr>
          <w:rFonts w:cs="Times New Roman"/>
          <w:szCs w:val="24"/>
          <w:lang w:val="en-GB"/>
        </w:rPr>
        <w:t>As mentioned above, to obtain more native preparation</w:t>
      </w:r>
      <w:r w:rsidR="009C0734" w:rsidRPr="00E97FC1">
        <w:rPr>
          <w:rFonts w:cs="Times New Roman"/>
          <w:szCs w:val="24"/>
          <w:lang w:val="en-GB"/>
        </w:rPr>
        <w:t xml:space="preserve">, we diluted DDM-solubilised </w:t>
      </w:r>
      <w:r w:rsidR="009C0734" w:rsidRPr="00E97FC1">
        <w:rPr>
          <w:rFonts w:cs="Times New Roman"/>
          <w:i/>
          <w:szCs w:val="24"/>
          <w:lang w:val="en-GB"/>
        </w:rPr>
        <w:t>Ec</w:t>
      </w:r>
      <w:r w:rsidR="009C0734" w:rsidRPr="00E97FC1">
        <w:rPr>
          <w:rFonts w:cs="Times New Roman"/>
          <w:szCs w:val="24"/>
          <w:lang w:val="en-GB"/>
        </w:rPr>
        <w:t xml:space="preserve">CI stock in in a milder detergent LMNG, with added </w:t>
      </w:r>
      <w:r w:rsidR="009C0734" w:rsidRPr="00E97FC1">
        <w:rPr>
          <w:rFonts w:cs="Times New Roman"/>
          <w:i/>
          <w:szCs w:val="24"/>
          <w:lang w:val="en-GB"/>
        </w:rPr>
        <w:t>E. coli</w:t>
      </w:r>
      <w:r w:rsidR="009C0734" w:rsidRPr="00E97FC1">
        <w:rPr>
          <w:rFonts w:cs="Times New Roman"/>
          <w:szCs w:val="24"/>
          <w:lang w:val="en-GB"/>
        </w:rPr>
        <w:t xml:space="preserve"> lipids, which showed optimal activity (</w:t>
      </w:r>
      <w:r w:rsidR="003B1F90" w:rsidRPr="00E97FC1">
        <w:rPr>
          <w:rFonts w:cs="Times New Roman"/>
          <w:szCs w:val="24"/>
          <w:lang w:val="en-GB"/>
        </w:rPr>
        <w:t>Figure 3.</w:t>
      </w:r>
      <w:r w:rsidR="002A77F9">
        <w:rPr>
          <w:rFonts w:cs="Times New Roman"/>
          <w:szCs w:val="24"/>
          <w:lang w:val="en-GB"/>
        </w:rPr>
        <w:t>6</w:t>
      </w:r>
      <w:r w:rsidR="009C0734" w:rsidRPr="00E97FC1">
        <w:rPr>
          <w:rFonts w:cs="Times New Roman"/>
          <w:szCs w:val="24"/>
          <w:lang w:val="en-GB"/>
        </w:rPr>
        <w:t>).</w:t>
      </w:r>
    </w:p>
    <w:p w14:paraId="2556C24B" w14:textId="77777777" w:rsidR="00221FC6" w:rsidRPr="00E97FC1" w:rsidRDefault="00221FC6" w:rsidP="00CE3E6F">
      <w:pPr>
        <w:ind w:firstLine="720"/>
        <w:rPr>
          <w:rFonts w:cs="Times New Roman"/>
          <w:szCs w:val="24"/>
          <w:lang w:val="en-GB"/>
        </w:rPr>
      </w:pPr>
      <w:r w:rsidRPr="00E97FC1">
        <w:rPr>
          <w:rFonts w:cs="Times New Roman"/>
          <w:noProof/>
          <w:szCs w:val="24"/>
        </w:rPr>
        <w:drawing>
          <wp:inline distT="0" distB="0" distL="0" distR="0" wp14:anchorId="5A35A68B" wp14:editId="574303AD">
            <wp:extent cx="4444779" cy="2685305"/>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452972" cy="2690255"/>
                    </a:xfrm>
                    <a:prstGeom prst="rect">
                      <a:avLst/>
                    </a:prstGeom>
                    <a:noFill/>
                    <a:ln>
                      <a:noFill/>
                    </a:ln>
                  </pic:spPr>
                </pic:pic>
              </a:graphicData>
            </a:graphic>
          </wp:inline>
        </w:drawing>
      </w:r>
    </w:p>
    <w:p w14:paraId="0C68816E" w14:textId="4D27E57B" w:rsidR="00761D95" w:rsidRPr="00E97FC1" w:rsidRDefault="00221FC6" w:rsidP="00CE3E6F">
      <w:pPr>
        <w:pStyle w:val="Caption"/>
        <w:rPr>
          <w:sz w:val="24"/>
          <w:szCs w:val="24"/>
        </w:rPr>
      </w:pPr>
      <w:bookmarkStart w:id="117" w:name="_Toc121834114"/>
      <w:bookmarkStart w:id="118" w:name="_Toc128136634"/>
      <w:r w:rsidRPr="00E97FC1">
        <w:t xml:space="preserve">Figure </w:t>
      </w:r>
      <w:r w:rsidR="00CC7652">
        <w:fldChar w:fldCharType="begin"/>
      </w:r>
      <w:r w:rsidR="00CC7652">
        <w:instrText xml:space="preserve"> STYLEREF 1 \s </w:instrText>
      </w:r>
      <w:r w:rsidR="00CC7652">
        <w:fldChar w:fldCharType="separate"/>
      </w:r>
      <w:r w:rsidR="00ED1816">
        <w:rPr>
          <w:noProof/>
        </w:rPr>
        <w:t>3</w:t>
      </w:r>
      <w:r w:rsidR="00CC7652">
        <w:fldChar w:fldCharType="end"/>
      </w:r>
      <w:r w:rsidR="00CC7652">
        <w:t>.</w:t>
      </w:r>
      <w:r w:rsidR="00CC7652">
        <w:fldChar w:fldCharType="begin"/>
      </w:r>
      <w:r w:rsidR="00CC7652">
        <w:instrText xml:space="preserve"> SEQ Figure \* ARABIC \s 1 </w:instrText>
      </w:r>
      <w:r w:rsidR="00CC7652">
        <w:fldChar w:fldCharType="separate"/>
      </w:r>
      <w:r w:rsidR="00ED1816">
        <w:rPr>
          <w:noProof/>
        </w:rPr>
        <w:t>6</w:t>
      </w:r>
      <w:r w:rsidR="00CC7652">
        <w:fldChar w:fldCharType="end"/>
      </w:r>
      <w:r w:rsidRPr="00E97FC1">
        <w:t xml:space="preserve"> </w:t>
      </w:r>
      <w:r w:rsidR="00761D95" w:rsidRPr="00E97FC1">
        <w:rPr>
          <w:szCs w:val="24"/>
        </w:rPr>
        <w:t>NADH:DQ oxidoreduction activity assays.</w:t>
      </w:r>
      <w:bookmarkEnd w:id="117"/>
      <w:bookmarkEnd w:id="118"/>
      <w:r w:rsidR="00761D95" w:rsidRPr="00E97FC1">
        <w:rPr>
          <w:szCs w:val="24"/>
        </w:rPr>
        <w:t xml:space="preserve"> </w:t>
      </w:r>
    </w:p>
    <w:p w14:paraId="203A05B2" w14:textId="6F242FA4" w:rsidR="00761D95" w:rsidRPr="00CF7C36" w:rsidRDefault="00761D95" w:rsidP="00CE3E6F">
      <w:pPr>
        <w:pStyle w:val="Caption"/>
        <w:rPr>
          <w:sz w:val="16"/>
          <w:szCs w:val="40"/>
        </w:rPr>
      </w:pPr>
      <w:r w:rsidRPr="00CF7C36">
        <w:rPr>
          <w:szCs w:val="24"/>
        </w:rPr>
        <w:t>Results are represented in μmol NADH min</w:t>
      </w:r>
      <w:r w:rsidRPr="00CF7C36">
        <w:rPr>
          <w:szCs w:val="24"/>
          <w:vertAlign w:val="superscript"/>
        </w:rPr>
        <w:t>-1</w:t>
      </w:r>
      <w:r w:rsidRPr="00CF7C36">
        <w:rPr>
          <w:szCs w:val="24"/>
        </w:rPr>
        <w:t xml:space="preserve"> mg</w:t>
      </w:r>
      <w:r w:rsidRPr="00CF7C36">
        <w:rPr>
          <w:szCs w:val="24"/>
          <w:vertAlign w:val="superscript"/>
        </w:rPr>
        <w:t>-1</w:t>
      </w:r>
      <w:r w:rsidRPr="00CF7C36">
        <w:rPr>
          <w:szCs w:val="24"/>
        </w:rPr>
        <w:t xml:space="preserve"> protein, as the mean ± standard error with values for individual measurements shown as circles. E) EcCI. When present, lipids were added as 0.25 mg/ml ETL, and piericidin A (pA) inhibitor was added to 30 </w:t>
      </w:r>
      <w:r w:rsidRPr="00CF7C36">
        <w:rPr>
          <w:rFonts w:ascii="Symbol" w:hAnsi="Symbol"/>
          <w:szCs w:val="24"/>
        </w:rPr>
        <w:t></w:t>
      </w:r>
      <w:r w:rsidRPr="00CF7C36">
        <w:rPr>
          <w:szCs w:val="24"/>
        </w:rPr>
        <w:t>mol.</w:t>
      </w:r>
      <w:r w:rsidR="00414A2B" w:rsidRPr="00CF7C36">
        <w:rPr>
          <w:szCs w:val="24"/>
        </w:rPr>
        <w:t xml:space="preserve"> Figure adapted from (Kravchuk et al, 2022)</w:t>
      </w:r>
    </w:p>
    <w:p w14:paraId="6CF941FF" w14:textId="553A3E29" w:rsidR="007D762C" w:rsidRPr="00E97FC1" w:rsidRDefault="009C0734" w:rsidP="00CE3E6F">
      <w:pPr>
        <w:ind w:firstLine="720"/>
        <w:rPr>
          <w:rFonts w:cs="Times New Roman"/>
          <w:szCs w:val="24"/>
          <w:lang w:val="en-GB"/>
        </w:rPr>
      </w:pPr>
      <w:r w:rsidRPr="00E97FC1">
        <w:rPr>
          <w:rFonts w:cs="Times New Roman"/>
          <w:szCs w:val="24"/>
          <w:lang w:val="en-GB"/>
        </w:rPr>
        <w:t>We collected six such DDM/LMNG datasets in order to identify any specific features induced only by the turnover (or by reduction/Q/inhibit</w:t>
      </w:r>
      <w:r w:rsidR="00E426B1" w:rsidRPr="00E97FC1">
        <w:rPr>
          <w:rFonts w:cs="Times New Roman"/>
          <w:szCs w:val="24"/>
          <w:lang w:val="en-GB"/>
        </w:rPr>
        <w:t>or) (</w:t>
      </w:r>
      <w:r w:rsidR="003B1F90" w:rsidRPr="00E97FC1">
        <w:rPr>
          <w:rFonts w:cs="Times New Roman"/>
          <w:szCs w:val="24"/>
          <w:lang w:val="en-GB"/>
        </w:rPr>
        <w:t>Table 1</w:t>
      </w:r>
      <w:r w:rsidRPr="00E97FC1">
        <w:rPr>
          <w:rFonts w:cs="Times New Roman"/>
          <w:szCs w:val="24"/>
          <w:lang w:val="en-GB"/>
        </w:rPr>
        <w:t xml:space="preserve">). </w:t>
      </w:r>
      <w:r w:rsidR="007D762C" w:rsidRPr="00E97FC1">
        <w:rPr>
          <w:rFonts w:cs="Times New Roman"/>
          <w:szCs w:val="24"/>
          <w:lang w:val="en-GB"/>
        </w:rPr>
        <w:t>In all DDM/LMNG datasets the “resting” and “open” (not reported previously) states were observed. The resting state was similar to the DDM structures, while in the “open” state, the PA has joined back to the MA and the Q cavity was mostly reformed. The key loops (</w:t>
      </w:r>
      <w:r w:rsidR="007D762C" w:rsidRPr="00E97FC1">
        <w:rPr>
          <w:rFonts w:cs="Times New Roman"/>
          <w:szCs w:val="24"/>
          <w:vertAlign w:val="subscript"/>
          <w:lang w:val="en-GB"/>
        </w:rPr>
        <w:t>H</w:t>
      </w:r>
      <w:r w:rsidR="007D762C" w:rsidRPr="00E97FC1">
        <w:rPr>
          <w:rFonts w:cs="Times New Roman"/>
          <w:szCs w:val="24"/>
          <w:lang w:val="en-GB"/>
        </w:rPr>
        <w:t xml:space="preserve">TM5-6 and </w:t>
      </w:r>
      <w:r w:rsidR="007D762C" w:rsidRPr="00E97FC1">
        <w:rPr>
          <w:rFonts w:cs="Times New Roman"/>
          <w:szCs w:val="24"/>
          <w:vertAlign w:val="subscript"/>
          <w:lang w:val="en-GB"/>
        </w:rPr>
        <w:t>A</w:t>
      </w:r>
      <w:r w:rsidR="007D762C" w:rsidRPr="00E97FC1">
        <w:rPr>
          <w:rFonts w:cs="Times New Roman"/>
          <w:szCs w:val="24"/>
          <w:lang w:val="en-GB"/>
        </w:rPr>
        <w:t xml:space="preserve">TM1-2) were disordered and </w:t>
      </w:r>
      <w:r w:rsidR="007D762C" w:rsidRPr="00E97FC1">
        <w:rPr>
          <w:rFonts w:cs="Times New Roman"/>
          <w:szCs w:val="24"/>
          <w:vertAlign w:val="subscript"/>
          <w:lang w:val="en-GB"/>
        </w:rPr>
        <w:t>J</w:t>
      </w:r>
      <w:r w:rsidR="007D762C" w:rsidRPr="00E97FC1">
        <w:rPr>
          <w:rFonts w:cs="Times New Roman"/>
          <w:szCs w:val="24"/>
          <w:lang w:val="en-GB"/>
        </w:rPr>
        <w:t xml:space="preserve">TM3 had a </w:t>
      </w:r>
      <w:r w:rsidR="007D762C" w:rsidRPr="00E97FC1">
        <w:rPr>
          <w:rFonts w:ascii="Symbol" w:hAnsi="Symbol" w:cs="Times New Roman"/>
          <w:szCs w:val="24"/>
          <w:lang w:val="en-GB"/>
        </w:rPr>
        <w:t></w:t>
      </w:r>
      <w:r w:rsidR="007D762C" w:rsidRPr="00E97FC1">
        <w:rPr>
          <w:rFonts w:cs="Times New Roman"/>
          <w:szCs w:val="24"/>
          <w:lang w:val="en-GB"/>
        </w:rPr>
        <w:t xml:space="preserve">-bulge, hence we termed this an “open” </w:t>
      </w:r>
      <w:r w:rsidR="007D762C" w:rsidRPr="00E97FC1">
        <w:rPr>
          <w:rFonts w:cs="Times New Roman"/>
          <w:i/>
          <w:szCs w:val="24"/>
          <w:lang w:val="en-GB"/>
        </w:rPr>
        <w:t>Ec</w:t>
      </w:r>
      <w:r w:rsidR="007D762C" w:rsidRPr="00E97FC1">
        <w:rPr>
          <w:rFonts w:cs="Times New Roman"/>
          <w:szCs w:val="24"/>
          <w:lang w:val="en-GB"/>
        </w:rPr>
        <w:t xml:space="preserve">CI state </w:t>
      </w:r>
      <w:r w:rsidR="003B1F90" w:rsidRPr="00E97FC1">
        <w:rPr>
          <w:rFonts w:cs="Times New Roman"/>
          <w:szCs w:val="24"/>
          <w:lang w:val="en-GB"/>
        </w:rPr>
        <w:t>(Figure</w:t>
      </w:r>
      <w:r w:rsidR="007D762C" w:rsidRPr="00E97FC1">
        <w:rPr>
          <w:rFonts w:cs="Times New Roman"/>
          <w:szCs w:val="24"/>
          <w:lang w:val="en-GB"/>
        </w:rPr>
        <w:t xml:space="preserve"> </w:t>
      </w:r>
      <w:r w:rsidR="00B2595E">
        <w:rPr>
          <w:rFonts w:cs="Times New Roman"/>
          <w:szCs w:val="24"/>
          <w:lang w:val="en-GB"/>
        </w:rPr>
        <w:t>3.</w:t>
      </w:r>
      <w:r w:rsidR="007D762C" w:rsidRPr="00E97FC1">
        <w:rPr>
          <w:rFonts w:cs="Times New Roman"/>
          <w:szCs w:val="24"/>
          <w:lang w:val="en-GB"/>
        </w:rPr>
        <w:t xml:space="preserve">1d). </w:t>
      </w:r>
    </w:p>
    <w:p w14:paraId="3165C6A7" w14:textId="5F75746C" w:rsidR="007D762C" w:rsidRPr="00E97FC1" w:rsidRDefault="007D762C" w:rsidP="00CE3E6F">
      <w:pPr>
        <w:ind w:firstLine="720"/>
        <w:rPr>
          <w:rFonts w:cs="Times New Roman"/>
          <w:szCs w:val="24"/>
          <w:lang w:val="en-GB"/>
        </w:rPr>
      </w:pPr>
      <w:r w:rsidRPr="00E97FC1">
        <w:rPr>
          <w:rFonts w:cs="Times New Roman"/>
          <w:szCs w:val="24"/>
          <w:lang w:val="en-GB"/>
        </w:rPr>
        <w:lastRenderedPageBreak/>
        <w:t xml:space="preserve">Exclusively under turnover (confirmed </w:t>
      </w:r>
      <w:r w:rsidR="003B1F90" w:rsidRPr="00E97FC1">
        <w:rPr>
          <w:rFonts w:cs="Times New Roman"/>
          <w:szCs w:val="24"/>
          <w:lang w:val="en-GB"/>
        </w:rPr>
        <w:t>by several lines of experiments</w:t>
      </w:r>
      <w:r w:rsidRPr="00E97FC1">
        <w:rPr>
          <w:rFonts w:cs="Times New Roman"/>
          <w:szCs w:val="24"/>
          <w:lang w:val="en-GB"/>
        </w:rPr>
        <w:t xml:space="preserve">) we observed a third </w:t>
      </w:r>
      <w:r w:rsidRPr="00E97FC1">
        <w:rPr>
          <w:rFonts w:cs="Times New Roman"/>
          <w:i/>
          <w:szCs w:val="24"/>
          <w:lang w:val="en-GB"/>
        </w:rPr>
        <w:t>Ec</w:t>
      </w:r>
      <w:r w:rsidRPr="00E97FC1">
        <w:rPr>
          <w:rFonts w:cs="Times New Roman"/>
          <w:szCs w:val="24"/>
          <w:lang w:val="en-GB"/>
        </w:rPr>
        <w:t xml:space="preserve">CI state. We termed it “closed” as it contained an enclosed Q cavity with all the key loops ordered, and </w:t>
      </w:r>
      <w:r w:rsidR="0096193C" w:rsidRPr="00E97FC1">
        <w:rPr>
          <w:rFonts w:cs="Times New Roman"/>
          <w:szCs w:val="24"/>
          <w:lang w:val="en-GB"/>
        </w:rPr>
        <w:t xml:space="preserve">a </w:t>
      </w:r>
      <w:r w:rsidRPr="00E97FC1">
        <w:rPr>
          <w:rFonts w:cs="Times New Roman"/>
          <w:szCs w:val="24"/>
          <w:lang w:val="en-GB"/>
        </w:rPr>
        <w:t xml:space="preserve">rotated </w:t>
      </w:r>
      <w:r w:rsidRPr="00E97FC1">
        <w:rPr>
          <w:rFonts w:cs="Times New Roman"/>
          <w:szCs w:val="24"/>
          <w:vertAlign w:val="subscript"/>
          <w:lang w:val="en-GB"/>
        </w:rPr>
        <w:t>J</w:t>
      </w:r>
      <w:r w:rsidRPr="00E97FC1">
        <w:rPr>
          <w:rFonts w:cs="Times New Roman"/>
          <w:szCs w:val="24"/>
          <w:lang w:val="en-GB"/>
        </w:rPr>
        <w:t xml:space="preserve">TM3 without </w:t>
      </w:r>
      <w:r w:rsidRPr="00E97FC1">
        <w:rPr>
          <w:rFonts w:ascii="Symbol" w:hAnsi="Symbol" w:cs="Times New Roman"/>
          <w:szCs w:val="24"/>
          <w:lang w:val="en-GB"/>
        </w:rPr>
        <w:t></w:t>
      </w:r>
      <w:r w:rsidRPr="00E97FC1">
        <w:rPr>
          <w:rFonts w:cs="Times New Roman"/>
          <w:szCs w:val="24"/>
          <w:lang w:val="en-GB"/>
        </w:rPr>
        <w:t>-bulge (</w:t>
      </w:r>
      <w:r w:rsidR="003B1F90" w:rsidRPr="00E97FC1">
        <w:rPr>
          <w:rFonts w:cs="Times New Roman"/>
          <w:szCs w:val="24"/>
          <w:lang w:val="en-GB"/>
        </w:rPr>
        <w:t>Figure</w:t>
      </w:r>
      <w:r w:rsidRPr="00E97FC1">
        <w:rPr>
          <w:rFonts w:cs="Times New Roman"/>
          <w:szCs w:val="24"/>
          <w:lang w:val="en-GB"/>
        </w:rPr>
        <w:t xml:space="preserve"> </w:t>
      </w:r>
      <w:r w:rsidR="000F12F2">
        <w:rPr>
          <w:rFonts w:cs="Times New Roman"/>
          <w:szCs w:val="24"/>
          <w:lang w:val="en-GB"/>
        </w:rPr>
        <w:t>3.</w:t>
      </w:r>
      <w:r w:rsidRPr="00E97FC1">
        <w:rPr>
          <w:rFonts w:cs="Times New Roman"/>
          <w:szCs w:val="24"/>
          <w:lang w:val="en-GB"/>
        </w:rPr>
        <w:t xml:space="preserve">1e). Notably, the fact that closed state was not observed in NADH, DQ or PieA </w:t>
      </w:r>
      <w:r w:rsidRPr="00E97FC1">
        <w:rPr>
          <w:rFonts w:cs="Times New Roman"/>
          <w:i/>
          <w:szCs w:val="24"/>
          <w:lang w:val="en-GB"/>
        </w:rPr>
        <w:t>Ec</w:t>
      </w:r>
      <w:r w:rsidRPr="00E97FC1">
        <w:rPr>
          <w:rFonts w:cs="Times New Roman"/>
          <w:szCs w:val="24"/>
          <w:lang w:val="en-GB"/>
        </w:rPr>
        <w:t xml:space="preserve">CI datasets suggests that neither reduction nor quinone/inhibitor binding alone can induce it, thus in </w:t>
      </w:r>
      <w:r w:rsidRPr="00E97FC1">
        <w:rPr>
          <w:rFonts w:cs="Times New Roman"/>
          <w:i/>
          <w:szCs w:val="24"/>
          <w:lang w:val="en-GB"/>
        </w:rPr>
        <w:t>E. coli</w:t>
      </w:r>
      <w:r w:rsidRPr="00E97FC1">
        <w:rPr>
          <w:rFonts w:cs="Times New Roman"/>
          <w:szCs w:val="24"/>
          <w:lang w:val="en-GB"/>
        </w:rPr>
        <w:t xml:space="preserve"> the closed state is a higher energy intermediate and energy input during turnover is required for it to be observed. </w:t>
      </w:r>
    </w:p>
    <w:p w14:paraId="2882C79E" w14:textId="77777777" w:rsidR="00E426B1" w:rsidRPr="00E97FC1" w:rsidRDefault="00E426B1" w:rsidP="00CE3E6F">
      <w:pPr>
        <w:ind w:firstLine="720"/>
        <w:rPr>
          <w:rFonts w:cs="Times New Roman"/>
          <w:szCs w:val="24"/>
          <w:lang w:val="en-GB"/>
        </w:rPr>
      </w:pPr>
      <w:r w:rsidRPr="00E97FC1">
        <w:rPr>
          <w:rFonts w:cs="Times New Roman"/>
          <w:noProof/>
          <w:szCs w:val="24"/>
        </w:rPr>
        <w:drawing>
          <wp:inline distT="0" distB="0" distL="0" distR="0" wp14:anchorId="40F0F43E" wp14:editId="35920C76">
            <wp:extent cx="4436725" cy="4710988"/>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2">
                      <a:extLst>
                        <a:ext uri="{28A0092B-C50C-407E-A947-70E740481C1C}">
                          <a14:useLocalDpi xmlns:a14="http://schemas.microsoft.com/office/drawing/2010/main" val="0"/>
                        </a:ext>
                      </a:extLst>
                    </a:blip>
                    <a:srcRect b="20441"/>
                    <a:stretch/>
                  </pic:blipFill>
                  <pic:spPr bwMode="auto">
                    <a:xfrm>
                      <a:off x="0" y="0"/>
                      <a:ext cx="4442329" cy="4716938"/>
                    </a:xfrm>
                    <a:prstGeom prst="rect">
                      <a:avLst/>
                    </a:prstGeom>
                    <a:noFill/>
                    <a:ln>
                      <a:noFill/>
                    </a:ln>
                    <a:extLst>
                      <a:ext uri="{53640926-AAD7-44D8-BBD7-CCE9431645EC}">
                        <a14:shadowObscured xmlns:a14="http://schemas.microsoft.com/office/drawing/2010/main"/>
                      </a:ext>
                    </a:extLst>
                  </pic:spPr>
                </pic:pic>
              </a:graphicData>
            </a:graphic>
          </wp:inline>
        </w:drawing>
      </w:r>
    </w:p>
    <w:p w14:paraId="3C30AECC" w14:textId="2C21A0EC" w:rsidR="00C04FDA" w:rsidRPr="00E97FC1" w:rsidRDefault="00C04FDA" w:rsidP="00CE3E6F">
      <w:pPr>
        <w:pStyle w:val="Caption"/>
      </w:pPr>
      <w:r w:rsidRPr="00E97FC1">
        <w:t xml:space="preserve">Table </w:t>
      </w:r>
      <w:r w:rsidRPr="00E97FC1">
        <w:fldChar w:fldCharType="begin"/>
      </w:r>
      <w:r w:rsidRPr="00E97FC1">
        <w:instrText xml:space="preserve"> SEQ Table \* ARABIC </w:instrText>
      </w:r>
      <w:r w:rsidRPr="00E97FC1">
        <w:fldChar w:fldCharType="separate"/>
      </w:r>
      <w:r w:rsidR="00ED1816">
        <w:rPr>
          <w:noProof/>
        </w:rPr>
        <w:t>1</w:t>
      </w:r>
      <w:r w:rsidRPr="00E97FC1">
        <w:fldChar w:fldCharType="end"/>
      </w:r>
      <w:r w:rsidR="002A77F9">
        <w:t>.</w:t>
      </w:r>
      <w:r w:rsidRPr="00E97FC1">
        <w:t xml:space="preserve"> Summary of datasets</w:t>
      </w:r>
    </w:p>
    <w:p w14:paraId="32AE9D01" w14:textId="3E59F6FE" w:rsidR="009C0734" w:rsidRPr="00E97FC1" w:rsidRDefault="009C0734" w:rsidP="00CE3E6F">
      <w:pPr>
        <w:ind w:firstLine="720"/>
        <w:rPr>
          <w:rFonts w:cs="Times New Roman"/>
          <w:szCs w:val="24"/>
          <w:lang w:val="en-GB"/>
        </w:rPr>
      </w:pPr>
      <w:r w:rsidRPr="00E97FC1">
        <w:rPr>
          <w:rFonts w:cs="Times New Roman"/>
          <w:szCs w:val="24"/>
          <w:lang w:val="en-GB"/>
        </w:rPr>
        <w:t xml:space="preserve">In contrast to the mammalian enzyme, where the open state reflects the larger angle between the PA and MA due to the PA tilt, in </w:t>
      </w:r>
      <w:r w:rsidRPr="00E97FC1">
        <w:rPr>
          <w:rFonts w:cs="Times New Roman"/>
          <w:i/>
          <w:szCs w:val="24"/>
          <w:lang w:val="en-GB"/>
        </w:rPr>
        <w:t>Ec</w:t>
      </w:r>
      <w:r w:rsidRPr="00E97FC1">
        <w:rPr>
          <w:rFonts w:cs="Times New Roman"/>
          <w:szCs w:val="24"/>
          <w:lang w:val="en-GB"/>
        </w:rPr>
        <w:t xml:space="preserve">CI open and closed states differ mainly by the rotation of the PA </w:t>
      </w:r>
      <w:r w:rsidR="003B1F90" w:rsidRPr="00E97FC1">
        <w:rPr>
          <w:rFonts w:cs="Times New Roman"/>
          <w:szCs w:val="24"/>
          <w:lang w:val="en-GB"/>
        </w:rPr>
        <w:t>(Figure</w:t>
      </w:r>
      <w:r w:rsidRPr="00E97FC1">
        <w:rPr>
          <w:rFonts w:cs="Times New Roman"/>
          <w:szCs w:val="24"/>
          <w:lang w:val="en-GB"/>
        </w:rPr>
        <w:t xml:space="preserve"> </w:t>
      </w:r>
      <w:r w:rsidR="000A1854">
        <w:rPr>
          <w:rFonts w:cs="Times New Roman"/>
          <w:szCs w:val="24"/>
          <w:lang w:val="en-GB"/>
        </w:rPr>
        <w:t>3.</w:t>
      </w:r>
      <w:r w:rsidRPr="00E97FC1">
        <w:rPr>
          <w:rFonts w:cs="Times New Roman"/>
          <w:szCs w:val="24"/>
          <w:lang w:val="en-GB"/>
        </w:rPr>
        <w:t xml:space="preserve">1b). This suggests that similar conformational changes around the Q site do not necessarily lead to similar PA movements in different species. The “open” and “closed” states terms can still be applied for </w:t>
      </w:r>
      <w:r w:rsidRPr="00E97FC1">
        <w:rPr>
          <w:rFonts w:cs="Times New Roman"/>
          <w:i/>
          <w:szCs w:val="24"/>
          <w:lang w:val="en-GB"/>
        </w:rPr>
        <w:t>Ec</w:t>
      </w:r>
      <w:r w:rsidRPr="00E97FC1">
        <w:rPr>
          <w:rFonts w:cs="Times New Roman"/>
          <w:szCs w:val="24"/>
          <w:lang w:val="en-GB"/>
        </w:rPr>
        <w:t>CI and other species, referring mainly to the open and closed, respectively, Q cavity.</w:t>
      </w:r>
    </w:p>
    <w:p w14:paraId="6FCA017B" w14:textId="77777777" w:rsidR="009C0734" w:rsidRPr="00E97FC1" w:rsidRDefault="009C0734" w:rsidP="00CE3E6F">
      <w:pPr>
        <w:ind w:firstLine="720"/>
        <w:rPr>
          <w:rFonts w:cs="Times New Roman"/>
          <w:szCs w:val="24"/>
          <w:lang w:val="en-GB"/>
        </w:rPr>
      </w:pPr>
      <w:r w:rsidRPr="00E97FC1">
        <w:rPr>
          <w:rFonts w:cs="Times New Roman"/>
          <w:szCs w:val="24"/>
          <w:lang w:val="en-GB"/>
        </w:rPr>
        <w:t xml:space="preserve">To verify whether the resting state could be a DDM-induced artefact, we solubilised and purified </w:t>
      </w:r>
      <w:r w:rsidRPr="00E97FC1">
        <w:rPr>
          <w:rFonts w:cs="Times New Roman"/>
          <w:i/>
          <w:szCs w:val="24"/>
          <w:lang w:val="en-GB"/>
        </w:rPr>
        <w:t>Ec</w:t>
      </w:r>
      <w:r w:rsidRPr="00E97FC1">
        <w:rPr>
          <w:rFonts w:cs="Times New Roman"/>
          <w:szCs w:val="24"/>
          <w:lang w:val="en-GB"/>
        </w:rPr>
        <w:t xml:space="preserve">CI entirely in LMNG. In apo and turnover datasets the proportion of the resting </w:t>
      </w:r>
      <w:r w:rsidRPr="00E97FC1">
        <w:rPr>
          <w:rFonts w:cs="Times New Roman"/>
          <w:szCs w:val="24"/>
          <w:lang w:val="en-GB"/>
        </w:rPr>
        <w:lastRenderedPageBreak/>
        <w:t xml:space="preserve">state dropped but remained significant </w:t>
      </w:r>
      <w:r w:rsidR="003B1F90" w:rsidRPr="00E97FC1">
        <w:rPr>
          <w:rFonts w:cs="Times New Roman"/>
          <w:szCs w:val="24"/>
          <w:lang w:val="en-GB"/>
        </w:rPr>
        <w:t>(Table 1</w:t>
      </w:r>
      <w:r w:rsidRPr="00E97FC1">
        <w:rPr>
          <w:rFonts w:cs="Times New Roman"/>
          <w:szCs w:val="24"/>
          <w:lang w:val="en-GB"/>
        </w:rPr>
        <w:t xml:space="preserve">). Its structure was unchanged, suggesting that the resting state is not an artefact of DDM exposure, but can be partially (DDM/LMNG datasets) or strongly (DDM datasets) promoted by DDM and associated de-lipidation. LMNG turnover structures also revealed a higher proportion of closed state than in DDM/LMNG, suggesting overall stabilisation of </w:t>
      </w:r>
      <w:r w:rsidRPr="00E97FC1">
        <w:rPr>
          <w:rFonts w:cs="Times New Roman"/>
          <w:i/>
          <w:szCs w:val="24"/>
          <w:lang w:val="en-GB"/>
        </w:rPr>
        <w:t>Ec</w:t>
      </w:r>
      <w:r w:rsidRPr="00E97FC1">
        <w:rPr>
          <w:rFonts w:cs="Times New Roman"/>
          <w:szCs w:val="24"/>
          <w:lang w:val="en-GB"/>
        </w:rPr>
        <w:t xml:space="preserve">CI in milder detergent. As all non-mammalian species studied so far show only open state in the absence of turnover, the appearance of closed </w:t>
      </w:r>
      <w:r w:rsidRPr="00E97FC1">
        <w:rPr>
          <w:rFonts w:cs="Times New Roman"/>
          <w:i/>
          <w:szCs w:val="24"/>
          <w:lang w:val="en-GB"/>
        </w:rPr>
        <w:t>Ec</w:t>
      </w:r>
      <w:r w:rsidRPr="00E97FC1">
        <w:rPr>
          <w:rFonts w:cs="Times New Roman"/>
          <w:szCs w:val="24"/>
          <w:lang w:val="en-GB"/>
        </w:rPr>
        <w:t xml:space="preserve">CI state only under turnover, in three independent datasets, is a definite proof that closed/open states are true catalytic intermediates. High similarity of open-to-closed transition between </w:t>
      </w:r>
      <w:r w:rsidRPr="00E97FC1">
        <w:rPr>
          <w:rFonts w:cs="Times New Roman"/>
          <w:i/>
          <w:szCs w:val="24"/>
          <w:lang w:val="en-GB"/>
        </w:rPr>
        <w:t>Ec</w:t>
      </w:r>
      <w:r w:rsidRPr="00E97FC1">
        <w:rPr>
          <w:rFonts w:cs="Times New Roman"/>
          <w:szCs w:val="24"/>
          <w:lang w:val="en-GB"/>
        </w:rPr>
        <w:t xml:space="preserve">CI and </w:t>
      </w:r>
      <w:r w:rsidRPr="00E97FC1">
        <w:rPr>
          <w:rFonts w:cs="Times New Roman"/>
          <w:i/>
          <w:szCs w:val="24"/>
          <w:lang w:val="en-GB"/>
        </w:rPr>
        <w:t>Oa</w:t>
      </w:r>
      <w:r w:rsidRPr="00E97FC1">
        <w:rPr>
          <w:rFonts w:cs="Times New Roman"/>
          <w:szCs w:val="24"/>
          <w:lang w:val="en-GB"/>
        </w:rPr>
        <w:t>CI also confirms that open/closed states of mammalian enzyme should be considered as catalytic intermediates.</w:t>
      </w:r>
    </w:p>
    <w:p w14:paraId="33A7CEE2" w14:textId="77777777" w:rsidR="009C0734" w:rsidRPr="00E97FC1" w:rsidRDefault="009C0734" w:rsidP="00CE3E6F">
      <w:pPr>
        <w:ind w:firstLine="720"/>
        <w:rPr>
          <w:lang w:val="en-GB"/>
        </w:rPr>
      </w:pPr>
    </w:p>
    <w:p w14:paraId="47B8900A" w14:textId="77777777" w:rsidR="003C3D28" w:rsidRPr="00E97FC1" w:rsidRDefault="00CE3B09" w:rsidP="00CE3E6F">
      <w:pPr>
        <w:pStyle w:val="Heading3"/>
      </w:pPr>
      <w:bookmarkStart w:id="119" w:name="_Toc132640015"/>
      <w:r w:rsidRPr="00E97FC1">
        <w:t>Quinone binding cavity</w:t>
      </w:r>
      <w:bookmarkEnd w:id="119"/>
    </w:p>
    <w:p w14:paraId="0E7AA49B" w14:textId="394F7561" w:rsidR="009C0734" w:rsidRPr="00E97FC1" w:rsidRDefault="009C0734" w:rsidP="00CE3E6F">
      <w:pPr>
        <w:ind w:firstLine="720"/>
        <w:rPr>
          <w:rFonts w:cs="Times New Roman"/>
          <w:szCs w:val="40"/>
          <w:lang w:val="en-GB"/>
        </w:rPr>
      </w:pPr>
      <w:r w:rsidRPr="00E97FC1">
        <w:rPr>
          <w:rFonts w:cs="Times New Roman"/>
          <w:szCs w:val="24"/>
          <w:lang w:val="en-GB"/>
        </w:rPr>
        <w:t>Quinone binds within an elongate</w:t>
      </w:r>
      <w:r w:rsidR="00F00021" w:rsidRPr="00E97FC1">
        <w:rPr>
          <w:rFonts w:cs="Times New Roman"/>
          <w:szCs w:val="24"/>
          <w:lang w:val="en-GB"/>
        </w:rPr>
        <w:t>d cavity at the PA/MA interface</w:t>
      </w:r>
      <w:r w:rsidRPr="00E97FC1">
        <w:rPr>
          <w:rFonts w:cs="Times New Roman"/>
          <w:szCs w:val="24"/>
          <w:lang w:val="en-GB"/>
        </w:rPr>
        <w:t xml:space="preserve">. </w:t>
      </w:r>
      <w:r w:rsidRPr="00E97FC1">
        <w:rPr>
          <w:rFonts w:cs="Times New Roman"/>
          <w:szCs w:val="40"/>
          <w:lang w:val="en-GB"/>
        </w:rPr>
        <w:t>CI-bound quinone previously was observed at the deep (Q</w:t>
      </w:r>
      <w:r w:rsidRPr="00E97FC1">
        <w:rPr>
          <w:rFonts w:cs="Times New Roman"/>
          <w:szCs w:val="40"/>
          <w:vertAlign w:val="subscript"/>
          <w:lang w:val="en-GB"/>
        </w:rPr>
        <w:t>d</w:t>
      </w:r>
      <w:r w:rsidRPr="00E97FC1">
        <w:rPr>
          <w:rFonts w:cs="Times New Roman"/>
          <w:szCs w:val="40"/>
          <w:lang w:val="en-GB"/>
        </w:rPr>
        <w:t>) and shallow (Q</w:t>
      </w:r>
      <w:r w:rsidRPr="00E97FC1">
        <w:rPr>
          <w:rFonts w:cs="Times New Roman"/>
          <w:szCs w:val="40"/>
          <w:vertAlign w:val="subscript"/>
          <w:lang w:val="en-GB"/>
        </w:rPr>
        <w:t>s</w:t>
      </w:r>
      <w:r w:rsidRPr="00E97FC1">
        <w:rPr>
          <w:rFonts w:cs="Times New Roman"/>
          <w:szCs w:val="40"/>
          <w:lang w:val="en-GB"/>
        </w:rPr>
        <w:t>) sites within the cavity, ~12 Å and ~24 Å from cluster N2, respectively</w:t>
      </w:r>
      <w:r w:rsidR="002036DC" w:rsidRPr="00E97FC1">
        <w:rPr>
          <w:rFonts w:cs="Times New Roman"/>
          <w:szCs w:val="40"/>
          <w:lang w:val="en-GB"/>
        </w:rPr>
        <w:t xml:space="preserve"> </w:t>
      </w:r>
      <w:r w:rsidR="002036DC" w:rsidRPr="00E97FC1">
        <w:rPr>
          <w:rFonts w:cs="Times New Roman"/>
          <w:szCs w:val="40"/>
          <w:lang w:val="en-GB"/>
        </w:rPr>
        <w:fldChar w:fldCharType="begin" w:fldLock="1"/>
      </w:r>
      <w:r w:rsidR="00776703" w:rsidRPr="00E97FC1">
        <w:rPr>
          <w:rFonts w:cs="Times New Roman"/>
          <w:szCs w:val="40"/>
          <w:lang w:val="en-GB"/>
        </w:rPr>
        <w:instrText>ADDIN CSL_CITATION {"citationItems":[{"id":"ITEM-1","itemData":{"author":[{"dropping-particle":"","family":"Baradaran","given":"Rozbeh","non-dropping-particle":"","parse-names":false,"suffix":""},{"dropping-particle":"","family":"Berrisford","given":"John M","non-dropping-particle":"","parse-names":false,"suffix":""},{"dropping-particle":"","family":"Minhas","given":"Gurdeep S","non-dropping-particle":"","parse-names":false,"suffix":""},{"dropping-particle":"","family":"Sazanov","given":"Leonid A","non-dropping-particle":"","parse-names":false,"suffix":""}],"container-title":"Nature","id":"ITEM-1","issued":{"date-parts":[["2013","2","17"]]},"page":"443","publisher":"Nature Publishing Group, a division of Macmillan Publishers Limited. All Rights Reserved.","title":"Crystal structure of the entire respiratory complex I","type":"article-journal","volume":"494"},"uris":["http://www.mendeley.com/documents/?uuid=b734c581-3eb2-4088-870d-6a27b0018ab2"]},{"id":"ITEM-2","itemData":{"DOI":"10.1126/sciadv.abj3221","ISSN":"2375-2548 (Electronic)","PMID":"34767441","abstract":"Mitochondrial NADH:ubiquinone oxidoreductase (complex I) is a 1-MDa membrane  protein complex with a central role in energy metabolism. Redox-driven proton translocation by complex I contributes substantially to the proton motive force that drives ATP synthase. Several structures of complex I from bacteria and mitochondria have been determined, but its catalytic mechanism has remained controversial. We here present the cryo-EM structure of complex I from Yarrowia lipolytica at 2.1-Å resolution, which reveals the positions of more than 1600 protein-bound water molecules, of which ~100 are located in putative proton translocation pathways. Another structure of the same complex under steady-state activity conditions at 3.4-Å resolution indicates conformational transitions that we associate with proton injection into the central hydrophilic axis. By combining high-resolution structural data with site-directed mutagenesis and large-scale molecular dynamic simulations, we define details of the proton translocation pathways and offer insights into the redox-coupled proton pumping mechanism of complex I.","author":[{"dropping-particle":"","family":"Parey","given":"Kristian","non-dropping-particle":"","parse-names":false,"suffix":""},{"dropping-particle":"","family":"Lasham","given":"Jonathan","non-dropping-particle":"","parse-names":false,"suffix":""},{"dropping-particle":"","family":"Mills","given":"Deryck J","non-dropping-particle":"","parse-names":false,"suffix":""},{"dropping-particle":"","family":"Djurabekova","given":"Amina","non-dropping-particle":"","parse-names":false,"suffix":""},{"dropping-particle":"","family":"Haapanen","given":"Outi","non-dropping-particle":"","parse-names":false,"suffix":""},{"dropping-particle":"","family":"Yoga","given":"Etienne Galemou","non-dropping-particle":"","parse-names":false,"suffix":""},{"dropping-particle":"","family":"Xie","given":"Hao","non-dropping-particle":"","parse-names":false,"suffix":""},{"dropping-particle":"","family":"Kühlbrandt","given":"Werner","non-dropping-particle":"","parse-names":false,"suffix":""},{"dropping-particle":"","family":"Sharma","given":"Vivek","non-dropping-particle":"","parse-names":false,"suffix":""},{"dropping-particle":"","family":"Vonck","given":"Janet","non-dropping-particle":"","parse-names":false,"suffix":""},{"dropping-particle":"","family":"Zickermann","given":"Volker","non-dropping-particle":"","parse-names":false,"suffix":""}],"container-title":"Science advances","id":"ITEM-2","issue":"46","issued":{"date-parts":[["2021","11"]]},"language":"eng","page":"eabj3221","title":"High-resolution structure and dynamics of mitochondrial complex I-Insights into  the proton pumping mechanism.","type":"article-journal","volume":"7"},"uris":["http://www.mendeley.com/documents/?uuid=09f1fb2e-6eb4-4a01-b6ed-da596d507f4a"]}],"mendeley":{"formattedCitation":"(Baradaran &lt;i&gt;et al&lt;/i&gt;, 2013; Parey &lt;i&gt;et al&lt;/i&gt;, 2021)","plainTextFormattedCitation":"(Baradaran et al, 2013; Parey et al, 2021)","previouslyFormattedCitation":"(Baradaran &lt;i&gt;et al&lt;/i&gt;, 2013; Parey &lt;i&gt;et al&lt;/i&gt;, 2021)"},"properties":{"noteIndex":0},"schema":"https://github.com/citation-style-language/schema/raw/master/csl-citation.json"}</w:instrText>
      </w:r>
      <w:r w:rsidR="002036DC" w:rsidRPr="00E97FC1">
        <w:rPr>
          <w:rFonts w:cs="Times New Roman"/>
          <w:szCs w:val="40"/>
          <w:lang w:val="en-GB"/>
        </w:rPr>
        <w:fldChar w:fldCharType="separate"/>
      </w:r>
      <w:r w:rsidR="00E55873" w:rsidRPr="00E97FC1">
        <w:rPr>
          <w:rFonts w:cs="Times New Roman"/>
          <w:noProof/>
          <w:szCs w:val="40"/>
          <w:lang w:val="en-GB"/>
        </w:rPr>
        <w:t xml:space="preserve">(Baradaran </w:t>
      </w:r>
      <w:r w:rsidR="00E55873" w:rsidRPr="00E97FC1">
        <w:rPr>
          <w:rFonts w:cs="Times New Roman"/>
          <w:i/>
          <w:noProof/>
          <w:szCs w:val="40"/>
          <w:lang w:val="en-GB"/>
        </w:rPr>
        <w:t>et al</w:t>
      </w:r>
      <w:r w:rsidR="00E55873" w:rsidRPr="00E97FC1">
        <w:rPr>
          <w:rFonts w:cs="Times New Roman"/>
          <w:noProof/>
          <w:szCs w:val="40"/>
          <w:lang w:val="en-GB"/>
        </w:rPr>
        <w:t xml:space="preserve">, 2013; Parey </w:t>
      </w:r>
      <w:r w:rsidR="00E55873" w:rsidRPr="00E97FC1">
        <w:rPr>
          <w:rFonts w:cs="Times New Roman"/>
          <w:i/>
          <w:noProof/>
          <w:szCs w:val="40"/>
          <w:lang w:val="en-GB"/>
        </w:rPr>
        <w:t>et al</w:t>
      </w:r>
      <w:r w:rsidR="00E55873" w:rsidRPr="00E97FC1">
        <w:rPr>
          <w:rFonts w:cs="Times New Roman"/>
          <w:noProof/>
          <w:szCs w:val="40"/>
          <w:lang w:val="en-GB"/>
        </w:rPr>
        <w:t>, 2021)</w:t>
      </w:r>
      <w:r w:rsidR="002036DC" w:rsidRPr="00E97FC1">
        <w:rPr>
          <w:rFonts w:cs="Times New Roman"/>
          <w:szCs w:val="40"/>
          <w:lang w:val="en-GB"/>
        </w:rPr>
        <w:fldChar w:fldCharType="end"/>
      </w:r>
      <w:r w:rsidRPr="00E97FC1">
        <w:rPr>
          <w:rFonts w:cs="Times New Roman"/>
          <w:szCs w:val="40"/>
          <w:lang w:val="en-GB"/>
        </w:rPr>
        <w:t xml:space="preserve">. In </w:t>
      </w:r>
      <w:r w:rsidRPr="00E97FC1">
        <w:rPr>
          <w:rFonts w:cs="Times New Roman"/>
          <w:i/>
          <w:szCs w:val="40"/>
          <w:lang w:val="en-GB"/>
        </w:rPr>
        <w:t>Oa</w:t>
      </w:r>
      <w:r w:rsidRPr="00E97FC1">
        <w:rPr>
          <w:rFonts w:cs="Times New Roman"/>
          <w:szCs w:val="40"/>
          <w:lang w:val="en-GB"/>
        </w:rPr>
        <w:t>CI both sites were occupied in the closed state under turnover</w:t>
      </w:r>
      <w:hyperlink w:anchor="_ENREF_3" w:tooltip="Kampjut, 2020 #1543" w:history="1"/>
      <w:r w:rsidR="002036DC" w:rsidRPr="00E97FC1">
        <w:rPr>
          <w:rFonts w:cs="Times New Roman"/>
          <w:szCs w:val="40"/>
          <w:lang w:val="en-GB"/>
        </w:rPr>
        <w:t xml:space="preserve"> </w:t>
      </w:r>
      <w:r w:rsidR="002036DC" w:rsidRPr="00E97FC1">
        <w:rPr>
          <w:rFonts w:cs="Times New Roman"/>
          <w:szCs w:val="40"/>
          <w:lang w:val="en-GB"/>
        </w:rPr>
        <w:fldChar w:fldCharType="begin" w:fldLock="1"/>
      </w:r>
      <w:r w:rsidR="00E55873" w:rsidRPr="00E97FC1">
        <w:rPr>
          <w:rFonts w:cs="Times New Roman"/>
          <w:szCs w:val="40"/>
          <w:lang w:val="en-GB"/>
        </w:rPr>
        <w:instrText>ADDIN CSL_CITATION {"citationItems":[{"id":"ITEM-1","itemData":{"DOI":"10.1126/science.abc4209","ISSN":"1095-9203 (Electronic)","PMID":"32972993","abstract":"Mitochondrial complex I couples NADH:ubiquinone oxidoreduction to proton pumping by  an unknown mechanism. Here, we present cryo-electron microscopy structures of ovine complex I in five different conditions, including turnover, at resolutions up to 2.3 to 2.5 angstroms. Resolved water molecules allowed us to experimentally define the proton translocation pathways. Quinone binds at three positions along the quinone cavity, as does the inhibitor rotenone that also binds within subunit ND4. Dramatic conformational changes around the quinone cavity couple the redox reaction to proton translocation during open-to-closed state transitions of the enzyme. In the induced deactive state, the open conformation is arrested by the ND6 subunit. We propose a detailed molecular coupling mechanism of complex I, which is an unexpected combination of conformational changes and electrostatic interactions.","author":[{"dropping-particle":"","family":"Kampjut","given":"Domen","non-dropping-particle":"","parse-names":false,"suffix":""},{"dropping-particle":"","family":"Sazanov","given":"Leonid A","non-dropping-particle":"","parse-names":false,"suffix":""}],"container-title":"Science (New York, N.Y.)","id":"ITEM-1","issue":"6516","issued":{"date-parts":[["2020","10"]]},"language":"eng","publisher-place":"United States","title":"The coupling mechanism of mammalian respiratory complex I.","type":"article-journal","volume":"370"},"uris":["http://www.mendeley.com/documents/?uuid=7ba13959-8c17-4313-8227-becdec77971c"]}],"mendeley":{"formattedCitation":"(Kampjut &amp; Sazanov, 2020)","plainTextFormattedCitation":"(Kampjut &amp; Sazanov, 2020)","previouslyFormattedCitation":"(Kampjut &amp; Sazanov, 2020)"},"properties":{"noteIndex":0},"schema":"https://github.com/citation-style-language/schema/raw/master/csl-citation.json"}</w:instrText>
      </w:r>
      <w:r w:rsidR="002036DC" w:rsidRPr="00E97FC1">
        <w:rPr>
          <w:rFonts w:cs="Times New Roman"/>
          <w:szCs w:val="40"/>
          <w:lang w:val="en-GB"/>
        </w:rPr>
        <w:fldChar w:fldCharType="separate"/>
      </w:r>
      <w:r w:rsidR="00E55873" w:rsidRPr="00E97FC1">
        <w:rPr>
          <w:rFonts w:cs="Times New Roman"/>
          <w:noProof/>
          <w:szCs w:val="40"/>
          <w:lang w:val="en-GB"/>
        </w:rPr>
        <w:t>(Kampjut &amp; Sazanov, 2020)</w:t>
      </w:r>
      <w:r w:rsidR="002036DC" w:rsidRPr="00E97FC1">
        <w:rPr>
          <w:rFonts w:cs="Times New Roman"/>
          <w:szCs w:val="40"/>
          <w:lang w:val="en-GB"/>
        </w:rPr>
        <w:fldChar w:fldCharType="end"/>
      </w:r>
      <w:r w:rsidRPr="00E97FC1">
        <w:rPr>
          <w:rFonts w:cs="Times New Roman"/>
          <w:szCs w:val="40"/>
          <w:lang w:val="en-GB"/>
        </w:rPr>
        <w:t>, which is possible with short-tailed DQ, as the native quinone occupies the entire length of the cavity</w:t>
      </w:r>
      <w:r w:rsidR="002036DC" w:rsidRPr="00E97FC1">
        <w:rPr>
          <w:rFonts w:cs="Times New Roman"/>
          <w:szCs w:val="40"/>
          <w:lang w:val="en-GB"/>
        </w:rPr>
        <w:t xml:space="preserve"> </w:t>
      </w:r>
      <w:r w:rsidR="002036DC" w:rsidRPr="00E97FC1">
        <w:rPr>
          <w:rFonts w:cs="Times New Roman"/>
          <w:szCs w:val="40"/>
          <w:lang w:val="en-GB"/>
        </w:rPr>
        <w:fldChar w:fldCharType="begin" w:fldLock="1"/>
      </w:r>
      <w:r w:rsidR="00776703" w:rsidRPr="00E97FC1">
        <w:rPr>
          <w:rFonts w:cs="Times New Roman"/>
          <w:szCs w:val="40"/>
          <w:lang w:val="en-GB"/>
        </w:rPr>
        <w:instrText>ADDIN CSL_CITATION {"citationItems":[{"id":"ITEM-1","itemData":{"DOI":"10.1038/s41594-022-00722-w","ISSN":"1545-9985 (Electronic)","PMID":"35145322","abstract":"Mammalian respiratory complex I (CI) is a 45-subunit, redox-driven proton pump  that generates an electrochemical gradient across the mitochondrial inner membrane to power ATP synthesis in mitochondria. In the present study, we report cryo-electron microscopy structures of CI from Sus scrofa in six treatment conditions at a resolution of 2.4-3.5 Å, in which CI structures of each condition can be classified into two biochemical classes (active or deactive), with a notably higher proportion of active CI particles. These structures illuminate how hydrophobic ubiquinone-10 (Q10) with its long isoprenoid tail is bound and reduced in a narrow Q chamber comprising four different Q10-binding sites. Structural comparisons of active CI structures from our decylubiquinone-NADH and rotenone-NADH datasets reveal that Q10 reduction at site 1 is not coupled to proton pumping in the membrane arm, which might instead be coupled to Q10 oxidation at site 2. Our data overturn the widely accepted previous proposal about the coupling mechanism of CI.","author":[{"dropping-particle":"","family":"Gu","given":"Jinke","non-dropping-particle":"","parse-names":false,"suffix":""},{"dropping-particle":"","family":"Liu","given":"Tianya","non-dropping-particle":"","parse-names":false,"suffix":""},{"dropping-particle":"","family":"Guo","given":"Runyu","non-dropping-particle":"","parse-names":false,"suffix":""},{"dropping-particle":"","family":"Zhang","given":"Laixing","non-dropping-particle":"","parse-names":false,"suffix":""},{"dropping-particle":"","family":"Yang","given":"Maojun","non-dropping-particle":"","parse-names":false,"suffix":""}],"container-title":"Nature structural &amp; molecular biology","id":"ITEM-1","issue":"2","issued":{"date-parts":[["2022","2"]]},"language":"eng","page":"172-182","publisher-place":"United States","title":"The coupling mechanism of mammalian mitochondrial complex I.","type":"article-journal","volume":"29"},"uris":["http://www.mendeley.com/documents/?uuid=a3fb1ccb-b1a6-477a-844b-60d876934a3c"]}],"mendeley":{"formattedCitation":"(Gu &lt;i&gt;et al&lt;/i&gt;, 2022)","plainTextFormattedCitation":"(Gu et al, 2022)","previouslyFormattedCitation":"(Gu &lt;i&gt;et al&lt;/i&gt;, 2022)"},"properties":{"noteIndex":0},"schema":"https://github.com/citation-style-language/schema/raw/master/csl-citation.json"}</w:instrText>
      </w:r>
      <w:r w:rsidR="002036DC" w:rsidRPr="00E97FC1">
        <w:rPr>
          <w:rFonts w:cs="Times New Roman"/>
          <w:szCs w:val="40"/>
          <w:lang w:val="en-GB"/>
        </w:rPr>
        <w:fldChar w:fldCharType="separate"/>
      </w:r>
      <w:r w:rsidR="00E55873" w:rsidRPr="00E97FC1">
        <w:rPr>
          <w:rFonts w:cs="Times New Roman"/>
          <w:noProof/>
          <w:szCs w:val="40"/>
          <w:lang w:val="en-GB"/>
        </w:rPr>
        <w:t xml:space="preserve">(Gu </w:t>
      </w:r>
      <w:r w:rsidR="00E55873" w:rsidRPr="00E97FC1">
        <w:rPr>
          <w:rFonts w:cs="Times New Roman"/>
          <w:i/>
          <w:noProof/>
          <w:szCs w:val="40"/>
          <w:lang w:val="en-GB"/>
        </w:rPr>
        <w:t>et al</w:t>
      </w:r>
      <w:r w:rsidR="00E55873" w:rsidRPr="00E97FC1">
        <w:rPr>
          <w:rFonts w:cs="Times New Roman"/>
          <w:noProof/>
          <w:szCs w:val="40"/>
          <w:lang w:val="en-GB"/>
        </w:rPr>
        <w:t>, 2022)</w:t>
      </w:r>
      <w:r w:rsidR="002036DC" w:rsidRPr="00E97FC1">
        <w:rPr>
          <w:rFonts w:cs="Times New Roman"/>
          <w:szCs w:val="40"/>
          <w:lang w:val="en-GB"/>
        </w:rPr>
        <w:fldChar w:fldCharType="end"/>
      </w:r>
      <w:r w:rsidRPr="00E97FC1">
        <w:rPr>
          <w:rFonts w:cs="Times New Roman"/>
          <w:szCs w:val="40"/>
          <w:lang w:val="en-GB"/>
        </w:rPr>
        <w:t xml:space="preserve">. Notably, in the open state </w:t>
      </w:r>
      <w:r w:rsidRPr="00E97FC1">
        <w:rPr>
          <w:rFonts w:cs="Times New Roman"/>
          <w:i/>
          <w:szCs w:val="40"/>
          <w:lang w:val="en-GB"/>
        </w:rPr>
        <w:t>Ec</w:t>
      </w:r>
      <w:r w:rsidRPr="00E97FC1">
        <w:rPr>
          <w:rFonts w:cs="Times New Roman"/>
          <w:szCs w:val="40"/>
          <w:lang w:val="en-GB"/>
        </w:rPr>
        <w:t xml:space="preserve">CI (DDM/LMNG datasets) the only observed quinone was bound in the additional site ~ 16 Å from N2, with headgroup interacting with </w:t>
      </w:r>
      <w:r w:rsidRPr="00E97FC1">
        <w:rPr>
          <w:rFonts w:cs="Times New Roman"/>
          <w:szCs w:val="40"/>
          <w:vertAlign w:val="subscript"/>
          <w:lang w:val="en-GB"/>
        </w:rPr>
        <w:t>CD</w:t>
      </w:r>
      <w:r w:rsidRPr="00E97FC1">
        <w:rPr>
          <w:rFonts w:cs="Times New Roman"/>
          <w:szCs w:val="40"/>
          <w:lang w:val="en-GB"/>
        </w:rPr>
        <w:t xml:space="preserve">Q328 and stacked against </w:t>
      </w:r>
      <w:r w:rsidRPr="00E97FC1">
        <w:rPr>
          <w:rFonts w:cs="Times New Roman"/>
          <w:szCs w:val="40"/>
          <w:vertAlign w:val="subscript"/>
          <w:lang w:val="en-GB"/>
        </w:rPr>
        <w:t>B</w:t>
      </w:r>
      <w:r w:rsidRPr="00E97FC1">
        <w:rPr>
          <w:rFonts w:cs="Times New Roman"/>
          <w:szCs w:val="40"/>
          <w:lang w:val="en-GB"/>
        </w:rPr>
        <w:t>L86 (</w:t>
      </w:r>
      <w:r w:rsidR="00F00021" w:rsidRPr="00E97FC1">
        <w:rPr>
          <w:rFonts w:cs="Times New Roman"/>
          <w:szCs w:val="40"/>
          <w:lang w:val="en-GB"/>
        </w:rPr>
        <w:t xml:space="preserve">Figure </w:t>
      </w:r>
      <w:r w:rsidR="00B2595E">
        <w:rPr>
          <w:rFonts w:cs="Times New Roman"/>
          <w:szCs w:val="40"/>
          <w:lang w:val="en-GB"/>
        </w:rPr>
        <w:t>3.</w:t>
      </w:r>
      <w:r w:rsidR="000F12F2">
        <w:rPr>
          <w:rFonts w:cs="Times New Roman"/>
          <w:szCs w:val="40"/>
          <w:lang w:val="en-GB"/>
        </w:rPr>
        <w:t>7</w:t>
      </w:r>
      <w:r w:rsidR="0050728A" w:rsidRPr="00E97FC1">
        <w:rPr>
          <w:rFonts w:cs="Times New Roman"/>
          <w:szCs w:val="40"/>
          <w:lang w:val="en-GB"/>
        </w:rPr>
        <w:t>b</w:t>
      </w:r>
      <w:r w:rsidRPr="00E97FC1">
        <w:rPr>
          <w:rFonts w:cs="Times New Roman"/>
          <w:szCs w:val="40"/>
          <w:lang w:val="en-GB"/>
        </w:rPr>
        <w:t>). DQ, native UQ8 or piericidin A were bound in the same site, which we termed median, or Q</w:t>
      </w:r>
      <w:r w:rsidRPr="00E97FC1">
        <w:rPr>
          <w:rFonts w:cs="Times New Roman"/>
          <w:szCs w:val="40"/>
          <w:vertAlign w:val="subscript"/>
          <w:lang w:val="en-GB"/>
        </w:rPr>
        <w:t>m</w:t>
      </w:r>
      <w:r w:rsidRPr="00E97FC1">
        <w:rPr>
          <w:rFonts w:cs="Times New Roman"/>
          <w:szCs w:val="40"/>
          <w:lang w:val="en-GB"/>
        </w:rPr>
        <w:t>. The Q</w:t>
      </w:r>
      <w:r w:rsidRPr="00E97FC1">
        <w:rPr>
          <w:rFonts w:cs="Times New Roman"/>
          <w:szCs w:val="40"/>
          <w:vertAlign w:val="subscript"/>
          <w:lang w:val="en-GB"/>
        </w:rPr>
        <w:t>d</w:t>
      </w:r>
      <w:r w:rsidRPr="00E97FC1">
        <w:rPr>
          <w:rFonts w:cs="Times New Roman"/>
          <w:szCs w:val="40"/>
          <w:lang w:val="en-GB"/>
        </w:rPr>
        <w:t xml:space="preserve"> binding is prevented in all </w:t>
      </w:r>
      <w:r w:rsidRPr="00E97FC1">
        <w:rPr>
          <w:rFonts w:cs="Times New Roman"/>
          <w:i/>
          <w:szCs w:val="40"/>
          <w:lang w:val="en-GB"/>
        </w:rPr>
        <w:t>Ec</w:t>
      </w:r>
      <w:r w:rsidRPr="00E97FC1">
        <w:rPr>
          <w:rFonts w:cs="Times New Roman"/>
          <w:szCs w:val="40"/>
          <w:lang w:val="en-GB"/>
        </w:rPr>
        <w:t>CI open state structures by the extended conformation of the NuoCD</w:t>
      </w:r>
      <w:r w:rsidRPr="00E97FC1">
        <w:rPr>
          <w:rFonts w:cs="Times New Roman"/>
          <w:szCs w:val="24"/>
          <w:lang w:val="en-GB"/>
        </w:rPr>
        <w:t xml:space="preserve"> β1-β2 </w:t>
      </w:r>
      <w:r w:rsidRPr="00E97FC1">
        <w:rPr>
          <w:rFonts w:cs="Times New Roman"/>
          <w:szCs w:val="40"/>
          <w:lang w:val="en-GB"/>
        </w:rPr>
        <w:t>loop, blocking the deep end of the cavity (Fig</w:t>
      </w:r>
      <w:r w:rsidR="00DA2C62" w:rsidRPr="00E97FC1">
        <w:rPr>
          <w:rFonts w:cs="Times New Roman"/>
          <w:szCs w:val="40"/>
          <w:lang w:val="en-GB"/>
        </w:rPr>
        <w:t>ure</w:t>
      </w:r>
      <w:r w:rsidRPr="00E97FC1">
        <w:rPr>
          <w:rFonts w:cs="Times New Roman"/>
          <w:szCs w:val="40"/>
          <w:lang w:val="en-GB"/>
        </w:rPr>
        <w:t xml:space="preserve"> </w:t>
      </w:r>
      <w:r w:rsidR="00DA2C62" w:rsidRPr="00E97FC1">
        <w:rPr>
          <w:rFonts w:cs="Times New Roman"/>
          <w:szCs w:val="40"/>
          <w:lang w:val="en-GB"/>
        </w:rPr>
        <w:t>3.</w:t>
      </w:r>
      <w:r w:rsidR="000F12F2">
        <w:rPr>
          <w:rFonts w:cs="Times New Roman"/>
          <w:szCs w:val="40"/>
          <w:lang w:val="en-GB"/>
        </w:rPr>
        <w:t>7a</w:t>
      </w:r>
      <w:r w:rsidRPr="00E97FC1">
        <w:rPr>
          <w:rFonts w:cs="Times New Roman"/>
          <w:szCs w:val="40"/>
          <w:lang w:val="en-GB"/>
        </w:rPr>
        <w:t xml:space="preserve">). In </w:t>
      </w:r>
      <w:r w:rsidRPr="00E97FC1">
        <w:rPr>
          <w:rFonts w:cs="Times New Roman"/>
          <w:i/>
          <w:szCs w:val="40"/>
          <w:lang w:val="en-GB"/>
        </w:rPr>
        <w:t>Oa</w:t>
      </w:r>
      <w:r w:rsidRPr="00E97FC1">
        <w:rPr>
          <w:rFonts w:cs="Times New Roman"/>
          <w:szCs w:val="40"/>
          <w:lang w:val="en-GB"/>
        </w:rPr>
        <w:t xml:space="preserve">CI open states this loop is disordered, with extended conformation </w:t>
      </w:r>
      <w:r w:rsidR="00F96A16" w:rsidRPr="00E97FC1">
        <w:rPr>
          <w:rFonts w:cs="Times New Roman"/>
          <w:szCs w:val="40"/>
          <w:lang w:val="en-GB"/>
        </w:rPr>
        <w:t xml:space="preserve">observed </w:t>
      </w:r>
      <w:r w:rsidRPr="00E97FC1">
        <w:rPr>
          <w:rFonts w:cs="Times New Roman"/>
          <w:szCs w:val="40"/>
          <w:lang w:val="en-GB"/>
        </w:rPr>
        <w:t>only in the NADH-reduced state</w:t>
      </w:r>
      <w:hyperlink w:anchor="_ENREF_3" w:tooltip="Kampjut, 2020 #1543" w:history="1"/>
      <w:r w:rsidR="008B1EF6" w:rsidRPr="00E97FC1">
        <w:rPr>
          <w:rFonts w:cs="Times New Roman"/>
          <w:szCs w:val="40"/>
          <w:lang w:val="en-GB"/>
        </w:rPr>
        <w:t xml:space="preserve"> </w:t>
      </w:r>
      <w:r w:rsidR="008B1EF6" w:rsidRPr="00E97FC1">
        <w:rPr>
          <w:rFonts w:cs="Times New Roman"/>
          <w:szCs w:val="40"/>
          <w:lang w:val="en-GB"/>
        </w:rPr>
        <w:fldChar w:fldCharType="begin" w:fldLock="1"/>
      </w:r>
      <w:r w:rsidR="00E55873" w:rsidRPr="00E97FC1">
        <w:rPr>
          <w:rFonts w:cs="Times New Roman"/>
          <w:szCs w:val="40"/>
          <w:lang w:val="en-GB"/>
        </w:rPr>
        <w:instrText>ADDIN CSL_CITATION {"citationItems":[{"id":"ITEM-1","itemData":{"DOI":"10.1126/science.abc4209","ISSN":"1095-9203 (Electronic)","PMID":"32972993","abstract":"Mitochondrial complex I couples NADH:ubiquinone oxidoreduction to proton pumping by  an unknown mechanism. Here, we present cryo-electron microscopy structures of ovine complex I in five different conditions, including turnover, at resolutions up to 2.3 to 2.5 angstroms. Resolved water molecules allowed us to experimentally define the proton translocation pathways. Quinone binds at three positions along the quinone cavity, as does the inhibitor rotenone that also binds within subunit ND4. Dramatic conformational changes around the quinone cavity couple the redox reaction to proton translocation during open-to-closed state transitions of the enzyme. In the induced deactive state, the open conformation is arrested by the ND6 subunit. We propose a detailed molecular coupling mechanism of complex I, which is an unexpected combination of conformational changes and electrostatic interactions.","author":[{"dropping-particle":"","family":"Kampjut","given":"Domen","non-dropping-particle":"","parse-names":false,"suffix":""},{"dropping-particle":"","family":"Sazanov","given":"Leonid A","non-dropping-particle":"","parse-names":false,"suffix":""}],"container-title":"Science (New York, N.Y.)","id":"ITEM-1","issue":"6516","issued":{"date-parts":[["2020","10"]]},"language":"eng","publisher-place":"United States","title":"The coupling mechanism of mammalian respiratory complex I.","type":"article-journal","volume":"370"},"uris":["http://www.mendeley.com/documents/?uuid=7ba13959-8c17-4313-8227-becdec77971c"]}],"mendeley":{"formattedCitation":"(Kampjut &amp; Sazanov, 2020)","plainTextFormattedCitation":"(Kampjut &amp; Sazanov, 2020)","previouslyFormattedCitation":"(Kampjut &amp; Sazanov, 2020)"},"properties":{"noteIndex":0},"schema":"https://github.com/citation-style-language/schema/raw/master/csl-citation.json"}</w:instrText>
      </w:r>
      <w:r w:rsidR="008B1EF6" w:rsidRPr="00E97FC1">
        <w:rPr>
          <w:rFonts w:cs="Times New Roman"/>
          <w:szCs w:val="40"/>
          <w:lang w:val="en-GB"/>
        </w:rPr>
        <w:fldChar w:fldCharType="separate"/>
      </w:r>
      <w:r w:rsidR="00E55873" w:rsidRPr="00E97FC1">
        <w:rPr>
          <w:rFonts w:cs="Times New Roman"/>
          <w:noProof/>
          <w:szCs w:val="40"/>
          <w:lang w:val="en-GB"/>
        </w:rPr>
        <w:t>(Kampjut &amp; Sazanov, 2020)</w:t>
      </w:r>
      <w:r w:rsidR="008B1EF6" w:rsidRPr="00E97FC1">
        <w:rPr>
          <w:rFonts w:cs="Times New Roman"/>
          <w:szCs w:val="40"/>
          <w:lang w:val="en-GB"/>
        </w:rPr>
        <w:fldChar w:fldCharType="end"/>
      </w:r>
      <w:r w:rsidRPr="00E97FC1">
        <w:rPr>
          <w:rFonts w:cs="Times New Roman"/>
          <w:szCs w:val="40"/>
          <w:lang w:val="en-GB"/>
        </w:rPr>
        <w:t>. An extended loop is observed in the NDH complex</w:t>
      </w:r>
      <w:r w:rsidR="008B1EF6" w:rsidRPr="00E97FC1">
        <w:rPr>
          <w:rFonts w:cs="Times New Roman"/>
          <w:szCs w:val="40"/>
          <w:lang w:val="en-GB"/>
        </w:rPr>
        <w:t xml:space="preserve"> </w:t>
      </w:r>
      <w:r w:rsidR="008B1EF6" w:rsidRPr="00E97FC1">
        <w:rPr>
          <w:rFonts w:cs="Times New Roman"/>
          <w:szCs w:val="40"/>
          <w:lang w:val="en-GB"/>
        </w:rPr>
        <w:fldChar w:fldCharType="begin" w:fldLock="1"/>
      </w:r>
      <w:r w:rsidR="00776703" w:rsidRPr="00E97FC1">
        <w:rPr>
          <w:rFonts w:cs="Times New Roman"/>
          <w:szCs w:val="40"/>
          <w:lang w:val="en-GB"/>
        </w:rPr>
        <w:instrText>ADDIN CSL_CITATION {"citationItems":[{"id":"ITEM-1","itemData":{"DOI":"10.1038/s41467-020-14456-0","ISSN":"2041-1723 (Electronic)","PMID":"32001694","abstract":"NAD(P)H dehydrogenase-like (NDH) complex NDH-1L of cyanobacteria plays a crucial  role in cyclic electron flow (CEF) around photosystem I and respiration processes. NDH-1L couples the electron transport from ferredoxin (Fd) to plastoquinone (PQ) and proton pumping from cytoplasm to the lumen that drives the ATP production. NDH-1L-dependent CEF increases the ATP/NADPH ratio, and is therefore pivotal for oxygenic phototrophs to function under stress. Here we report two structures of NDH-1L from Thermosynechococcus elongatus BP-1, in complex with one Fd and an endogenous PQ, respectively. Our structures represent the complete model of cyanobacterial NDH-1L, revealing the binding manner of NDH-1L with Fd and PQ, as well as the structural elements crucial for proper functioning of the NDH-1L complex. Together, our data provides deep insights into the electron transport from Fd to PQ, and its coupling with proton translocation in NDH-1L.","author":[{"dropping-particle":"","family":"Pan","given":"Xiaowei","non-dropping-particle":"","parse-names":false,"suffix":""},{"dropping-particle":"","family":"Cao","given":"Duanfang","non-dropping-particle":"","parse-names":false,"suffix":""},{"dropping-particle":"","family":"Xie","given":"Fen","non-dropping-particle":"","parse-names":false,"suffix":""},{"dropping-particle":"","family":"Xu","given":"Fang","non-dropping-particle":"","parse-names":false,"suffix":""},{"dropping-particle":"","family":"Su","given":"Xiaodong","non-dropping-particle":"","parse-names":false,"suffix":""},{"dropping-particle":"","family":"Mi","given":"Hualing","non-dropping-particle":"","parse-names":false,"suffix":""},{"dropping-particle":"","family":"Zhang","given":"Xinzheng","non-dropping-particle":"","parse-names":false,"suffix":""},{"dropping-particle":"","family":"Li","given":"Mei","non-dropping-particle":"","parse-names":false,"suffix":""}],"container-title":"Nature communications","id":"ITEM-1","issue":"1","issued":{"date-parts":[["2020","1"]]},"language":"eng","page":"610","title":"Structural basis for electron transport mechanism of complex I-like  photosynthetic NAD(P)H dehydrogenase.","type":"article-journal","volume":"11"},"uris":["http://www.mendeley.com/documents/?uuid=33e06fc5-9e3f-46f4-bffd-535aff5becc5"]}],"mendeley":{"formattedCitation":"(Pan &lt;i&gt;et al&lt;/i&gt;, 2020)","plainTextFormattedCitation":"(Pan et al, 2020)","previouslyFormattedCitation":"(Pan &lt;i&gt;et al&lt;/i&gt;, 2020)"},"properties":{"noteIndex":0},"schema":"https://github.com/citation-style-language/schema/raw/master/csl-citation.json"}</w:instrText>
      </w:r>
      <w:r w:rsidR="008B1EF6" w:rsidRPr="00E97FC1">
        <w:rPr>
          <w:rFonts w:cs="Times New Roman"/>
          <w:szCs w:val="40"/>
          <w:lang w:val="en-GB"/>
        </w:rPr>
        <w:fldChar w:fldCharType="separate"/>
      </w:r>
      <w:r w:rsidR="00E55873" w:rsidRPr="00E97FC1">
        <w:rPr>
          <w:rFonts w:cs="Times New Roman"/>
          <w:noProof/>
          <w:szCs w:val="40"/>
          <w:lang w:val="en-GB"/>
        </w:rPr>
        <w:t xml:space="preserve">(Pan </w:t>
      </w:r>
      <w:r w:rsidR="00E55873" w:rsidRPr="00E97FC1">
        <w:rPr>
          <w:rFonts w:cs="Times New Roman"/>
          <w:i/>
          <w:noProof/>
          <w:szCs w:val="40"/>
          <w:lang w:val="en-GB"/>
        </w:rPr>
        <w:t>et al</w:t>
      </w:r>
      <w:r w:rsidR="00E55873" w:rsidRPr="00E97FC1">
        <w:rPr>
          <w:rFonts w:cs="Times New Roman"/>
          <w:noProof/>
          <w:szCs w:val="40"/>
          <w:lang w:val="en-GB"/>
        </w:rPr>
        <w:t>, 2020)</w:t>
      </w:r>
      <w:r w:rsidR="008B1EF6" w:rsidRPr="00E97FC1">
        <w:rPr>
          <w:rFonts w:cs="Times New Roman"/>
          <w:szCs w:val="40"/>
          <w:lang w:val="en-GB"/>
        </w:rPr>
        <w:fldChar w:fldCharType="end"/>
      </w:r>
      <w:r w:rsidRPr="00E97FC1">
        <w:rPr>
          <w:rFonts w:cs="Times New Roman"/>
          <w:szCs w:val="40"/>
          <w:lang w:val="en-GB"/>
        </w:rPr>
        <w:t>, with plastoquinone (PQ) bound in Q</w:t>
      </w:r>
      <w:r w:rsidRPr="00E97FC1">
        <w:rPr>
          <w:rFonts w:cs="Times New Roman"/>
          <w:szCs w:val="40"/>
          <w:vertAlign w:val="subscript"/>
          <w:lang w:val="en-GB"/>
        </w:rPr>
        <w:t>m</w:t>
      </w:r>
      <w:r w:rsidRPr="00E97FC1">
        <w:rPr>
          <w:rFonts w:cs="Times New Roman"/>
          <w:szCs w:val="40"/>
          <w:lang w:val="en-GB"/>
        </w:rPr>
        <w:t xml:space="preserve"> position (</w:t>
      </w:r>
      <w:r w:rsidR="00B2595E">
        <w:rPr>
          <w:rFonts w:cs="Times New Roman"/>
          <w:szCs w:val="40"/>
          <w:lang w:val="en-GB"/>
        </w:rPr>
        <w:t>Figure 3.7</w:t>
      </w:r>
      <w:r w:rsidR="0050728A" w:rsidRPr="00E97FC1">
        <w:rPr>
          <w:rFonts w:cs="Times New Roman"/>
          <w:szCs w:val="40"/>
          <w:lang w:val="en-GB"/>
        </w:rPr>
        <w:t>c</w:t>
      </w:r>
      <w:r w:rsidRPr="00E97FC1">
        <w:rPr>
          <w:rFonts w:cs="Times New Roman"/>
          <w:szCs w:val="40"/>
          <w:lang w:val="en-GB"/>
        </w:rPr>
        <w:t xml:space="preserve">). A conserved NuoB alanine is replaced by </w:t>
      </w:r>
      <w:r w:rsidRPr="00E97FC1">
        <w:rPr>
          <w:rFonts w:cs="Times New Roman"/>
          <w:szCs w:val="40"/>
          <w:vertAlign w:val="subscript"/>
          <w:lang w:val="en-GB"/>
        </w:rPr>
        <w:t>B</w:t>
      </w:r>
      <w:r w:rsidRPr="00E97FC1">
        <w:rPr>
          <w:rFonts w:cs="Times New Roman"/>
          <w:szCs w:val="40"/>
          <w:lang w:val="en-GB"/>
        </w:rPr>
        <w:t xml:space="preserve">Y65 in </w:t>
      </w:r>
      <w:r w:rsidRPr="00E97FC1">
        <w:rPr>
          <w:rFonts w:cs="Times New Roman"/>
          <w:i/>
          <w:szCs w:val="40"/>
          <w:lang w:val="en-GB"/>
        </w:rPr>
        <w:t>E. coli</w:t>
      </w:r>
      <w:r w:rsidRPr="00E97FC1">
        <w:rPr>
          <w:rFonts w:cs="Times New Roman"/>
          <w:szCs w:val="40"/>
          <w:lang w:val="en-GB"/>
        </w:rPr>
        <w:t xml:space="preserve"> or by F54 in NDH, facing the cavity, which may create a bottleneck responsible for Q</w:t>
      </w:r>
      <w:r w:rsidRPr="00E97FC1">
        <w:rPr>
          <w:rFonts w:cs="Times New Roman"/>
          <w:szCs w:val="40"/>
          <w:vertAlign w:val="subscript"/>
          <w:lang w:val="en-GB"/>
        </w:rPr>
        <w:t>m</w:t>
      </w:r>
      <w:r w:rsidRPr="00E97FC1">
        <w:rPr>
          <w:rFonts w:cs="Times New Roman"/>
          <w:szCs w:val="40"/>
          <w:lang w:val="en-GB"/>
        </w:rPr>
        <w:t xml:space="preserve"> site, not present in other species (in open states of </w:t>
      </w:r>
      <w:r w:rsidRPr="00E97FC1">
        <w:rPr>
          <w:rFonts w:cs="Times New Roman"/>
          <w:i/>
          <w:szCs w:val="40"/>
          <w:lang w:val="en-GB"/>
        </w:rPr>
        <w:t>Oa</w:t>
      </w:r>
      <w:r w:rsidRPr="00E97FC1">
        <w:rPr>
          <w:rFonts w:cs="Times New Roman"/>
          <w:szCs w:val="40"/>
          <w:lang w:val="en-GB"/>
        </w:rPr>
        <w:t>CI site Q</w:t>
      </w:r>
      <w:r w:rsidRPr="00E97FC1">
        <w:rPr>
          <w:rFonts w:cs="Times New Roman"/>
          <w:szCs w:val="40"/>
          <w:vertAlign w:val="subscript"/>
          <w:lang w:val="en-GB"/>
        </w:rPr>
        <w:t>s</w:t>
      </w:r>
      <w:r w:rsidRPr="00E97FC1">
        <w:rPr>
          <w:rFonts w:cs="Times New Roman"/>
          <w:szCs w:val="40"/>
          <w:lang w:val="en-GB"/>
        </w:rPr>
        <w:t xml:space="preserve"> is occupied). This may explain why </w:t>
      </w:r>
      <w:r w:rsidRPr="00E97FC1">
        <w:rPr>
          <w:rFonts w:cs="Times New Roman"/>
          <w:i/>
          <w:szCs w:val="40"/>
          <w:lang w:val="en-GB"/>
        </w:rPr>
        <w:t>Ec</w:t>
      </w:r>
      <w:r w:rsidRPr="00E97FC1">
        <w:rPr>
          <w:rFonts w:cs="Times New Roman"/>
          <w:szCs w:val="40"/>
          <w:lang w:val="en-GB"/>
        </w:rPr>
        <w:t>CI shows lower affinities to many inhibitors than the mitochondrial enzyme</w:t>
      </w:r>
      <w:r w:rsidR="008B1EF6" w:rsidRPr="00E97FC1">
        <w:rPr>
          <w:rFonts w:cs="Times New Roman"/>
          <w:szCs w:val="40"/>
          <w:lang w:val="en-GB"/>
        </w:rPr>
        <w:t xml:space="preserve"> </w:t>
      </w:r>
      <w:r w:rsidR="008B1EF6" w:rsidRPr="00E97FC1">
        <w:rPr>
          <w:rFonts w:cs="Times New Roman"/>
          <w:szCs w:val="40"/>
          <w:lang w:val="en-GB"/>
        </w:rPr>
        <w:fldChar w:fldCharType="begin" w:fldLock="1"/>
      </w:r>
      <w:r w:rsidR="00776703" w:rsidRPr="00E97FC1">
        <w:rPr>
          <w:rFonts w:cs="Times New Roman"/>
          <w:szCs w:val="40"/>
          <w:lang w:val="en-GB"/>
        </w:rPr>
        <w:instrText>ADDIN CSL_CITATION {"citationItems":[{"id":"ITEM-1","itemData":{"DOI":"10.1111/j.1432-1033.1994.tb19985.x","ISSN":"0014-2956 (Print)","PMID":"8307034","abstract":"The effect of ten naturally occurring and two synthetic inhibitors of  NADH:ubiquinone oxidoreductase (complex I) of bovine heart, Neurospora crassa and Escherichia coli and glucose:ubiquinone oxidoreductase (glucose dehydrogenase) of Gluconobacter oxidans was investigated. These inhibitors could be divided into two classes with regard to their specificity and mode of action. Class I inhibitors, including the naturally occurring piericidin A, annonin VI, phenalamid A2, aurachins A and B, thiangazole and the synthetic fenpyroximate, inhibit complex I from all three species in a partially competitive manner and glucose dehydrogenase in a competitive manner, both with regard to ubiquinone. Class II inhibitors including the naturally occurring rotenone, phenoxan, aureothin and the synthetic benzimidazole inhibit complex I from all species in an non-competitive manner, but have no effect on the glucose dehydrogenase. Myxalamid PI could not be classified as above because it inhibits only the mitochondrial complex I and in a competitive manner. All inhibitors affect the electron-transfer step from the high-potential iron-sulphur cluster to ubiquinone. Class I inhibitors appear to act directly at the ubiquinone-catalytic site which is related in complex I and glucose dehydrogenase.","author":[{"dropping-particle":"","family":"Friedrich","given":"T","non-dropping-particle":"","parse-names":false,"suffix":""},{"dropping-particle":"","family":"Heek","given":"P","non-dropping-particle":"van","parse-names":false,"suffix":""},{"dropping-particle":"","family":"Leif","given":"H","non-dropping-particle":"","parse-names":false,"suffix":""},{"dropping-particle":"","family":"Ohnishi","given":"T","non-dropping-particle":"","parse-names":false,"suffix":""},{"dropping-particle":"","family":"Forche","given":"E","non-dropping-particle":"","parse-names":false,"suffix":""},{"dropping-particle":"","family":"Kunze","given":"B","non-dropping-particle":"","parse-names":false,"suffix":""},{"dropping-particle":"","family":"Jansen","given":"R","non-dropping-particle":"","parse-names":false,"suffix":""},{"dropping-particle":"","family":"Trowitzsch-Kienast","given":"W","non-dropping-particle":"","parse-names":false,"suffix":""},{"dropping-particle":"","family":"Höfle","given":"G","non-dropping-particle":"","parse-names":false,"suffix":""},{"dropping-particle":"","family":"Reichenbach","given":"H","non-dropping-particle":"","parse-names":false,"suffix":""}],"container-title":"European journal of biochemistry","id":"ITEM-1","issue":"1-2","issued":{"date-parts":[["1994","1"]]},"language":"eng","page":"691-698","publisher-place":"England","title":"Two binding sites of inhibitors in NADH: ubiquinone oxidoreductase (complex I).  Relationship of one site with the ubiquinone-binding site of bacterial glucose:ubiquinone oxidoreductase.","type":"article-journal","volume":"219"},"uris":["http://www.mendeley.com/documents/?uuid=a3ba6ffc-22c7-4bf9-a776-3700d23c348a"]}],"mendeley":{"formattedCitation":"(Friedrich &lt;i&gt;et al&lt;/i&gt;, 1994)","plainTextFormattedCitation":"(Friedrich et al, 1994)","previouslyFormattedCitation":"(Friedrich &lt;i&gt;et al&lt;/i&gt;, 1994)"},"properties":{"noteIndex":0},"schema":"https://github.com/citation-style-language/schema/raw/master/csl-citation.json"}</w:instrText>
      </w:r>
      <w:r w:rsidR="008B1EF6" w:rsidRPr="00E97FC1">
        <w:rPr>
          <w:rFonts w:cs="Times New Roman"/>
          <w:szCs w:val="40"/>
          <w:lang w:val="en-GB"/>
        </w:rPr>
        <w:fldChar w:fldCharType="separate"/>
      </w:r>
      <w:r w:rsidR="00E55873" w:rsidRPr="00E97FC1">
        <w:rPr>
          <w:rFonts w:cs="Times New Roman"/>
          <w:noProof/>
          <w:szCs w:val="40"/>
          <w:lang w:val="en-GB"/>
        </w:rPr>
        <w:t xml:space="preserve">(Friedrich </w:t>
      </w:r>
      <w:r w:rsidR="00E55873" w:rsidRPr="00E97FC1">
        <w:rPr>
          <w:rFonts w:cs="Times New Roman"/>
          <w:i/>
          <w:noProof/>
          <w:szCs w:val="40"/>
          <w:lang w:val="en-GB"/>
        </w:rPr>
        <w:t>et al</w:t>
      </w:r>
      <w:r w:rsidR="00E55873" w:rsidRPr="00E97FC1">
        <w:rPr>
          <w:rFonts w:cs="Times New Roman"/>
          <w:noProof/>
          <w:szCs w:val="40"/>
          <w:lang w:val="en-GB"/>
        </w:rPr>
        <w:t>, 1994)</w:t>
      </w:r>
      <w:r w:rsidR="008B1EF6" w:rsidRPr="00E97FC1">
        <w:rPr>
          <w:rFonts w:cs="Times New Roman"/>
          <w:szCs w:val="40"/>
          <w:lang w:val="en-GB"/>
        </w:rPr>
        <w:fldChar w:fldCharType="end"/>
      </w:r>
      <w:r w:rsidR="008B1EF6" w:rsidRPr="00E97FC1">
        <w:rPr>
          <w:rFonts w:cs="Times New Roman"/>
          <w:szCs w:val="40"/>
          <w:lang w:val="en-GB"/>
        </w:rPr>
        <w:t>.</w:t>
      </w:r>
    </w:p>
    <w:p w14:paraId="1209810A" w14:textId="77777777" w:rsidR="0017737E" w:rsidRPr="00E97FC1" w:rsidRDefault="0017737E" w:rsidP="00CE3E6F">
      <w:pPr>
        <w:ind w:firstLine="720"/>
        <w:jc w:val="center"/>
        <w:rPr>
          <w:rFonts w:cs="Times New Roman"/>
          <w:szCs w:val="40"/>
          <w:lang w:val="en-GB"/>
        </w:rPr>
      </w:pPr>
      <w:r w:rsidRPr="00E97FC1">
        <w:rPr>
          <w:rFonts w:cs="Times New Roman"/>
          <w:noProof/>
          <w:szCs w:val="40"/>
        </w:rPr>
        <w:lastRenderedPageBreak/>
        <w:drawing>
          <wp:inline distT="0" distB="0" distL="0" distR="0" wp14:anchorId="25B80D27" wp14:editId="20DD5D39">
            <wp:extent cx="4197187" cy="5351228"/>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07070" cy="5363829"/>
                    </a:xfrm>
                    <a:prstGeom prst="rect">
                      <a:avLst/>
                    </a:prstGeom>
                    <a:noFill/>
                    <a:ln>
                      <a:noFill/>
                    </a:ln>
                  </pic:spPr>
                </pic:pic>
              </a:graphicData>
            </a:graphic>
          </wp:inline>
        </w:drawing>
      </w:r>
    </w:p>
    <w:p w14:paraId="11A80EFD" w14:textId="4F19149B" w:rsidR="0017737E" w:rsidRPr="00E97FC1" w:rsidRDefault="0017737E" w:rsidP="00CE3E6F">
      <w:pPr>
        <w:pStyle w:val="Caption"/>
        <w:rPr>
          <w:szCs w:val="24"/>
        </w:rPr>
      </w:pPr>
      <w:bookmarkStart w:id="120" w:name="_Toc121834115"/>
      <w:bookmarkStart w:id="121" w:name="_Toc128136635"/>
      <w:r w:rsidRPr="00E97FC1">
        <w:t xml:space="preserve">Figure </w:t>
      </w:r>
      <w:r w:rsidR="00CC7652">
        <w:fldChar w:fldCharType="begin"/>
      </w:r>
      <w:r w:rsidR="00CC7652">
        <w:instrText xml:space="preserve"> STYLEREF 1 \s </w:instrText>
      </w:r>
      <w:r w:rsidR="00CC7652">
        <w:fldChar w:fldCharType="separate"/>
      </w:r>
      <w:r w:rsidR="00ED1816">
        <w:rPr>
          <w:noProof/>
        </w:rPr>
        <w:t>3</w:t>
      </w:r>
      <w:r w:rsidR="00CC7652">
        <w:fldChar w:fldCharType="end"/>
      </w:r>
      <w:r w:rsidR="00CC7652">
        <w:t>.</w:t>
      </w:r>
      <w:r w:rsidR="00CC7652">
        <w:fldChar w:fldCharType="begin"/>
      </w:r>
      <w:r w:rsidR="00CC7652">
        <w:instrText xml:space="preserve"> SEQ Figure \* ARABIC \s 1 </w:instrText>
      </w:r>
      <w:r w:rsidR="00CC7652">
        <w:fldChar w:fldCharType="separate"/>
      </w:r>
      <w:r w:rsidR="00ED1816">
        <w:rPr>
          <w:noProof/>
        </w:rPr>
        <w:t>7</w:t>
      </w:r>
      <w:r w:rsidR="00CC7652">
        <w:fldChar w:fldCharType="end"/>
      </w:r>
      <w:r w:rsidRPr="00E97FC1">
        <w:t xml:space="preserve"> </w:t>
      </w:r>
      <w:r w:rsidR="00C04FDA" w:rsidRPr="00E97FC1">
        <w:t xml:space="preserve"> </w:t>
      </w:r>
      <w:r w:rsidR="00C04FDA" w:rsidRPr="00E97FC1">
        <w:rPr>
          <w:szCs w:val="24"/>
        </w:rPr>
        <w:t>Quinone-binding site comparisons</w:t>
      </w:r>
      <w:bookmarkEnd w:id="120"/>
      <w:bookmarkEnd w:id="121"/>
    </w:p>
    <w:p w14:paraId="7753B5C8" w14:textId="478E00F7" w:rsidR="00C04FDA" w:rsidRPr="00E97FC1" w:rsidRDefault="00C04FDA" w:rsidP="00CE3E6F">
      <w:pPr>
        <w:ind w:firstLine="284"/>
        <w:rPr>
          <w:rFonts w:cs="Times New Roman"/>
          <w:i/>
          <w:sz w:val="20"/>
          <w:szCs w:val="40"/>
          <w:lang w:val="en-GB"/>
        </w:rPr>
      </w:pPr>
      <w:r w:rsidRPr="00E97FC1">
        <w:rPr>
          <w:rFonts w:cs="Times New Roman"/>
          <w:b/>
          <w:i/>
          <w:sz w:val="20"/>
          <w:szCs w:val="24"/>
          <w:lang w:val="en-GB"/>
        </w:rPr>
        <w:t>A)</w:t>
      </w:r>
      <w:r w:rsidRPr="00E97FC1">
        <w:rPr>
          <w:rFonts w:cs="Times New Roman"/>
          <w:i/>
          <w:sz w:val="20"/>
          <w:szCs w:val="24"/>
          <w:lang w:val="en-GB"/>
        </w:rPr>
        <w:t xml:space="preserve"> Comparison of key NuoCD loop in different CIs. Ovine CI (OaCI) is from PDBs </w:t>
      </w:r>
      <w:r w:rsidRPr="00E97FC1">
        <w:rPr>
          <w:rFonts w:cs="Times New Roman"/>
          <w:i/>
          <w:sz w:val="20"/>
          <w:szCs w:val="40"/>
          <w:lang w:val="en-GB"/>
        </w:rPr>
        <w:t>6ZKC for closed and 6ZKE for open state.</w:t>
      </w:r>
      <w:r w:rsidRPr="00E97FC1">
        <w:rPr>
          <w:rFonts w:cs="Times New Roman"/>
          <w:i/>
          <w:sz w:val="20"/>
          <w:szCs w:val="24"/>
          <w:lang w:val="en-GB"/>
        </w:rPr>
        <w:t xml:space="preserve"> TeNDH (Thermosynechococcus elongatus NDH complex) is from PDB 6NBY. Key conserved histidines are shown as sticks. </w:t>
      </w:r>
      <w:r w:rsidRPr="00E97FC1">
        <w:rPr>
          <w:rFonts w:cs="Times New Roman"/>
          <w:b/>
          <w:i/>
          <w:sz w:val="20"/>
          <w:szCs w:val="24"/>
          <w:lang w:val="en-GB"/>
        </w:rPr>
        <w:t>B)</w:t>
      </w:r>
      <w:r w:rsidRPr="00E97FC1">
        <w:rPr>
          <w:rFonts w:cs="Times New Roman"/>
          <w:i/>
          <w:sz w:val="20"/>
          <w:szCs w:val="24"/>
          <w:lang w:val="en-GB"/>
        </w:rPr>
        <w:t xml:space="preserve"> Q binding sites. Left: in the resting state Q binds at the entrance to the Q cavity, consistent with the mammalian Q</w:t>
      </w:r>
      <w:r w:rsidRPr="00E97FC1">
        <w:rPr>
          <w:rFonts w:cs="Times New Roman"/>
          <w:i/>
          <w:sz w:val="20"/>
          <w:szCs w:val="24"/>
          <w:vertAlign w:val="subscript"/>
          <w:lang w:val="en-GB"/>
        </w:rPr>
        <w:t>s</w:t>
      </w:r>
      <w:r w:rsidRPr="00E97FC1">
        <w:rPr>
          <w:rFonts w:cs="Times New Roman"/>
          <w:i/>
          <w:sz w:val="20"/>
          <w:szCs w:val="24"/>
          <w:lang w:val="en-GB"/>
        </w:rPr>
        <w:t xml:space="preserve"> binding site. Middle: in the open state Q binds in the Q</w:t>
      </w:r>
      <w:r w:rsidRPr="00E97FC1">
        <w:rPr>
          <w:rFonts w:cs="Times New Roman"/>
          <w:i/>
          <w:sz w:val="20"/>
          <w:szCs w:val="24"/>
          <w:vertAlign w:val="subscript"/>
          <w:lang w:val="en-GB"/>
        </w:rPr>
        <w:t>m</w:t>
      </w:r>
      <w:r w:rsidRPr="00E97FC1">
        <w:rPr>
          <w:rFonts w:cs="Times New Roman"/>
          <w:i/>
          <w:sz w:val="20"/>
          <w:szCs w:val="24"/>
          <w:lang w:val="en-GB"/>
        </w:rPr>
        <w:t xml:space="preserve"> site, in between Q</w:t>
      </w:r>
      <w:r w:rsidRPr="00E97FC1">
        <w:rPr>
          <w:rFonts w:cs="Times New Roman"/>
          <w:i/>
          <w:sz w:val="20"/>
          <w:szCs w:val="24"/>
          <w:vertAlign w:val="subscript"/>
          <w:lang w:val="en-GB"/>
        </w:rPr>
        <w:t>d</w:t>
      </w:r>
      <w:r w:rsidRPr="00E97FC1">
        <w:rPr>
          <w:rFonts w:cs="Times New Roman"/>
          <w:i/>
          <w:sz w:val="20"/>
          <w:szCs w:val="24"/>
          <w:lang w:val="en-GB"/>
        </w:rPr>
        <w:t xml:space="preserve"> and Q</w:t>
      </w:r>
      <w:r w:rsidRPr="00E97FC1">
        <w:rPr>
          <w:rFonts w:cs="Times New Roman"/>
          <w:i/>
          <w:sz w:val="20"/>
          <w:szCs w:val="24"/>
          <w:vertAlign w:val="subscript"/>
          <w:lang w:val="en-GB"/>
        </w:rPr>
        <w:t>s</w:t>
      </w:r>
      <w:r w:rsidRPr="00E97FC1">
        <w:rPr>
          <w:rFonts w:cs="Times New Roman"/>
          <w:i/>
          <w:sz w:val="20"/>
          <w:szCs w:val="24"/>
          <w:lang w:val="en-GB"/>
        </w:rPr>
        <w:t xml:space="preserve"> sites (Q</w:t>
      </w:r>
      <w:r w:rsidRPr="00E97FC1">
        <w:rPr>
          <w:rFonts w:cs="Times New Roman"/>
          <w:i/>
          <w:sz w:val="20"/>
          <w:szCs w:val="24"/>
          <w:vertAlign w:val="subscript"/>
          <w:lang w:val="en-GB"/>
        </w:rPr>
        <w:t>d</w:t>
      </w:r>
      <w:r w:rsidRPr="00E97FC1">
        <w:rPr>
          <w:rFonts w:cs="Times New Roman"/>
          <w:i/>
          <w:sz w:val="20"/>
          <w:szCs w:val="24"/>
          <w:lang w:val="en-GB"/>
        </w:rPr>
        <w:t xml:space="preserve"> and Q</w:t>
      </w:r>
      <w:r w:rsidRPr="00E97FC1">
        <w:rPr>
          <w:rFonts w:cs="Times New Roman"/>
          <w:i/>
          <w:sz w:val="20"/>
          <w:szCs w:val="24"/>
          <w:vertAlign w:val="subscript"/>
          <w:lang w:val="en-GB"/>
        </w:rPr>
        <w:t>s</w:t>
      </w:r>
      <w:r w:rsidRPr="00E97FC1">
        <w:rPr>
          <w:rFonts w:cs="Times New Roman"/>
          <w:i/>
          <w:sz w:val="20"/>
          <w:szCs w:val="24"/>
          <w:lang w:val="en-GB"/>
        </w:rPr>
        <w:t xml:space="preserve"> quinones from the aligned structures are shown for comparison). Right: in the closed state DQ binds deep inside of the cavity, consistent with the mammalian Q</w:t>
      </w:r>
      <w:r w:rsidRPr="00E97FC1">
        <w:rPr>
          <w:rFonts w:cs="Times New Roman"/>
          <w:i/>
          <w:sz w:val="20"/>
          <w:szCs w:val="24"/>
          <w:vertAlign w:val="subscript"/>
          <w:lang w:val="en-GB"/>
        </w:rPr>
        <w:t>d</w:t>
      </w:r>
      <w:r w:rsidRPr="00E97FC1">
        <w:rPr>
          <w:rFonts w:cs="Times New Roman"/>
          <w:i/>
          <w:sz w:val="20"/>
          <w:szCs w:val="24"/>
          <w:lang w:val="en-GB"/>
        </w:rPr>
        <w:t xml:space="preserve"> binding site, and also in the Q</w:t>
      </w:r>
      <w:r w:rsidRPr="00E97FC1">
        <w:rPr>
          <w:rFonts w:cs="Times New Roman"/>
          <w:i/>
          <w:sz w:val="20"/>
          <w:szCs w:val="24"/>
          <w:vertAlign w:val="subscript"/>
          <w:lang w:val="en-GB"/>
        </w:rPr>
        <w:t>s</w:t>
      </w:r>
      <w:r w:rsidRPr="00E97FC1">
        <w:rPr>
          <w:rFonts w:cs="Times New Roman"/>
          <w:i/>
          <w:sz w:val="20"/>
          <w:szCs w:val="24"/>
          <w:lang w:val="en-GB"/>
        </w:rPr>
        <w:t xml:space="preserve"> site (LMNG datasets). Key residues interacting with quinone headgroup in each site are indicated. Quinone molecules from the aligned OaCI structures are shown as grey sticks. </w:t>
      </w:r>
      <w:r w:rsidRPr="00E97FC1">
        <w:rPr>
          <w:rFonts w:cs="Times New Roman"/>
          <w:i/>
          <w:sz w:val="20"/>
          <w:szCs w:val="40"/>
          <w:lang w:val="en-GB"/>
        </w:rPr>
        <w:t>Q</w:t>
      </w:r>
      <w:r w:rsidRPr="00E97FC1">
        <w:rPr>
          <w:rFonts w:cs="Times New Roman"/>
          <w:i/>
          <w:sz w:val="20"/>
          <w:szCs w:val="40"/>
          <w:vertAlign w:val="subscript"/>
          <w:lang w:val="en-GB"/>
        </w:rPr>
        <w:t>d</w:t>
      </w:r>
      <w:r w:rsidRPr="00E97FC1">
        <w:rPr>
          <w:rFonts w:cs="Times New Roman"/>
          <w:i/>
          <w:sz w:val="20"/>
          <w:szCs w:val="40"/>
          <w:lang w:val="en-GB"/>
        </w:rPr>
        <w:t xml:space="preserve"> site is narrow with a tight Q coordination, while Q</w:t>
      </w:r>
      <w:r w:rsidRPr="00E97FC1">
        <w:rPr>
          <w:rFonts w:cs="Times New Roman"/>
          <w:i/>
          <w:sz w:val="20"/>
          <w:szCs w:val="40"/>
          <w:vertAlign w:val="subscript"/>
          <w:lang w:val="en-GB"/>
        </w:rPr>
        <w:t>s</w:t>
      </w:r>
      <w:r w:rsidRPr="00E97FC1">
        <w:rPr>
          <w:rFonts w:cs="Times New Roman"/>
          <w:i/>
          <w:sz w:val="20"/>
          <w:szCs w:val="40"/>
          <w:lang w:val="en-GB"/>
        </w:rPr>
        <w:t xml:space="preserve"> is looser, with some variability in the mode of binding. </w:t>
      </w:r>
      <w:r w:rsidRPr="00E97FC1">
        <w:rPr>
          <w:rFonts w:cs="Times New Roman"/>
          <w:b/>
          <w:i/>
          <w:sz w:val="20"/>
          <w:szCs w:val="24"/>
          <w:lang w:val="en-GB"/>
        </w:rPr>
        <w:t>C)</w:t>
      </w:r>
      <w:r w:rsidRPr="00E97FC1">
        <w:rPr>
          <w:rFonts w:cs="Times New Roman"/>
          <w:i/>
          <w:sz w:val="20"/>
          <w:szCs w:val="24"/>
          <w:lang w:val="en-GB"/>
        </w:rPr>
        <w:t xml:space="preserve"> Extended NuoCD loop and side-chains of NuoB Helix3 block access to the Q</w:t>
      </w:r>
      <w:r w:rsidRPr="00E97FC1">
        <w:rPr>
          <w:rFonts w:cs="Times New Roman"/>
          <w:i/>
          <w:sz w:val="20"/>
          <w:szCs w:val="24"/>
          <w:vertAlign w:val="subscript"/>
          <w:lang w:val="en-GB"/>
        </w:rPr>
        <w:t>d</w:t>
      </w:r>
      <w:r w:rsidRPr="00E97FC1">
        <w:rPr>
          <w:rFonts w:cs="Times New Roman"/>
          <w:i/>
          <w:sz w:val="20"/>
          <w:szCs w:val="24"/>
          <w:lang w:val="en-GB"/>
        </w:rPr>
        <w:t xml:space="preserve"> binding site in EcCI open state (left) and in TeNDH (PDB ID 6KHJ) (right), with plastoquinone (PQ) bound in the same site as Q</w:t>
      </w:r>
      <w:r w:rsidRPr="00E97FC1">
        <w:rPr>
          <w:rFonts w:cs="Times New Roman"/>
          <w:i/>
          <w:sz w:val="20"/>
          <w:szCs w:val="24"/>
          <w:vertAlign w:val="subscript"/>
          <w:lang w:val="en-GB"/>
        </w:rPr>
        <w:t>m</w:t>
      </w:r>
      <w:r w:rsidRPr="00E97FC1">
        <w:rPr>
          <w:rFonts w:cs="Times New Roman"/>
          <w:i/>
          <w:sz w:val="20"/>
          <w:szCs w:val="24"/>
          <w:lang w:val="en-GB"/>
        </w:rPr>
        <w:t xml:space="preserve"> in E. coli. </w:t>
      </w:r>
      <w:r w:rsidRPr="00E97FC1">
        <w:rPr>
          <w:rFonts w:cs="Times New Roman"/>
          <w:b/>
          <w:i/>
          <w:sz w:val="20"/>
          <w:szCs w:val="24"/>
          <w:lang w:val="en-GB"/>
        </w:rPr>
        <w:t xml:space="preserve">D) </w:t>
      </w:r>
      <w:r w:rsidRPr="00E97FC1">
        <w:rPr>
          <w:rFonts w:cs="Times New Roman"/>
          <w:i/>
          <w:sz w:val="20"/>
          <w:szCs w:val="24"/>
          <w:lang w:val="en-GB"/>
        </w:rPr>
        <w:t>Q hydrophobic tail seals the Q entrance. Top: OaCI, DQ bound in the Q</w:t>
      </w:r>
      <w:r w:rsidRPr="00E97FC1">
        <w:rPr>
          <w:rFonts w:cs="Times New Roman"/>
          <w:i/>
          <w:sz w:val="20"/>
          <w:szCs w:val="24"/>
          <w:vertAlign w:val="subscript"/>
          <w:lang w:val="en-GB"/>
        </w:rPr>
        <w:t>s</w:t>
      </w:r>
      <w:r w:rsidRPr="00E97FC1">
        <w:rPr>
          <w:rFonts w:cs="Times New Roman"/>
          <w:i/>
          <w:sz w:val="20"/>
          <w:szCs w:val="24"/>
          <w:lang w:val="en-GB"/>
        </w:rPr>
        <w:t xml:space="preserve"> site (PDB 6ZKE) is depicted as magenta spheres and protein atoms within 8 </w:t>
      </w:r>
      <w:r w:rsidRPr="00E97FC1">
        <w:rPr>
          <w:rFonts w:cs="Times New Roman"/>
          <w:bCs/>
          <w:i/>
          <w:color w:val="202124"/>
          <w:sz w:val="20"/>
          <w:szCs w:val="24"/>
          <w:shd w:val="clear" w:color="auto" w:fill="FFFFFF"/>
          <w:lang w:val="en-GB"/>
        </w:rPr>
        <w:t xml:space="preserve">Å as transparent gray spheres. </w:t>
      </w:r>
      <w:r w:rsidRPr="00E97FC1">
        <w:rPr>
          <w:rFonts w:cs="Times New Roman"/>
          <w:i/>
          <w:sz w:val="20"/>
          <w:szCs w:val="24"/>
          <w:lang w:val="en-GB"/>
        </w:rPr>
        <w:t>Bottom: EcCI, model of UQ8 fitted into Q</w:t>
      </w:r>
      <w:r w:rsidRPr="00E97FC1">
        <w:rPr>
          <w:rFonts w:cs="Times New Roman"/>
          <w:i/>
          <w:sz w:val="20"/>
          <w:szCs w:val="24"/>
          <w:vertAlign w:val="subscript"/>
          <w:lang w:val="en-GB"/>
        </w:rPr>
        <w:t>d</w:t>
      </w:r>
      <w:r w:rsidRPr="00E97FC1">
        <w:rPr>
          <w:rFonts w:cs="Times New Roman"/>
          <w:i/>
          <w:sz w:val="20"/>
          <w:szCs w:val="24"/>
          <w:lang w:val="en-GB"/>
        </w:rPr>
        <w:t xml:space="preserve"> site of the closed state structure is depicted as magenta spheres and protein atoms within 8 </w:t>
      </w:r>
      <w:r w:rsidRPr="00E97FC1">
        <w:rPr>
          <w:rFonts w:cs="Times New Roman"/>
          <w:bCs/>
          <w:i/>
          <w:color w:val="202124"/>
          <w:sz w:val="20"/>
          <w:szCs w:val="24"/>
          <w:shd w:val="clear" w:color="auto" w:fill="FFFFFF"/>
          <w:lang w:val="en-GB"/>
        </w:rPr>
        <w:t xml:space="preserve">Å as transparent grey spheres, except for </w:t>
      </w:r>
      <w:r w:rsidRPr="00E97FC1">
        <w:rPr>
          <w:rFonts w:cs="Times New Roman"/>
          <w:bCs/>
          <w:i/>
          <w:color w:val="202124"/>
          <w:sz w:val="20"/>
          <w:szCs w:val="24"/>
          <w:shd w:val="clear" w:color="auto" w:fill="FFFFFF"/>
          <w:vertAlign w:val="subscript"/>
          <w:lang w:val="en-GB"/>
        </w:rPr>
        <w:t>H</w:t>
      </w:r>
      <w:r w:rsidRPr="00E97FC1">
        <w:rPr>
          <w:rFonts w:cs="Times New Roman"/>
          <w:bCs/>
          <w:i/>
          <w:color w:val="202124"/>
          <w:sz w:val="20"/>
          <w:szCs w:val="24"/>
          <w:shd w:val="clear" w:color="auto" w:fill="FFFFFF"/>
          <w:lang w:val="en-GB"/>
        </w:rPr>
        <w:t xml:space="preserve">M64 and </w:t>
      </w:r>
      <w:r w:rsidRPr="00E97FC1">
        <w:rPr>
          <w:rFonts w:cs="Times New Roman"/>
          <w:bCs/>
          <w:i/>
          <w:color w:val="202124"/>
          <w:sz w:val="20"/>
          <w:szCs w:val="24"/>
          <w:shd w:val="clear" w:color="auto" w:fill="FFFFFF"/>
          <w:vertAlign w:val="subscript"/>
          <w:lang w:val="en-GB"/>
        </w:rPr>
        <w:t>H</w:t>
      </w:r>
      <w:r w:rsidRPr="00E97FC1">
        <w:rPr>
          <w:rFonts w:cs="Times New Roman"/>
          <w:bCs/>
          <w:i/>
          <w:color w:val="202124"/>
          <w:sz w:val="20"/>
          <w:szCs w:val="24"/>
          <w:shd w:val="clear" w:color="auto" w:fill="FFFFFF"/>
          <w:lang w:val="en-GB"/>
        </w:rPr>
        <w:t xml:space="preserve">M67 </w:t>
      </w:r>
      <w:r w:rsidRPr="00E97FC1">
        <w:rPr>
          <w:rFonts w:cs="Times New Roman"/>
          <w:bCs/>
          <w:i/>
          <w:color w:val="202124"/>
          <w:sz w:val="20"/>
          <w:szCs w:val="24"/>
          <w:shd w:val="clear" w:color="auto" w:fill="FFFFFF"/>
          <w:lang w:val="en-GB"/>
        </w:rPr>
        <w:lastRenderedPageBreak/>
        <w:t xml:space="preserve">(yellow), framing the entry. </w:t>
      </w:r>
      <w:r w:rsidRPr="00E97FC1">
        <w:rPr>
          <w:rFonts w:cs="Times New Roman"/>
          <w:b/>
          <w:bCs/>
          <w:i/>
          <w:color w:val="202124"/>
          <w:sz w:val="20"/>
          <w:szCs w:val="24"/>
          <w:shd w:val="clear" w:color="auto" w:fill="FFFFFF"/>
          <w:lang w:val="en-GB"/>
        </w:rPr>
        <w:t>E</w:t>
      </w:r>
      <w:r w:rsidRPr="00E97FC1">
        <w:rPr>
          <w:rFonts w:cs="Times New Roman"/>
          <w:b/>
          <w:i/>
          <w:sz w:val="20"/>
          <w:szCs w:val="24"/>
          <w:lang w:val="en-GB"/>
        </w:rPr>
        <w:t>)</w:t>
      </w:r>
      <w:r w:rsidRPr="00E97FC1">
        <w:rPr>
          <w:rFonts w:cs="Times New Roman"/>
          <w:i/>
          <w:sz w:val="20"/>
          <w:szCs w:val="24"/>
          <w:lang w:val="en-GB"/>
        </w:rPr>
        <w:t xml:space="preserve"> Q cavity in mammalian open complex I (PDB 6ZKE) is exposed to the matrix via W site, consistent with EcCI. </w:t>
      </w:r>
      <w:r w:rsidRPr="00E97FC1">
        <w:rPr>
          <w:rFonts w:cs="Times New Roman"/>
          <w:b/>
          <w:i/>
          <w:sz w:val="20"/>
          <w:szCs w:val="24"/>
          <w:lang w:val="en-GB"/>
        </w:rPr>
        <w:t>F)</w:t>
      </w:r>
      <w:r w:rsidRPr="00E97FC1">
        <w:rPr>
          <w:rFonts w:cs="Times New Roman"/>
          <w:i/>
          <w:sz w:val="20"/>
          <w:szCs w:val="24"/>
          <w:lang w:val="en-GB"/>
        </w:rPr>
        <w:t xml:space="preserve"> In the open-ready state of EcCI, although NuoA loop is partly ordered, the Q cavity is still exposed to the matrix via W site.</w:t>
      </w:r>
      <w:r w:rsidR="00414A2B">
        <w:rPr>
          <w:rFonts w:cs="Times New Roman"/>
          <w:i/>
          <w:sz w:val="20"/>
          <w:szCs w:val="24"/>
          <w:lang w:val="en-GB"/>
        </w:rPr>
        <w:t xml:space="preserve"> </w:t>
      </w:r>
      <w:r w:rsidR="00414A2B" w:rsidRPr="00E97FC1">
        <w:rPr>
          <w:rFonts w:cs="Times New Roman"/>
          <w:i/>
          <w:sz w:val="20"/>
          <w:szCs w:val="24"/>
          <w:lang w:val="en-GB"/>
        </w:rPr>
        <w:t xml:space="preserve">. Figure adapted from </w:t>
      </w:r>
      <w:r w:rsidR="00414A2B" w:rsidRPr="00E97FC1">
        <w:rPr>
          <w:rFonts w:cs="Times New Roman"/>
          <w:i/>
          <w:sz w:val="20"/>
          <w:szCs w:val="24"/>
          <w:lang w:val="en-GB"/>
        </w:rPr>
        <w:fldChar w:fldCharType="begin" w:fldLock="1"/>
      </w:r>
      <w:r w:rsidR="00414A2B" w:rsidRPr="00E97FC1">
        <w:rPr>
          <w:rFonts w:cs="Times New Roman"/>
          <w:i/>
          <w:sz w:val="20"/>
          <w:szCs w:val="24"/>
          <w:lang w:val="en-GB"/>
        </w:rPr>
        <w:instrText>ADDIN CSL_CITATION {"citationItems":[{"id":"ITEM-1","itemData":{"DOI":"10.1038/s41586-022-05199-7","ISSN":"1476-4687 (Electronic)","PMID":"36104567","abstract":"Complex I is the first enzyme in the respiratory chain, which is responsible for  energy production in mitochondria and bacteria(1). Complex I couples the transfer of two electrons from NADH to quinone and the translocation of four protons across the membrane(2), but the coupling mechanism remains contentious. Here we present cryo-electron microscopy structures of Escherichia coli complex I (EcCI) in different redox states, including catalytic turnover. EcCI exists mostly in the open state, in which the quinone cavity is exposed to the cytosol, allowing access for water molecules, which enable quinone movements. Unlike the mammalian paralogues(3), EcCI can convert to the closed state only during turnover, showing that closed and open states are genuine turnover intermediates. The open-to-closed transition results in the tightly engulfed quinone cavity being connected to the central axis of the membrane arm, a source of substrate protons. Consistently, the proportion of the closed state increases with increasing pH. We propose a detailed but straightforward and robust mechanism comprising a 'domino effect' series of proton transfers and electrostatic interactions: the forward wave ('dominoes stacking') primes the pump, and the reverse wave ('dominoes falling') results in the ejection of all pumped protons from the distal subunit NuoL. This mechanism explains why protons exit exclusively from the NuoL subunit and is supported by our mutagenesis data. We contend that this is a universal coupling mechanism of complex I and related enzymes.","author":[{"dropping-particle":"","family":"Kravchuk","given":"Vladyslav","non-dropping-particle":"","parse-names":false,"suffix":""},{"dropping-particle":"","family":"Petrova","given":"Olga","non-dropping-particle":"","parse-names":false,"suffix":""},{"dropping-particle":"","family":"Kampjut","given":"Domen","non-dropping-particle":"","parse-names":false,"suffix":""},{"dropping-particle":"","family":"Wojciechowska-Bason","given":"Anna","non-dropping-particle":"","parse-names":false,"suffix":""},{"dropping-particle":"","family":"Breese","given":"Zara","non-dropping-particle":"","parse-names":false,"suffix":""},{"dropping-particle":"","family":"Sazanov","given":"Leonid","non-dropping-particle":"","parse-names":false,"suffix":""}],"container-title":"Nature","id":"ITEM-1","issue":"7928","issued":{"date-parts":[["2022","9"]]},"language":"eng","page":"808-814","publisher-place":"England","title":"A universal coupling mechanism of respiratory complex I.","type":"article-journal","volume":"609"},"uris":["http://www.mendeley.com/documents/?uuid=24646b16-1332-4c29-8894-c41094c65033"]}],"mendeley":{"formattedCitation":"(Kravchuk &lt;i&gt;et al&lt;/i&gt;, 2022)","plainTextFormattedCitation":"(Kravchuk et al, 2022)","previouslyFormattedCitation":"(Kravchuk &lt;i&gt;et al&lt;/i&gt;, 2022)"},"properties":{"noteIndex":0},"schema":"https://github.com/citation-style-language/schema/raw/master/csl-citation.json"}</w:instrText>
      </w:r>
      <w:r w:rsidR="00414A2B" w:rsidRPr="00E97FC1">
        <w:rPr>
          <w:rFonts w:cs="Times New Roman"/>
          <w:i/>
          <w:sz w:val="20"/>
          <w:szCs w:val="24"/>
          <w:lang w:val="en-GB"/>
        </w:rPr>
        <w:fldChar w:fldCharType="separate"/>
      </w:r>
      <w:r w:rsidR="00414A2B" w:rsidRPr="00E97FC1">
        <w:rPr>
          <w:rFonts w:cs="Times New Roman"/>
          <w:noProof/>
          <w:sz w:val="20"/>
          <w:szCs w:val="24"/>
          <w:lang w:val="en-GB"/>
        </w:rPr>
        <w:t xml:space="preserve">(Kravchuk </w:t>
      </w:r>
      <w:r w:rsidR="00414A2B" w:rsidRPr="00E97FC1">
        <w:rPr>
          <w:rFonts w:cs="Times New Roman"/>
          <w:i/>
          <w:noProof/>
          <w:sz w:val="20"/>
          <w:szCs w:val="24"/>
          <w:lang w:val="en-GB"/>
        </w:rPr>
        <w:t>et al</w:t>
      </w:r>
      <w:r w:rsidR="00414A2B" w:rsidRPr="00E97FC1">
        <w:rPr>
          <w:rFonts w:cs="Times New Roman"/>
          <w:noProof/>
          <w:sz w:val="20"/>
          <w:szCs w:val="24"/>
          <w:lang w:val="en-GB"/>
        </w:rPr>
        <w:t>, 2022)</w:t>
      </w:r>
      <w:r w:rsidR="00414A2B" w:rsidRPr="00E97FC1">
        <w:rPr>
          <w:rFonts w:cs="Times New Roman"/>
          <w:i/>
          <w:sz w:val="20"/>
          <w:szCs w:val="24"/>
          <w:lang w:val="en-GB"/>
        </w:rPr>
        <w:fldChar w:fldCharType="end"/>
      </w:r>
    </w:p>
    <w:p w14:paraId="6171AA7F" w14:textId="77777777" w:rsidR="00C04FDA" w:rsidRPr="00E97FC1" w:rsidRDefault="00C04FDA" w:rsidP="00CE3E6F">
      <w:pPr>
        <w:rPr>
          <w:lang w:val="en-GB"/>
        </w:rPr>
      </w:pPr>
    </w:p>
    <w:p w14:paraId="60A6B941" w14:textId="6E56902E" w:rsidR="009C0734" w:rsidRPr="00E97FC1" w:rsidRDefault="009C0734" w:rsidP="00CE3E6F">
      <w:pPr>
        <w:ind w:firstLine="720"/>
        <w:rPr>
          <w:rFonts w:cs="Times New Roman"/>
          <w:szCs w:val="40"/>
          <w:lang w:val="en-GB"/>
        </w:rPr>
      </w:pPr>
      <w:r w:rsidRPr="00E97FC1">
        <w:rPr>
          <w:rFonts w:cs="Times New Roman"/>
          <w:szCs w:val="40"/>
          <w:lang w:val="en-GB"/>
        </w:rPr>
        <w:t xml:space="preserve">In the closed </w:t>
      </w:r>
      <w:r w:rsidRPr="00E97FC1">
        <w:rPr>
          <w:rFonts w:cs="Times New Roman"/>
          <w:i/>
          <w:szCs w:val="40"/>
          <w:lang w:val="en-GB"/>
        </w:rPr>
        <w:t>Ec</w:t>
      </w:r>
      <w:r w:rsidRPr="00E97FC1">
        <w:rPr>
          <w:rFonts w:cs="Times New Roman"/>
          <w:szCs w:val="40"/>
          <w:lang w:val="en-GB"/>
        </w:rPr>
        <w:t>CI under turnover, NuoCD loop is retracted, allowing for DQ to bind in Q</w:t>
      </w:r>
      <w:r w:rsidRPr="00E97FC1">
        <w:rPr>
          <w:rFonts w:cs="Times New Roman"/>
          <w:szCs w:val="40"/>
          <w:vertAlign w:val="subscript"/>
          <w:lang w:val="en-GB"/>
        </w:rPr>
        <w:t>d</w:t>
      </w:r>
      <w:r w:rsidRPr="00E97FC1">
        <w:rPr>
          <w:rFonts w:cs="Times New Roman"/>
          <w:szCs w:val="40"/>
          <w:lang w:val="en-GB"/>
        </w:rPr>
        <w:t xml:space="preserve"> site. A second DQ molecule is observed close to Q</w:t>
      </w:r>
      <w:r w:rsidRPr="00E97FC1">
        <w:rPr>
          <w:rFonts w:cs="Times New Roman"/>
          <w:szCs w:val="40"/>
          <w:vertAlign w:val="subscript"/>
          <w:lang w:val="en-GB"/>
        </w:rPr>
        <w:t>s</w:t>
      </w:r>
      <w:r w:rsidRPr="00E97FC1">
        <w:rPr>
          <w:rFonts w:cs="Times New Roman"/>
          <w:szCs w:val="40"/>
          <w:lang w:val="en-GB"/>
        </w:rPr>
        <w:t xml:space="preserve"> site, probably shifted from Q</w:t>
      </w:r>
      <w:r w:rsidRPr="00E97FC1">
        <w:rPr>
          <w:rFonts w:cs="Times New Roman"/>
          <w:szCs w:val="40"/>
          <w:vertAlign w:val="subscript"/>
          <w:lang w:val="en-GB"/>
        </w:rPr>
        <w:t>m</w:t>
      </w:r>
      <w:r w:rsidRPr="00E97FC1">
        <w:rPr>
          <w:rFonts w:cs="Times New Roman"/>
          <w:szCs w:val="40"/>
          <w:lang w:val="en-GB"/>
        </w:rPr>
        <w:t xml:space="preserve"> by the tail of Q</w:t>
      </w:r>
      <w:r w:rsidRPr="00E97FC1">
        <w:rPr>
          <w:rFonts w:cs="Times New Roman"/>
          <w:szCs w:val="40"/>
          <w:vertAlign w:val="subscript"/>
          <w:lang w:val="en-GB"/>
        </w:rPr>
        <w:t>d</w:t>
      </w:r>
      <w:r w:rsidRPr="00E97FC1">
        <w:rPr>
          <w:rFonts w:cs="Times New Roman"/>
          <w:szCs w:val="40"/>
          <w:lang w:val="en-GB"/>
        </w:rPr>
        <w:t>-bound DQ (Fig</w:t>
      </w:r>
      <w:r w:rsidR="007B1198" w:rsidRPr="00E97FC1">
        <w:rPr>
          <w:rFonts w:cs="Times New Roman"/>
          <w:szCs w:val="40"/>
          <w:lang w:val="en-GB"/>
        </w:rPr>
        <w:t>ure</w:t>
      </w:r>
      <w:r w:rsidRPr="00E97FC1">
        <w:rPr>
          <w:rFonts w:cs="Times New Roman"/>
          <w:szCs w:val="40"/>
          <w:lang w:val="en-GB"/>
        </w:rPr>
        <w:t xml:space="preserve"> </w:t>
      </w:r>
      <w:r w:rsidR="007B1198" w:rsidRPr="00E97FC1">
        <w:rPr>
          <w:rFonts w:cs="Times New Roman"/>
          <w:szCs w:val="40"/>
          <w:lang w:val="en-GB"/>
        </w:rPr>
        <w:t>3.</w:t>
      </w:r>
      <w:r w:rsidR="000F12F2">
        <w:rPr>
          <w:rFonts w:cs="Times New Roman"/>
          <w:szCs w:val="40"/>
          <w:lang w:val="en-GB"/>
        </w:rPr>
        <w:t>7b</w:t>
      </w:r>
      <w:r w:rsidRPr="00E97FC1">
        <w:rPr>
          <w:rFonts w:cs="Times New Roman"/>
          <w:szCs w:val="40"/>
          <w:lang w:val="en-GB"/>
        </w:rPr>
        <w:t>). At the Q</w:t>
      </w:r>
      <w:r w:rsidRPr="00E97FC1">
        <w:rPr>
          <w:rFonts w:cs="Times New Roman"/>
          <w:szCs w:val="40"/>
          <w:vertAlign w:val="subscript"/>
          <w:lang w:val="en-GB"/>
        </w:rPr>
        <w:t>d</w:t>
      </w:r>
      <w:r w:rsidRPr="00E97FC1">
        <w:rPr>
          <w:rFonts w:cs="Times New Roman"/>
          <w:szCs w:val="40"/>
          <w:lang w:val="en-GB"/>
        </w:rPr>
        <w:t xml:space="preserve"> site DQ accepts electrons from cluster N2, forms H-bond with the conserved </w:t>
      </w:r>
      <w:r w:rsidRPr="00E97FC1">
        <w:rPr>
          <w:rFonts w:cs="Times New Roman"/>
          <w:szCs w:val="40"/>
          <w:vertAlign w:val="subscript"/>
          <w:lang w:val="en-GB"/>
        </w:rPr>
        <w:t>CD</w:t>
      </w:r>
      <w:r w:rsidRPr="00E97FC1">
        <w:rPr>
          <w:rFonts w:cs="Times New Roman"/>
          <w:szCs w:val="40"/>
          <w:lang w:val="en-GB"/>
        </w:rPr>
        <w:t xml:space="preserve">Y277 and stacks against </w:t>
      </w:r>
      <w:r w:rsidRPr="00E97FC1">
        <w:rPr>
          <w:rFonts w:cs="Times New Roman"/>
          <w:szCs w:val="40"/>
          <w:vertAlign w:val="subscript"/>
          <w:lang w:val="en-GB"/>
        </w:rPr>
        <w:t>CD</w:t>
      </w:r>
      <w:r w:rsidRPr="00E97FC1">
        <w:rPr>
          <w:rFonts w:cs="Times New Roman"/>
          <w:szCs w:val="40"/>
          <w:lang w:val="en-GB"/>
        </w:rPr>
        <w:t xml:space="preserve">H228 from NuoCD loop, similar to </w:t>
      </w:r>
      <w:r w:rsidRPr="00E97FC1">
        <w:rPr>
          <w:rFonts w:cs="Times New Roman"/>
          <w:i/>
          <w:szCs w:val="40"/>
          <w:lang w:val="en-GB"/>
        </w:rPr>
        <w:t>Oa</w:t>
      </w:r>
      <w:r w:rsidRPr="00E97FC1">
        <w:rPr>
          <w:rFonts w:cs="Times New Roman"/>
          <w:szCs w:val="40"/>
          <w:lang w:val="en-GB"/>
        </w:rPr>
        <w:t>CI</w:t>
      </w:r>
      <w:hyperlink w:anchor="_ENREF_3" w:tooltip="Kampjut, 2020 #1543" w:history="1"/>
      <w:r w:rsidR="008B1EF6" w:rsidRPr="00E97FC1">
        <w:rPr>
          <w:rFonts w:cs="Times New Roman"/>
          <w:szCs w:val="40"/>
          <w:lang w:val="en-GB"/>
        </w:rPr>
        <w:t xml:space="preserve"> </w:t>
      </w:r>
      <w:r w:rsidR="008B1EF6" w:rsidRPr="00E97FC1">
        <w:rPr>
          <w:rFonts w:cs="Times New Roman"/>
          <w:szCs w:val="40"/>
          <w:lang w:val="en-GB"/>
        </w:rPr>
        <w:fldChar w:fldCharType="begin" w:fldLock="1"/>
      </w:r>
      <w:r w:rsidR="00E55873" w:rsidRPr="00E97FC1">
        <w:rPr>
          <w:rFonts w:cs="Times New Roman"/>
          <w:szCs w:val="40"/>
          <w:lang w:val="en-GB"/>
        </w:rPr>
        <w:instrText>ADDIN CSL_CITATION {"citationItems":[{"id":"ITEM-1","itemData":{"DOI":"10.1126/science.abc4209","ISSN":"1095-9203 (Electronic)","PMID":"32972993","abstract":"Mitochondrial complex I couples NADH:ubiquinone oxidoreduction to proton pumping by  an unknown mechanism. Here, we present cryo-electron microscopy structures of ovine complex I in five different conditions, including turnover, at resolutions up to 2.3 to 2.5 angstroms. Resolved water molecules allowed us to experimentally define the proton translocation pathways. Quinone binds at three positions along the quinone cavity, as does the inhibitor rotenone that also binds within subunit ND4. Dramatic conformational changes around the quinone cavity couple the redox reaction to proton translocation during open-to-closed state transitions of the enzyme. In the induced deactive state, the open conformation is arrested by the ND6 subunit. We propose a detailed molecular coupling mechanism of complex I, which is an unexpected combination of conformational changes and electrostatic interactions.","author":[{"dropping-particle":"","family":"Kampjut","given":"Domen","non-dropping-particle":"","parse-names":false,"suffix":""},{"dropping-particle":"","family":"Sazanov","given":"Leonid A","non-dropping-particle":"","parse-names":false,"suffix":""}],"container-title":"Science (New York, N.Y.)","id":"ITEM-1","issue":"6516","issued":{"date-parts":[["2020","10"]]},"language":"eng","publisher-place":"United States","title":"The coupling mechanism of mammalian respiratory complex I.","type":"article-journal","volume":"370"},"uris":["http://www.mendeley.com/documents/?uuid=7ba13959-8c17-4313-8227-becdec77971c"]}],"mendeley":{"formattedCitation":"(Kampjut &amp; Sazanov, 2020)","plainTextFormattedCitation":"(Kampjut &amp; Sazanov, 2020)","previouslyFormattedCitation":"(Kampjut &amp; Sazanov, 2020)"},"properties":{"noteIndex":0},"schema":"https://github.com/citation-style-language/schema/raw/master/csl-citation.json"}</w:instrText>
      </w:r>
      <w:r w:rsidR="008B1EF6" w:rsidRPr="00E97FC1">
        <w:rPr>
          <w:rFonts w:cs="Times New Roman"/>
          <w:szCs w:val="40"/>
          <w:lang w:val="en-GB"/>
        </w:rPr>
        <w:fldChar w:fldCharType="separate"/>
      </w:r>
      <w:r w:rsidR="00E55873" w:rsidRPr="00E97FC1">
        <w:rPr>
          <w:rFonts w:cs="Times New Roman"/>
          <w:noProof/>
          <w:szCs w:val="40"/>
          <w:lang w:val="en-GB"/>
        </w:rPr>
        <w:t>(Kampjut &amp; Sazanov, 2020)</w:t>
      </w:r>
      <w:r w:rsidR="008B1EF6" w:rsidRPr="00E97FC1">
        <w:rPr>
          <w:rFonts w:cs="Times New Roman"/>
          <w:szCs w:val="40"/>
          <w:lang w:val="en-GB"/>
        </w:rPr>
        <w:fldChar w:fldCharType="end"/>
      </w:r>
      <w:r w:rsidRPr="00E97FC1">
        <w:rPr>
          <w:rFonts w:cs="Times New Roman"/>
          <w:szCs w:val="40"/>
          <w:lang w:val="en-GB"/>
        </w:rPr>
        <w:t xml:space="preserve"> and </w:t>
      </w:r>
      <w:r w:rsidRPr="00E97FC1">
        <w:rPr>
          <w:rFonts w:cs="Times New Roman"/>
          <w:i/>
          <w:szCs w:val="40"/>
          <w:lang w:val="en-GB"/>
        </w:rPr>
        <w:t>Tt</w:t>
      </w:r>
      <w:r w:rsidRPr="00E97FC1">
        <w:rPr>
          <w:rFonts w:cs="Times New Roman"/>
          <w:szCs w:val="40"/>
          <w:lang w:val="en-GB"/>
        </w:rPr>
        <w:t>CI</w:t>
      </w:r>
      <w:hyperlink w:anchor="_ENREF_8" w:tooltip="Gutierrez-Fernandez, 2020 #1535" w:history="1"/>
      <w:r w:rsidR="008B1EF6" w:rsidRPr="00E97FC1">
        <w:rPr>
          <w:rFonts w:cs="Times New Roman"/>
          <w:szCs w:val="40"/>
          <w:lang w:val="en-GB"/>
        </w:rPr>
        <w:t xml:space="preserve"> </w:t>
      </w:r>
      <w:r w:rsidR="008B1EF6" w:rsidRPr="00E97FC1">
        <w:rPr>
          <w:rFonts w:cs="Times New Roman"/>
          <w:szCs w:val="40"/>
          <w:lang w:val="en-GB"/>
        </w:rPr>
        <w:fldChar w:fldCharType="begin" w:fldLock="1"/>
      </w:r>
      <w:r w:rsidR="00776703" w:rsidRPr="00E97FC1">
        <w:rPr>
          <w:rFonts w:cs="Times New Roman"/>
          <w:szCs w:val="40"/>
          <w:lang w:val="en-GB"/>
        </w:rPr>
        <w:instrText>ADDIN CSL_CITATION {"citationItems":[{"id":"ITEM-1","itemData":{"author":[{"dropping-particle":"","family":"Baradaran","given":"Rozbeh","non-dropping-particle":"","parse-names":false,"suffix":""},{"dropping-particle":"","family":"Berrisford","given":"John M","non-dropping-particle":"","parse-names":false,"suffix":""},{"dropping-particle":"","family":"Minhas","given":"Gurdeep S","non-dropping-particle":"","parse-names":false,"suffix":""},{"dropping-particle":"","family":"Sazanov","given":"Leonid A","non-dropping-particle":"","parse-names":false,"suffix":""}],"container-title":"Nature","id":"ITEM-1","issued":{"date-parts":[["2013","2","17"]]},"page":"443","publisher":"Nature Publishing Group, a division of Macmillan Publishers Limited. All Rights Reserved.","title":"Crystal structure of the entire respiratory complex I","type":"article-journal","volume":"494"},"uris":["http://www.mendeley.com/documents/?uuid=b734c581-3eb2-4088-870d-6a27b0018ab2"]}],"mendeley":{"formattedCitation":"(Baradaran &lt;i&gt;et al&lt;/i&gt;, 2013)","plainTextFormattedCitation":"(Baradaran et al, 2013)","previouslyFormattedCitation":"(Baradaran &lt;i&gt;et al&lt;/i&gt;, 2013)"},"properties":{"noteIndex":0},"schema":"https://github.com/citation-style-language/schema/raw/master/csl-citation.json"}</w:instrText>
      </w:r>
      <w:r w:rsidR="008B1EF6" w:rsidRPr="00E97FC1">
        <w:rPr>
          <w:rFonts w:cs="Times New Roman"/>
          <w:szCs w:val="40"/>
          <w:lang w:val="en-GB"/>
        </w:rPr>
        <w:fldChar w:fldCharType="separate"/>
      </w:r>
      <w:r w:rsidR="00E55873" w:rsidRPr="00E97FC1">
        <w:rPr>
          <w:rFonts w:cs="Times New Roman"/>
          <w:noProof/>
          <w:szCs w:val="40"/>
          <w:lang w:val="en-GB"/>
        </w:rPr>
        <w:t xml:space="preserve">(Baradaran </w:t>
      </w:r>
      <w:r w:rsidR="00E55873" w:rsidRPr="00E97FC1">
        <w:rPr>
          <w:rFonts w:cs="Times New Roman"/>
          <w:i/>
          <w:noProof/>
          <w:szCs w:val="40"/>
          <w:lang w:val="en-GB"/>
        </w:rPr>
        <w:t>et al</w:t>
      </w:r>
      <w:r w:rsidR="00E55873" w:rsidRPr="00E97FC1">
        <w:rPr>
          <w:rFonts w:cs="Times New Roman"/>
          <w:noProof/>
          <w:szCs w:val="40"/>
          <w:lang w:val="en-GB"/>
        </w:rPr>
        <w:t>, 2013)</w:t>
      </w:r>
      <w:r w:rsidR="008B1EF6" w:rsidRPr="00E97FC1">
        <w:rPr>
          <w:rFonts w:cs="Times New Roman"/>
          <w:szCs w:val="40"/>
          <w:lang w:val="en-GB"/>
        </w:rPr>
        <w:fldChar w:fldCharType="end"/>
      </w:r>
      <w:r w:rsidRPr="00E97FC1">
        <w:rPr>
          <w:rFonts w:cs="Times New Roman"/>
          <w:szCs w:val="40"/>
          <w:lang w:val="en-GB"/>
        </w:rPr>
        <w:t xml:space="preserve">. Along with NuoCD loop retraction, open-to-closed state transition includes ordering of </w:t>
      </w:r>
      <w:r w:rsidRPr="00E97FC1">
        <w:rPr>
          <w:rFonts w:cs="Times New Roman"/>
          <w:szCs w:val="40"/>
          <w:vertAlign w:val="subscript"/>
          <w:lang w:val="en-GB"/>
        </w:rPr>
        <w:t>H</w:t>
      </w:r>
      <w:r w:rsidRPr="00E97FC1">
        <w:rPr>
          <w:rFonts w:cs="Times New Roman"/>
          <w:szCs w:val="24"/>
          <w:lang w:val="en-GB"/>
        </w:rPr>
        <w:t xml:space="preserve">TM5-6 and </w:t>
      </w:r>
      <w:r w:rsidRPr="00E97FC1">
        <w:rPr>
          <w:rFonts w:cs="Times New Roman"/>
          <w:szCs w:val="40"/>
          <w:vertAlign w:val="subscript"/>
          <w:lang w:val="en-GB"/>
        </w:rPr>
        <w:t>A</w:t>
      </w:r>
      <w:r w:rsidRPr="00E97FC1">
        <w:rPr>
          <w:rFonts w:cs="Times New Roman"/>
          <w:szCs w:val="24"/>
          <w:lang w:val="en-GB"/>
        </w:rPr>
        <w:t xml:space="preserve">TM1-2 </w:t>
      </w:r>
      <w:r w:rsidRPr="00E97FC1">
        <w:rPr>
          <w:rFonts w:cs="Times New Roman"/>
          <w:szCs w:val="40"/>
          <w:lang w:val="en-GB"/>
        </w:rPr>
        <w:t xml:space="preserve">loops, rotation of </w:t>
      </w:r>
      <w:r w:rsidRPr="00E97FC1">
        <w:rPr>
          <w:rFonts w:cs="Times New Roman"/>
          <w:szCs w:val="40"/>
          <w:vertAlign w:val="subscript"/>
          <w:lang w:val="en-GB"/>
        </w:rPr>
        <w:t>J</w:t>
      </w:r>
      <w:r w:rsidRPr="00E97FC1">
        <w:rPr>
          <w:rFonts w:cs="Times New Roman"/>
          <w:szCs w:val="40"/>
          <w:lang w:val="en-GB"/>
        </w:rPr>
        <w:t xml:space="preserve">TM3 and </w:t>
      </w:r>
      <w:r w:rsidRPr="00E97FC1">
        <w:rPr>
          <w:rFonts w:cs="Times New Roman"/>
          <w:szCs w:val="40"/>
          <w:vertAlign w:val="subscript"/>
          <w:lang w:val="en-GB"/>
        </w:rPr>
        <w:t>H</w:t>
      </w:r>
      <w:r w:rsidRPr="00E97FC1">
        <w:rPr>
          <w:rFonts w:cs="Times New Roman"/>
          <w:szCs w:val="40"/>
          <w:lang w:val="en-GB"/>
        </w:rPr>
        <w:t>TM4 with flip of Y156 (Fig</w:t>
      </w:r>
      <w:r w:rsidR="005C18D1" w:rsidRPr="00E97FC1">
        <w:rPr>
          <w:rFonts w:cs="Times New Roman"/>
          <w:szCs w:val="40"/>
          <w:lang w:val="en-GB"/>
        </w:rPr>
        <w:t>ure</w:t>
      </w:r>
      <w:r w:rsidRPr="00E97FC1">
        <w:rPr>
          <w:rFonts w:cs="Times New Roman"/>
          <w:szCs w:val="40"/>
          <w:lang w:val="en-GB"/>
        </w:rPr>
        <w:t xml:space="preserve"> </w:t>
      </w:r>
      <w:r w:rsidR="007B1198" w:rsidRPr="00E97FC1">
        <w:rPr>
          <w:rFonts w:cs="Times New Roman"/>
          <w:szCs w:val="40"/>
          <w:lang w:val="en-GB"/>
        </w:rPr>
        <w:t>3.</w:t>
      </w:r>
      <w:r w:rsidR="000F12F2">
        <w:rPr>
          <w:rFonts w:cs="Times New Roman"/>
          <w:szCs w:val="40"/>
          <w:lang w:val="en-GB"/>
        </w:rPr>
        <w:t>5</w:t>
      </w:r>
      <w:r w:rsidRPr="00E97FC1">
        <w:rPr>
          <w:rFonts w:cs="Times New Roman"/>
          <w:szCs w:val="40"/>
          <w:lang w:val="en-GB"/>
        </w:rPr>
        <w:t>a</w:t>
      </w:r>
      <w:r w:rsidR="000F12F2">
        <w:rPr>
          <w:rFonts w:cs="Times New Roman"/>
          <w:szCs w:val="40"/>
          <w:lang w:val="en-GB"/>
        </w:rPr>
        <w:t>b</w:t>
      </w:r>
      <w:r w:rsidRPr="00E97FC1">
        <w:rPr>
          <w:rFonts w:cs="Times New Roman"/>
          <w:szCs w:val="40"/>
          <w:lang w:val="en-GB"/>
        </w:rPr>
        <w:t xml:space="preserve">), and tilting of NuoH helices. These features faithfully reproduce the open-to-closed state transition in </w:t>
      </w:r>
      <w:r w:rsidRPr="00E97FC1">
        <w:rPr>
          <w:rFonts w:cs="Times New Roman"/>
          <w:i/>
          <w:szCs w:val="40"/>
          <w:lang w:val="en-GB"/>
        </w:rPr>
        <w:t>Oa</w:t>
      </w:r>
      <w:r w:rsidRPr="00E97FC1">
        <w:rPr>
          <w:rFonts w:cs="Times New Roman"/>
          <w:szCs w:val="40"/>
          <w:lang w:val="en-GB"/>
        </w:rPr>
        <w:t>CI</w:t>
      </w:r>
      <w:hyperlink w:anchor="_ENREF_3" w:tooltip="Kampjut, 2020 #1543" w:history="1"/>
      <w:r w:rsidR="008B1EF6" w:rsidRPr="00E97FC1">
        <w:rPr>
          <w:rFonts w:cs="Times New Roman"/>
          <w:szCs w:val="40"/>
          <w:lang w:val="en-GB"/>
        </w:rPr>
        <w:t xml:space="preserve"> </w:t>
      </w:r>
      <w:r w:rsidR="008B1EF6" w:rsidRPr="00E97FC1">
        <w:rPr>
          <w:rFonts w:cs="Times New Roman"/>
          <w:szCs w:val="40"/>
          <w:lang w:val="en-GB"/>
        </w:rPr>
        <w:fldChar w:fldCharType="begin" w:fldLock="1"/>
      </w:r>
      <w:r w:rsidR="00E55873" w:rsidRPr="00E97FC1">
        <w:rPr>
          <w:rFonts w:cs="Times New Roman"/>
          <w:szCs w:val="40"/>
          <w:lang w:val="en-GB"/>
        </w:rPr>
        <w:instrText>ADDIN CSL_CITATION {"citationItems":[{"id":"ITEM-1","itemData":{"DOI":"10.1126/science.abc4209","ISSN":"1095-9203 (Electronic)","PMID":"32972993","abstract":"Mitochondrial complex I couples NADH:ubiquinone oxidoreduction to proton pumping by  an unknown mechanism. Here, we present cryo-electron microscopy structures of ovine complex I in five different conditions, including turnover, at resolutions up to 2.3 to 2.5 angstroms. Resolved water molecules allowed us to experimentally define the proton translocation pathways. Quinone binds at three positions along the quinone cavity, as does the inhibitor rotenone that also binds within subunit ND4. Dramatic conformational changes around the quinone cavity couple the redox reaction to proton translocation during open-to-closed state transitions of the enzyme. In the induced deactive state, the open conformation is arrested by the ND6 subunit. We propose a detailed molecular coupling mechanism of complex I, which is an unexpected combination of conformational changes and electrostatic interactions.","author":[{"dropping-particle":"","family":"Kampjut","given":"Domen","non-dropping-particle":"","parse-names":false,"suffix":""},{"dropping-particle":"","family":"Sazanov","given":"Leonid A","non-dropping-particle":"","parse-names":false,"suffix":""}],"container-title":"Science (New York, N.Y.)","id":"ITEM-1","issue":"6516","issued":{"date-parts":[["2020","10"]]},"language":"eng","publisher-place":"United States","title":"The coupling mechanism of mammalian respiratory complex I.","type":"article-journal","volume":"370"},"uris":["http://www.mendeley.com/documents/?uuid=7ba13959-8c17-4313-8227-becdec77971c"]}],"mendeley":{"formattedCitation":"(Kampjut &amp; Sazanov, 2020)","plainTextFormattedCitation":"(Kampjut &amp; Sazanov, 2020)","previouslyFormattedCitation":"(Kampjut &amp; Sazanov, 2020)"},"properties":{"noteIndex":0},"schema":"https://github.com/citation-style-language/schema/raw/master/csl-citation.json"}</w:instrText>
      </w:r>
      <w:r w:rsidR="008B1EF6" w:rsidRPr="00E97FC1">
        <w:rPr>
          <w:rFonts w:cs="Times New Roman"/>
          <w:szCs w:val="40"/>
          <w:lang w:val="en-GB"/>
        </w:rPr>
        <w:fldChar w:fldCharType="separate"/>
      </w:r>
      <w:r w:rsidR="00E55873" w:rsidRPr="00E97FC1">
        <w:rPr>
          <w:rFonts w:cs="Times New Roman"/>
          <w:noProof/>
          <w:szCs w:val="40"/>
          <w:lang w:val="en-GB"/>
        </w:rPr>
        <w:t>(Kampjut &amp; Sazanov, 2020)</w:t>
      </w:r>
      <w:r w:rsidR="008B1EF6" w:rsidRPr="00E97FC1">
        <w:rPr>
          <w:rFonts w:cs="Times New Roman"/>
          <w:szCs w:val="40"/>
          <w:lang w:val="en-GB"/>
        </w:rPr>
        <w:fldChar w:fldCharType="end"/>
      </w:r>
      <w:r w:rsidRPr="00E97FC1">
        <w:rPr>
          <w:rFonts w:cs="Times New Roman"/>
          <w:szCs w:val="40"/>
          <w:lang w:val="en-GB"/>
        </w:rPr>
        <w:t xml:space="preserve">. </w:t>
      </w:r>
    </w:p>
    <w:p w14:paraId="771DDAC3" w14:textId="482B66A4" w:rsidR="002435A0" w:rsidRPr="00E97FC1" w:rsidRDefault="009C0734" w:rsidP="00CE3E6F">
      <w:pPr>
        <w:ind w:firstLine="720"/>
        <w:rPr>
          <w:rFonts w:cs="Times New Roman"/>
          <w:szCs w:val="40"/>
          <w:lang w:val="en-GB"/>
        </w:rPr>
      </w:pPr>
      <w:r w:rsidRPr="00E97FC1">
        <w:rPr>
          <w:rFonts w:cs="Times New Roman"/>
          <w:i/>
          <w:szCs w:val="40"/>
          <w:lang w:val="en-GB"/>
        </w:rPr>
        <w:t>Ec</w:t>
      </w:r>
      <w:r w:rsidRPr="00E97FC1">
        <w:rPr>
          <w:rFonts w:cs="Times New Roman"/>
          <w:szCs w:val="40"/>
          <w:lang w:val="en-GB"/>
        </w:rPr>
        <w:t xml:space="preserve">CI shows additional re-arrangements not observed in </w:t>
      </w:r>
      <w:r w:rsidRPr="00E97FC1">
        <w:rPr>
          <w:rFonts w:cs="Times New Roman"/>
          <w:i/>
          <w:szCs w:val="40"/>
          <w:lang w:val="en-GB"/>
        </w:rPr>
        <w:t>Oa</w:t>
      </w:r>
      <w:r w:rsidRPr="00E97FC1">
        <w:rPr>
          <w:rFonts w:cs="Times New Roman"/>
          <w:szCs w:val="40"/>
          <w:lang w:val="en-GB"/>
        </w:rPr>
        <w:t>CI (F</w:t>
      </w:r>
      <w:r w:rsidR="007B1198" w:rsidRPr="00E97FC1">
        <w:rPr>
          <w:rFonts w:cs="Times New Roman"/>
          <w:szCs w:val="40"/>
          <w:lang w:val="en-GB"/>
        </w:rPr>
        <w:t>igure</w:t>
      </w:r>
      <w:r w:rsidRPr="00E97FC1">
        <w:rPr>
          <w:rFonts w:cs="Times New Roman"/>
          <w:szCs w:val="40"/>
          <w:lang w:val="en-GB"/>
        </w:rPr>
        <w:t xml:space="preserve"> </w:t>
      </w:r>
      <w:r w:rsidR="007B1198" w:rsidRPr="00E97FC1">
        <w:rPr>
          <w:rFonts w:cs="Times New Roman"/>
          <w:szCs w:val="40"/>
          <w:lang w:val="en-GB"/>
        </w:rPr>
        <w:t>3.</w:t>
      </w:r>
      <w:r w:rsidR="00B2595E">
        <w:rPr>
          <w:rFonts w:cs="Times New Roman"/>
          <w:szCs w:val="40"/>
          <w:lang w:val="en-GB"/>
        </w:rPr>
        <w:t>5</w:t>
      </w:r>
      <w:r w:rsidRPr="00E97FC1">
        <w:rPr>
          <w:rFonts w:cs="Times New Roman"/>
          <w:szCs w:val="40"/>
          <w:lang w:val="en-GB"/>
        </w:rPr>
        <w:t xml:space="preserve">a). </w:t>
      </w:r>
      <w:r w:rsidRPr="00E97FC1">
        <w:rPr>
          <w:rFonts w:cs="Times New Roman"/>
          <w:szCs w:val="40"/>
          <w:vertAlign w:val="subscript"/>
          <w:lang w:val="en-GB"/>
        </w:rPr>
        <w:t>J</w:t>
      </w:r>
      <w:r w:rsidRPr="00E97FC1">
        <w:rPr>
          <w:rFonts w:cs="Times New Roman"/>
          <w:szCs w:val="40"/>
          <w:lang w:val="en-GB"/>
        </w:rPr>
        <w:t xml:space="preserve">TM3-4 loop completely changes conformation, with W87 flip, while in </w:t>
      </w:r>
      <w:r w:rsidRPr="00E97FC1">
        <w:rPr>
          <w:rFonts w:cs="Times New Roman"/>
          <w:i/>
          <w:szCs w:val="40"/>
          <w:lang w:val="en-GB"/>
        </w:rPr>
        <w:t>Oa</w:t>
      </w:r>
      <w:r w:rsidRPr="00E97FC1">
        <w:rPr>
          <w:rFonts w:cs="Times New Roman"/>
          <w:szCs w:val="40"/>
          <w:lang w:val="en-GB"/>
        </w:rPr>
        <w:t xml:space="preserve">CI it was disordered in the open state. </w:t>
      </w:r>
      <w:r w:rsidRPr="00E97FC1">
        <w:rPr>
          <w:rFonts w:cs="Times New Roman"/>
          <w:szCs w:val="40"/>
          <w:vertAlign w:val="subscript"/>
          <w:lang w:val="en-GB"/>
        </w:rPr>
        <w:t>CD</w:t>
      </w:r>
      <w:r w:rsidRPr="00E97FC1">
        <w:rPr>
          <w:rFonts w:cs="Times New Roman"/>
          <w:szCs w:val="40"/>
          <w:lang w:val="en-GB"/>
        </w:rPr>
        <w:t>LHL element, linking NuoC and NuoD, thus absent in other species, is also almost completely rebuilt, resulting in the rotation and shift of its helix. Together these re-arrangements help to “push in” the NuoA loop into the crevice between NuoCD and NuoB in the closed state, ordering</w:t>
      </w:r>
      <w:r w:rsidR="005C18D1" w:rsidRPr="00E97FC1">
        <w:rPr>
          <w:rFonts w:cs="Times New Roman"/>
          <w:szCs w:val="40"/>
          <w:lang w:val="en-GB"/>
        </w:rPr>
        <w:t xml:space="preserve"> the loop and closing Q cavity</w:t>
      </w:r>
      <w:r w:rsidRPr="00E97FC1">
        <w:rPr>
          <w:rFonts w:cs="Times New Roman"/>
          <w:szCs w:val="40"/>
          <w:lang w:val="en-GB"/>
        </w:rPr>
        <w:t xml:space="preserve">. The conformation of the flexible </w:t>
      </w:r>
      <w:r w:rsidRPr="00E97FC1">
        <w:rPr>
          <w:rFonts w:cs="Times New Roman"/>
          <w:szCs w:val="40"/>
          <w:vertAlign w:val="subscript"/>
          <w:lang w:val="en-GB"/>
        </w:rPr>
        <w:t>H</w:t>
      </w:r>
      <w:r w:rsidRPr="00E97FC1">
        <w:rPr>
          <w:rFonts w:cs="Times New Roman"/>
          <w:szCs w:val="40"/>
          <w:lang w:val="en-GB"/>
        </w:rPr>
        <w:t xml:space="preserve">TM5-6 loop, containing many conserved charged residues, is exactly the same in the closed states of </w:t>
      </w:r>
      <w:r w:rsidRPr="00E97FC1">
        <w:rPr>
          <w:rFonts w:cs="Times New Roman"/>
          <w:i/>
          <w:szCs w:val="40"/>
          <w:lang w:val="en-GB"/>
        </w:rPr>
        <w:t>Ec</w:t>
      </w:r>
      <w:r w:rsidRPr="00E97FC1">
        <w:rPr>
          <w:rFonts w:cs="Times New Roman"/>
          <w:szCs w:val="40"/>
          <w:lang w:val="en-GB"/>
        </w:rPr>
        <w:t xml:space="preserve">CI and </w:t>
      </w:r>
      <w:r w:rsidRPr="00E97FC1">
        <w:rPr>
          <w:rFonts w:cs="Times New Roman"/>
          <w:i/>
          <w:szCs w:val="40"/>
          <w:lang w:val="en-GB"/>
        </w:rPr>
        <w:t>Oa</w:t>
      </w:r>
      <w:r w:rsidRPr="00E97FC1">
        <w:rPr>
          <w:rFonts w:cs="Times New Roman"/>
          <w:szCs w:val="40"/>
          <w:lang w:val="en-GB"/>
        </w:rPr>
        <w:t xml:space="preserve">CI, consistent with its essential mechanistic role. </w:t>
      </w:r>
    </w:p>
    <w:p w14:paraId="4F5E571C" w14:textId="257530A0" w:rsidR="009C0734" w:rsidRPr="00E97FC1" w:rsidRDefault="009C0734" w:rsidP="00CE3E6F">
      <w:pPr>
        <w:ind w:firstLine="720"/>
        <w:rPr>
          <w:rFonts w:cs="Times New Roman"/>
          <w:szCs w:val="40"/>
          <w:lang w:val="en-GB"/>
        </w:rPr>
      </w:pPr>
      <w:r w:rsidRPr="00E97FC1">
        <w:rPr>
          <w:rFonts w:cs="Times New Roman"/>
          <w:szCs w:val="40"/>
          <w:lang w:val="en-GB"/>
        </w:rPr>
        <w:t xml:space="preserve">The open state, uniquely so far to </w:t>
      </w:r>
      <w:r w:rsidRPr="00E97FC1">
        <w:rPr>
          <w:rFonts w:cs="Times New Roman"/>
          <w:i/>
          <w:szCs w:val="40"/>
          <w:lang w:val="en-GB"/>
        </w:rPr>
        <w:t>E. coli</w:t>
      </w:r>
      <w:r w:rsidRPr="00E97FC1">
        <w:rPr>
          <w:rFonts w:cs="Times New Roman"/>
          <w:szCs w:val="40"/>
          <w:lang w:val="en-GB"/>
        </w:rPr>
        <w:t>, could be separated by 3D classification into two states - one “open” (described above) and another we termed “open-ready”, which likely represents an additional, previously not resolved, intermediate in the catalytic cycle</w:t>
      </w:r>
      <w:r w:rsidRPr="00E97FC1">
        <w:rPr>
          <w:rFonts w:cs="Times New Roman"/>
          <w:szCs w:val="24"/>
          <w:lang w:val="en-GB"/>
        </w:rPr>
        <w:t>.</w:t>
      </w:r>
      <w:r w:rsidR="00B35CE8" w:rsidRPr="00E97FC1">
        <w:rPr>
          <w:rFonts w:cs="Times New Roman"/>
          <w:szCs w:val="24"/>
          <w:lang w:val="en-GB"/>
        </w:rPr>
        <w:t xml:space="preserve"> </w:t>
      </w:r>
      <w:r w:rsidR="00B35CE8" w:rsidRPr="00E97FC1">
        <w:rPr>
          <w:rFonts w:cs="Times New Roman"/>
          <w:szCs w:val="40"/>
          <w:lang w:val="en-GB"/>
        </w:rPr>
        <w:t xml:space="preserve">The “open-ready” state differs from “open” mainly by conformations of </w:t>
      </w:r>
      <w:r w:rsidR="00B35CE8" w:rsidRPr="00E97FC1">
        <w:rPr>
          <w:rFonts w:cs="Times New Roman"/>
          <w:szCs w:val="40"/>
          <w:vertAlign w:val="subscript"/>
          <w:lang w:val="en-GB"/>
        </w:rPr>
        <w:t>H</w:t>
      </w:r>
      <w:r w:rsidR="00B35CE8" w:rsidRPr="00E97FC1">
        <w:rPr>
          <w:rFonts w:cs="Times New Roman"/>
          <w:szCs w:val="40"/>
          <w:lang w:val="en-GB"/>
        </w:rPr>
        <w:t xml:space="preserve">TM5-6 and NuoCD loops. The </w:t>
      </w:r>
      <w:r w:rsidR="00B35CE8" w:rsidRPr="00E97FC1">
        <w:rPr>
          <w:rFonts w:cs="Times New Roman"/>
          <w:szCs w:val="40"/>
          <w:vertAlign w:val="subscript"/>
          <w:lang w:val="en-GB"/>
        </w:rPr>
        <w:t>H</w:t>
      </w:r>
      <w:r w:rsidR="00B35CE8" w:rsidRPr="00E97FC1">
        <w:rPr>
          <w:rFonts w:cs="Times New Roman"/>
          <w:szCs w:val="40"/>
          <w:lang w:val="en-GB"/>
        </w:rPr>
        <w:t xml:space="preserve">TM5-6 loop, disordered in open state, adopts ordered conformation differing from closed state by the reorganisation bringing invariant </w:t>
      </w:r>
      <w:r w:rsidR="00B35CE8" w:rsidRPr="00E97FC1">
        <w:rPr>
          <w:rFonts w:cs="Times New Roman"/>
          <w:szCs w:val="40"/>
          <w:vertAlign w:val="subscript"/>
          <w:lang w:val="en-GB"/>
        </w:rPr>
        <w:t>H</w:t>
      </w:r>
      <w:r w:rsidR="00B35CE8" w:rsidRPr="00E97FC1">
        <w:rPr>
          <w:rFonts w:cs="Times New Roman"/>
          <w:szCs w:val="40"/>
          <w:lang w:val="en-GB"/>
        </w:rPr>
        <w:t xml:space="preserve">E220 close to </w:t>
      </w:r>
      <w:r w:rsidR="00B35CE8" w:rsidRPr="00E97FC1">
        <w:rPr>
          <w:rFonts w:cs="Times New Roman"/>
          <w:szCs w:val="40"/>
          <w:vertAlign w:val="subscript"/>
          <w:lang w:val="en-GB"/>
        </w:rPr>
        <w:t>CD</w:t>
      </w:r>
      <w:r w:rsidR="00B35CE8" w:rsidRPr="00E97FC1">
        <w:rPr>
          <w:rFonts w:cs="Times New Roman"/>
          <w:szCs w:val="40"/>
          <w:lang w:val="en-GB"/>
        </w:rPr>
        <w:t>H224. These concerted loop movements suggest that open-ready state may represent the enzyme ready to bind external Q (since no Q is observed in the cavity), while the open state represents the stage when Q has entered and bound in the Q</w:t>
      </w:r>
      <w:r w:rsidR="00B35CE8" w:rsidRPr="00E97FC1">
        <w:rPr>
          <w:rFonts w:cs="Times New Roman"/>
          <w:szCs w:val="40"/>
          <w:vertAlign w:val="subscript"/>
          <w:lang w:val="en-GB"/>
        </w:rPr>
        <w:t>m</w:t>
      </w:r>
      <w:r w:rsidR="00B35CE8" w:rsidRPr="00E97FC1">
        <w:rPr>
          <w:rFonts w:cs="Times New Roman"/>
          <w:szCs w:val="40"/>
          <w:lang w:val="en-GB"/>
        </w:rPr>
        <w:t xml:space="preserve"> site (observed in open states from most datasets), followed by transition to the closed state.</w:t>
      </w:r>
    </w:p>
    <w:p w14:paraId="1BD74192" w14:textId="77777777" w:rsidR="00CE3E6F" w:rsidRPr="00E97FC1" w:rsidRDefault="00CE3E6F" w:rsidP="00CE3E6F">
      <w:pPr>
        <w:ind w:firstLine="720"/>
        <w:rPr>
          <w:rFonts w:cs="Times New Roman"/>
          <w:szCs w:val="24"/>
          <w:lang w:val="en-GB"/>
        </w:rPr>
      </w:pPr>
    </w:p>
    <w:p w14:paraId="5B0B9077" w14:textId="77777777" w:rsidR="003C3D28" w:rsidRPr="00E97FC1" w:rsidRDefault="00CE3B09" w:rsidP="00F016AD">
      <w:pPr>
        <w:pStyle w:val="Heading2"/>
      </w:pPr>
      <w:bookmarkStart w:id="122" w:name="_Toc132640016"/>
      <w:r w:rsidRPr="00E97FC1">
        <w:lastRenderedPageBreak/>
        <w:t>Proton translocation pathways</w:t>
      </w:r>
      <w:bookmarkEnd w:id="122"/>
    </w:p>
    <w:p w14:paraId="65B1FEC5" w14:textId="4311BFA9" w:rsidR="009C0734" w:rsidRPr="00E97FC1" w:rsidRDefault="009C0734" w:rsidP="00CE3E6F">
      <w:pPr>
        <w:ind w:firstLine="720"/>
        <w:rPr>
          <w:rFonts w:cs="Times New Roman"/>
          <w:lang w:val="en-GB"/>
        </w:rPr>
      </w:pPr>
      <w:r w:rsidRPr="00E97FC1">
        <w:rPr>
          <w:rFonts w:cs="Times New Roman"/>
          <w:szCs w:val="24"/>
          <w:lang w:val="en-GB"/>
        </w:rPr>
        <w:t xml:space="preserve">High resolution of the structures allowed us to identify a large number of water molecules (~860 in PA and ~430 in MA) and to reveal for the first time the MA hydration pattern in the bacterial CI. Apart from the protein surface, </w:t>
      </w:r>
      <w:r w:rsidRPr="00E97FC1">
        <w:rPr>
          <w:rFonts w:cs="Times New Roman"/>
          <w:lang w:val="en-GB"/>
        </w:rPr>
        <w:t>waters clustered around the central axis, connecting the key charged residues (</w:t>
      </w:r>
      <w:r w:rsidR="00B2595E">
        <w:rPr>
          <w:rFonts w:cs="Times New Roman"/>
          <w:lang w:val="en-GB"/>
        </w:rPr>
        <w:t>Figure 3.8</w:t>
      </w:r>
      <w:r w:rsidR="00C14D58" w:rsidRPr="00E97FC1">
        <w:rPr>
          <w:rFonts w:cs="Times New Roman"/>
          <w:lang w:val="en-GB"/>
        </w:rPr>
        <w:t>a</w:t>
      </w:r>
      <w:r w:rsidRPr="00E97FC1">
        <w:rPr>
          <w:rFonts w:cs="Times New Roman"/>
          <w:lang w:val="en-GB"/>
        </w:rPr>
        <w:t>). The MA structures for resting, open and open-ready states did not show significant differences in the overall structure, therefore we discuss the highest resolution (</w:t>
      </w:r>
      <w:r w:rsidRPr="00E97FC1">
        <w:rPr>
          <w:rFonts w:cs="Times New Roman"/>
          <w:szCs w:val="24"/>
          <w:lang w:val="en-GB"/>
        </w:rPr>
        <w:t xml:space="preserve">2.3 Å in MA) </w:t>
      </w:r>
      <w:r w:rsidRPr="00E97FC1">
        <w:rPr>
          <w:rFonts w:cs="Times New Roman"/>
          <w:lang w:val="en-GB"/>
        </w:rPr>
        <w:t>ope</w:t>
      </w:r>
      <w:r w:rsidR="00B2595E">
        <w:rPr>
          <w:rFonts w:cs="Times New Roman"/>
          <w:lang w:val="en-GB"/>
        </w:rPr>
        <w:t>n-ready LMNG turnover structure</w:t>
      </w:r>
      <w:r w:rsidRPr="00E97FC1">
        <w:rPr>
          <w:rFonts w:cs="Times New Roman"/>
          <w:lang w:val="en-GB"/>
        </w:rPr>
        <w:t xml:space="preserve"> and compare it to the closed LMNG turnover state (</w:t>
      </w:r>
      <w:r w:rsidRPr="00E97FC1">
        <w:rPr>
          <w:rFonts w:cs="Times New Roman"/>
          <w:szCs w:val="24"/>
          <w:lang w:val="en-GB"/>
        </w:rPr>
        <w:t>2.5 Å in MA)</w:t>
      </w:r>
      <w:r w:rsidRPr="00E97FC1">
        <w:rPr>
          <w:rFonts w:cs="Times New Roman"/>
          <w:lang w:val="en-GB"/>
        </w:rPr>
        <w:t xml:space="preserve">. </w:t>
      </w:r>
    </w:p>
    <w:p w14:paraId="7887A7BA" w14:textId="526357F4" w:rsidR="009C0734" w:rsidRPr="00E97FC1" w:rsidRDefault="009C0734" w:rsidP="00CE3E6F">
      <w:pPr>
        <w:ind w:firstLine="720"/>
        <w:rPr>
          <w:rFonts w:cs="Times New Roman"/>
          <w:szCs w:val="24"/>
          <w:lang w:val="en-GB"/>
        </w:rPr>
      </w:pPr>
      <w:r w:rsidRPr="00E97FC1">
        <w:rPr>
          <w:rFonts w:cs="Times New Roman"/>
          <w:szCs w:val="24"/>
          <w:lang w:val="en-GB"/>
        </w:rPr>
        <w:t>Analysis of proton translocation pathways affirms</w:t>
      </w:r>
      <w:hyperlink w:anchor="_ENREF_3" w:tooltip="Kampjut, 2020 #1543" w:history="1"/>
      <w:r w:rsidR="0094253B" w:rsidRPr="00E97FC1">
        <w:rPr>
          <w:rFonts w:cs="Times New Roman"/>
          <w:szCs w:val="24"/>
          <w:lang w:val="en-GB"/>
        </w:rPr>
        <w:t xml:space="preserve"> </w:t>
      </w:r>
      <w:r w:rsidR="00C6742A" w:rsidRPr="00E97FC1">
        <w:rPr>
          <w:rFonts w:cs="Times New Roman"/>
          <w:szCs w:val="24"/>
          <w:lang w:val="en-GB"/>
        </w:rPr>
        <w:fldChar w:fldCharType="begin" w:fldLock="1"/>
      </w:r>
      <w:r w:rsidR="00E55873" w:rsidRPr="00E97FC1">
        <w:rPr>
          <w:rFonts w:cs="Times New Roman"/>
          <w:szCs w:val="24"/>
          <w:lang w:val="en-GB"/>
        </w:rPr>
        <w:instrText>ADDIN CSL_CITATION {"citationItems":[{"id":"ITEM-1","itemData":{"DOI":"10.1126/science.abc4209","ISSN":"1095-9203 (Electronic)","PMID":"32972993","abstract":"Mitochondrial complex I couples NADH:ubiquinone oxidoreduction to proton pumping by  an unknown mechanism. Here, we present cryo-electron microscopy structures of ovine complex I in five different conditions, including turnover, at resolutions up to 2.3 to 2.5 angstroms. Resolved water molecules allowed us to experimentally define the proton translocation pathways. Quinone binds at three positions along the quinone cavity, as does the inhibitor rotenone that also binds within subunit ND4. Dramatic conformational changes around the quinone cavity couple the redox reaction to proton translocation during open-to-closed state transitions of the enzyme. In the induced deactive state, the open conformation is arrested by the ND6 subunit. We propose a detailed molecular coupling mechanism of complex I, which is an unexpected combination of conformational changes and electrostatic interactions.","author":[{"dropping-particle":"","family":"Kampjut","given":"Domen","non-dropping-particle":"","parse-names":false,"suffix":""},{"dropping-particle":"","family":"Sazanov","given":"Leonid A","non-dropping-particle":"","parse-names":false,"suffix":""}],"container-title":"Science (New York, N.Y.)","id":"ITEM-1","issue":"6516","issued":{"date-parts":[["2020","10"]]},"language":"eng","publisher-place":"United States","title":"The coupling mechanism of mammalian respiratory complex I.","type":"article-journal","volume":"370"},"uris":["http://www.mendeley.com/documents/?uuid=7ba13959-8c17-4313-8227-becdec77971c"]}],"mendeley":{"formattedCitation":"(Kampjut &amp; Sazanov, 2020)","plainTextFormattedCitation":"(Kampjut &amp; Sazanov, 2020)","previouslyFormattedCitation":"(Kampjut &amp; Sazanov, 2020)"},"properties":{"noteIndex":0},"schema":"https://github.com/citation-style-language/schema/raw/master/csl-citation.json"}</w:instrText>
      </w:r>
      <w:r w:rsidR="00C6742A" w:rsidRPr="00E97FC1">
        <w:rPr>
          <w:rFonts w:cs="Times New Roman"/>
          <w:szCs w:val="24"/>
          <w:lang w:val="en-GB"/>
        </w:rPr>
        <w:fldChar w:fldCharType="separate"/>
      </w:r>
      <w:r w:rsidR="00E55873" w:rsidRPr="00E97FC1">
        <w:rPr>
          <w:rFonts w:cs="Times New Roman"/>
          <w:noProof/>
          <w:szCs w:val="24"/>
          <w:lang w:val="en-GB"/>
        </w:rPr>
        <w:t>(Kampjut &amp; Sazanov, 2020)</w:t>
      </w:r>
      <w:r w:rsidR="00C6742A" w:rsidRPr="00E97FC1">
        <w:rPr>
          <w:rFonts w:cs="Times New Roman"/>
          <w:szCs w:val="24"/>
          <w:lang w:val="en-GB"/>
        </w:rPr>
        <w:fldChar w:fldCharType="end"/>
      </w:r>
      <w:r w:rsidRPr="00E97FC1">
        <w:rPr>
          <w:rFonts w:cs="Times New Roman"/>
          <w:szCs w:val="24"/>
          <w:lang w:val="en-GB"/>
        </w:rPr>
        <w:t xml:space="preserve"> that the E-channel and NuoN/M ALS lack connections to the periplasm, blocked by large hydrophobic residues. Subunit NuoL is unique in having a highly hydrated exit to the periplasm, connecting LysTM12 (K399) to </w:t>
      </w:r>
      <w:r w:rsidRPr="00E97FC1">
        <w:rPr>
          <w:rFonts w:cs="Times New Roman"/>
          <w:szCs w:val="24"/>
          <w:vertAlign w:val="subscript"/>
          <w:lang w:val="en-GB"/>
        </w:rPr>
        <w:t>L</w:t>
      </w:r>
      <w:r w:rsidRPr="00E97FC1">
        <w:rPr>
          <w:rFonts w:cs="Times New Roman"/>
          <w:szCs w:val="24"/>
          <w:lang w:val="en-GB"/>
        </w:rPr>
        <w:t>D400 and polar residues nearby. We also do not observe any conformational changes in ALS between open/closed turnover states. Therefore, in all states of the complex, proton exit pathway into the periplasm is formed only in the distal ALS NuoL. This counter-intuitive feature is thus conserved</w:t>
      </w:r>
      <w:r w:rsidR="007972C2" w:rsidRPr="00E97FC1">
        <w:rPr>
          <w:rFonts w:cs="Times New Roman"/>
          <w:szCs w:val="24"/>
          <w:lang w:val="en-GB"/>
        </w:rPr>
        <w:t xml:space="preserve"> fr</w:t>
      </w:r>
      <w:r w:rsidR="005B586C" w:rsidRPr="00E97FC1">
        <w:rPr>
          <w:rFonts w:cs="Times New Roman"/>
          <w:szCs w:val="24"/>
          <w:lang w:val="en-GB"/>
        </w:rPr>
        <w:t xml:space="preserve">om bacterial to mitochondrial </w:t>
      </w:r>
      <w:r w:rsidR="005B586C" w:rsidRPr="00E97FC1">
        <w:rPr>
          <w:rFonts w:cs="Times New Roman"/>
          <w:szCs w:val="24"/>
          <w:lang w:val="en-GB"/>
        </w:rPr>
        <w:fldChar w:fldCharType="begin" w:fldLock="1"/>
      </w:r>
      <w:r w:rsidR="00776703" w:rsidRPr="00E97FC1">
        <w:rPr>
          <w:rFonts w:cs="Times New Roman"/>
          <w:szCs w:val="24"/>
          <w:lang w:val="en-GB"/>
        </w:rPr>
        <w:instrText>ADDIN CSL_CITATION {"citationItems":[{"id":"ITEM-1","itemData":{"DOI":"10.1126/science.abc4209","ISSN":"1095-9203 (Electronic)","PMID":"32972993","abstract":"Mitochondrial complex I couples NADH:ubiquinone oxidoreduction to proton pumping by  an unknown mechanism. Here, we present cryo-electron microscopy structures of ovine complex I in five different conditions, including turnover, at resolutions up to 2.3 to 2.5 angstroms. Resolved water molecules allowed us to experimentally define the proton translocation pathways. Quinone binds at three positions along the quinone cavity, as does the inhibitor rotenone that also binds within subunit ND4. Dramatic conformational changes around the quinone cavity couple the redox reaction to proton translocation during open-to-closed state transitions of the enzyme. In the induced deactive state, the open conformation is arrested by the ND6 subunit. We propose a detailed molecular coupling mechanism of complex I, which is an unexpected combination of conformational changes and electrostatic interactions.","author":[{"dropping-particle":"","family":"Kampjut","given":"Domen","non-dropping-particle":"","parse-names":false,"suffix":""},{"dropping-particle":"","family":"Sazanov","given":"Leonid A","non-dropping-particle":"","parse-names":false,"suffix":""}],"container-title":"Science (New York, N.Y.)","id":"ITEM-1","issue":"6516","issued":{"date-parts":[["2020","10"]]},"language":"eng","publisher-place":"United States","title":"The coupling mechanism of mammalian respiratory complex I.","type":"article-journal","volume":"370"},"uris":["http://www.mendeley.com/documents/?uuid=7ba13959-8c17-4313-8227-becdec77971c"]},{"id":"ITEM-2","itemData":{"DOI":"10.1126/sciadv.abj3221","ISSN":"2375-2548 (Electronic)","PMID":"34767441","abstract":"Mitochondrial NADH:ubiquinone oxidoreductase (complex I) is a 1-MDa membrane  protein complex with a central role in energy metabolism. Redox-driven proton translocation by complex I contributes substantially to the proton motive force that drives ATP synthase. Several structures of complex I from bacteria and mitochondria have been determined, but its catalytic mechanism has remained controversial. We here present the cryo-EM structure of complex I from Yarrowia lipolytica at 2.1-Å resolution, which reveals the positions of more than 1600 protein-bound water molecules, of which ~100 are located in putative proton translocation pathways. Another structure of the same complex under steady-state activity conditions at 3.4-Å resolution indicates conformational transitions that we associate with proton injection into the central hydrophilic axis. By combining high-resolution structural data with site-directed mutagenesis and large-scale molecular dynamic simulations, we define details of the proton translocation pathways and offer insights into the redox-coupled proton pumping mechanism of complex I.","author":[{"dropping-particle":"","family":"Parey","given":"Kristian","non-dropping-particle":"","parse-names":false,"suffix":""},{"dropping-particle":"","family":"Lasham","given":"Jonathan","non-dropping-particle":"","parse-names":false,"suffix":""},{"dropping-particle":"","family":"Mills","given":"Deryck J","non-dropping-particle":"","parse-names":false,"suffix":""},{"dropping-particle":"","family":"Djurabekova","given":"Amina","non-dropping-particle":"","parse-names":false,"suffix":""},{"dropping-particle":"","family":"Haapanen","given":"Outi","non-dropping-particle":"","parse-names":false,"suffix":""},{"dropping-particle":"","family":"Yoga","given":"Etienne Galemou","non-dropping-particle":"","parse-names":false,"suffix":""},{"dropping-particle":"","family":"Xie","given":"Hao","non-dropping-particle":"","parse-names":false,"suffix":""},{"dropping-particle":"","family":"Kühlbrandt","given":"Werner","non-dropping-particle":"","parse-names":false,"suffix":""},{"dropping-particle":"","family":"Sharma","given":"Vivek","non-dropping-particle":"","parse-names":false,"suffix":""},{"dropping-particle":"","family":"Vonck","given":"Janet","non-dropping-particle":"","parse-names":false,"suffix":""},{"dropping-particle":"","family":"Zickermann","given":"Volker","non-dropping-particle":"","parse-names":false,"suffix":""}],"container-title":"Science advances","id":"ITEM-2","issue":"46","issued":{"date-parts":[["2021","11"]]},"language":"eng","page":"eabj3221","title":"High-resolution structure and dynamics of mitochondrial complex I-Insights into  the proton pumping mechanism.","type":"article-journal","volume":"7"},"uris":["http://www.mendeley.com/documents/?uuid=09f1fb2e-6eb4-4a01-b6ed-da596d507f4a"]}],"mendeley":{"formattedCitation":"(Kampjut &amp; Sazanov, 2020; Parey &lt;i&gt;et al&lt;/i&gt;, 2021)","plainTextFormattedCitation":"(Kampjut &amp; Sazanov, 2020; Parey et al, 2021)","previouslyFormattedCitation":"(Kampjut &amp; Sazanov, 2020; Parey &lt;i&gt;et al&lt;/i&gt;, 2021)"},"properties":{"noteIndex":0},"schema":"https://github.com/citation-style-language/schema/raw/master/csl-citation.json"}</w:instrText>
      </w:r>
      <w:r w:rsidR="005B586C" w:rsidRPr="00E97FC1">
        <w:rPr>
          <w:rFonts w:cs="Times New Roman"/>
          <w:szCs w:val="24"/>
          <w:lang w:val="en-GB"/>
        </w:rPr>
        <w:fldChar w:fldCharType="separate"/>
      </w:r>
      <w:r w:rsidR="00E55873" w:rsidRPr="00E97FC1">
        <w:rPr>
          <w:rFonts w:cs="Times New Roman"/>
          <w:noProof/>
          <w:szCs w:val="24"/>
          <w:lang w:val="en-GB"/>
        </w:rPr>
        <w:t xml:space="preserve">(Kampjut &amp; Sazanov, 2020; Parey </w:t>
      </w:r>
      <w:r w:rsidR="00E55873" w:rsidRPr="00E97FC1">
        <w:rPr>
          <w:rFonts w:cs="Times New Roman"/>
          <w:i/>
          <w:noProof/>
          <w:szCs w:val="24"/>
          <w:lang w:val="en-GB"/>
        </w:rPr>
        <w:t>et al</w:t>
      </w:r>
      <w:r w:rsidR="00E55873" w:rsidRPr="00E97FC1">
        <w:rPr>
          <w:rFonts w:cs="Times New Roman"/>
          <w:noProof/>
          <w:szCs w:val="24"/>
          <w:lang w:val="en-GB"/>
        </w:rPr>
        <w:t>, 2021)</w:t>
      </w:r>
      <w:r w:rsidR="005B586C" w:rsidRPr="00E97FC1">
        <w:rPr>
          <w:rFonts w:cs="Times New Roman"/>
          <w:szCs w:val="24"/>
          <w:lang w:val="en-GB"/>
        </w:rPr>
        <w:fldChar w:fldCharType="end"/>
      </w:r>
      <w:r w:rsidRPr="00E97FC1">
        <w:rPr>
          <w:rFonts w:cs="Times New Roman"/>
          <w:szCs w:val="24"/>
          <w:lang w:val="en-GB"/>
        </w:rPr>
        <w:t xml:space="preserve"> enzyme. </w:t>
      </w:r>
    </w:p>
    <w:p w14:paraId="073A7473" w14:textId="77777777" w:rsidR="002435A0" w:rsidRPr="00E97FC1" w:rsidRDefault="002435A0" w:rsidP="00CE3E6F">
      <w:pPr>
        <w:ind w:firstLine="720"/>
        <w:jc w:val="center"/>
        <w:rPr>
          <w:rFonts w:cs="Times New Roman"/>
          <w:szCs w:val="40"/>
          <w:lang w:val="en-GB"/>
        </w:rPr>
      </w:pPr>
      <w:r w:rsidRPr="00E97FC1">
        <w:rPr>
          <w:rFonts w:cs="Times New Roman"/>
          <w:noProof/>
          <w:szCs w:val="40"/>
        </w:rPr>
        <w:lastRenderedPageBreak/>
        <w:drawing>
          <wp:inline distT="0" distB="0" distL="0" distR="0" wp14:anchorId="674E1531" wp14:editId="79E79067">
            <wp:extent cx="3904004" cy="5356746"/>
            <wp:effectExtent l="0" t="0" r="127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904004" cy="5356746"/>
                    </a:xfrm>
                    <a:prstGeom prst="rect">
                      <a:avLst/>
                    </a:prstGeom>
                    <a:noFill/>
                    <a:ln>
                      <a:noFill/>
                    </a:ln>
                  </pic:spPr>
                </pic:pic>
              </a:graphicData>
            </a:graphic>
          </wp:inline>
        </w:drawing>
      </w:r>
    </w:p>
    <w:p w14:paraId="68920637" w14:textId="6FEE18C3" w:rsidR="002435A0" w:rsidRPr="00E97FC1" w:rsidRDefault="002435A0" w:rsidP="00CE3E6F">
      <w:pPr>
        <w:pStyle w:val="Caption"/>
        <w:rPr>
          <w:szCs w:val="24"/>
        </w:rPr>
      </w:pPr>
      <w:bookmarkStart w:id="123" w:name="_Toc121834116"/>
      <w:bookmarkStart w:id="124" w:name="_Toc128136636"/>
      <w:r w:rsidRPr="00E97FC1">
        <w:t xml:space="preserve">Figure </w:t>
      </w:r>
      <w:r w:rsidR="00CC7652">
        <w:fldChar w:fldCharType="begin"/>
      </w:r>
      <w:r w:rsidR="00CC7652">
        <w:instrText xml:space="preserve"> STYLEREF 1 \s </w:instrText>
      </w:r>
      <w:r w:rsidR="00CC7652">
        <w:fldChar w:fldCharType="separate"/>
      </w:r>
      <w:r w:rsidR="00ED1816">
        <w:rPr>
          <w:noProof/>
        </w:rPr>
        <w:t>3</w:t>
      </w:r>
      <w:r w:rsidR="00CC7652">
        <w:fldChar w:fldCharType="end"/>
      </w:r>
      <w:r w:rsidR="00CC7652">
        <w:t>.</w:t>
      </w:r>
      <w:r w:rsidR="00CC7652">
        <w:fldChar w:fldCharType="begin"/>
      </w:r>
      <w:r w:rsidR="00CC7652">
        <w:instrText xml:space="preserve"> SEQ Figure \* ARABIC \s 1 </w:instrText>
      </w:r>
      <w:r w:rsidR="00CC7652">
        <w:fldChar w:fldCharType="separate"/>
      </w:r>
      <w:r w:rsidR="00ED1816">
        <w:rPr>
          <w:noProof/>
        </w:rPr>
        <w:t>8</w:t>
      </w:r>
      <w:r w:rsidR="00CC7652">
        <w:fldChar w:fldCharType="end"/>
      </w:r>
      <w:r w:rsidRPr="00E97FC1">
        <w:t xml:space="preserve"> </w:t>
      </w:r>
      <w:r w:rsidR="00673837" w:rsidRPr="00E97FC1">
        <w:rPr>
          <w:szCs w:val="24"/>
        </w:rPr>
        <w:t>Waters and proton translocation pathways</w:t>
      </w:r>
      <w:bookmarkEnd w:id="123"/>
      <w:bookmarkEnd w:id="124"/>
    </w:p>
    <w:p w14:paraId="45054CCA" w14:textId="2A4C89A4" w:rsidR="00673837" w:rsidRPr="00E97FC1" w:rsidRDefault="00673837" w:rsidP="00CE3E6F">
      <w:pPr>
        <w:rPr>
          <w:i/>
          <w:sz w:val="20"/>
          <w:lang w:val="en-GB"/>
        </w:rPr>
      </w:pPr>
      <w:r w:rsidRPr="00E97FC1">
        <w:rPr>
          <w:b/>
          <w:i/>
          <w:sz w:val="20"/>
          <w:lang w:val="en-GB"/>
        </w:rPr>
        <w:t>A)</w:t>
      </w:r>
      <w:r w:rsidRPr="00E97FC1">
        <w:rPr>
          <w:i/>
          <w:sz w:val="20"/>
          <w:lang w:val="en-GB"/>
        </w:rPr>
        <w:t xml:space="preserve"> Cryo-EM densities for the experimental waters in the MA-focus-refined maps of EcCI LMNG_Turnover_pH6 open-ready (top) and closed (bottom) states. To allow clear visualization, the density is carved around modelled waters (red spheres) and is shown in light blue. The model is coloured by subunit as in Fig. </w:t>
      </w:r>
      <w:r w:rsidR="000F12F2">
        <w:rPr>
          <w:i/>
          <w:sz w:val="20"/>
          <w:lang w:val="en-GB"/>
        </w:rPr>
        <w:t>3.</w:t>
      </w:r>
      <w:r w:rsidRPr="00E97FC1">
        <w:rPr>
          <w:i/>
          <w:sz w:val="20"/>
          <w:lang w:val="en-GB"/>
        </w:rPr>
        <w:t xml:space="preserve">1a. Key residues from the central hydrophilic axis of EcCI are shown as sticks. </w:t>
      </w:r>
      <w:r w:rsidRPr="00E97FC1">
        <w:rPr>
          <w:b/>
          <w:i/>
          <w:sz w:val="20"/>
          <w:lang w:val="en-GB"/>
        </w:rPr>
        <w:t>B)</w:t>
      </w:r>
      <w:r w:rsidRPr="00E97FC1">
        <w:rPr>
          <w:i/>
          <w:sz w:val="20"/>
          <w:lang w:val="en-GB"/>
        </w:rPr>
        <w:t xml:space="preserve"> A putative proton transfer pathway between the E-channel and the key </w:t>
      </w:r>
      <w:r w:rsidRPr="00E97FC1">
        <w:rPr>
          <w:i/>
          <w:sz w:val="20"/>
          <w:vertAlign w:val="subscript"/>
          <w:lang w:val="en-GB"/>
        </w:rPr>
        <w:t>C</w:t>
      </w:r>
      <w:r w:rsidRPr="00E97FC1">
        <w:rPr>
          <w:i/>
          <w:sz w:val="20"/>
          <w:lang w:val="en-GB"/>
        </w:rPr>
        <w:t>H228/</w:t>
      </w:r>
      <w:r w:rsidRPr="00E97FC1">
        <w:rPr>
          <w:i/>
          <w:sz w:val="20"/>
          <w:vertAlign w:val="subscript"/>
          <w:lang w:val="en-GB"/>
        </w:rPr>
        <w:t>C</w:t>
      </w:r>
      <w:r w:rsidRPr="00E97FC1">
        <w:rPr>
          <w:i/>
          <w:sz w:val="20"/>
          <w:lang w:val="en-GB"/>
        </w:rPr>
        <w:t xml:space="preserve">D329 residues, likely proton donors for quinone. Key protonatable residues, experimentally resolved waters and quinones from LMNG_Turnover_pH6 closed state are shown. Potential H-bonds are indicated by black dashes. </w:t>
      </w:r>
      <w:r w:rsidRPr="00E97FC1">
        <w:rPr>
          <w:b/>
          <w:i/>
          <w:sz w:val="20"/>
          <w:lang w:val="en-GB"/>
        </w:rPr>
        <w:t>C)</w:t>
      </w:r>
      <w:r w:rsidRPr="00E97FC1">
        <w:rPr>
          <w:i/>
          <w:sz w:val="20"/>
          <w:lang w:val="en-GB"/>
        </w:rPr>
        <w:t xml:space="preserve"> Detailed analysis of cryo-EM density reveals charge of Glu and Asp residues in MA. Carboxyl side-chain densities of some key residues are absent (circled) in the closed state, suggesting their negative charge. In contrast, the same residues in the open state preserve densities suggesting their neutral charge. </w:t>
      </w:r>
      <w:r w:rsidRPr="00E97FC1">
        <w:rPr>
          <w:b/>
          <w:i/>
          <w:sz w:val="20"/>
          <w:lang w:val="en-GB"/>
        </w:rPr>
        <w:t xml:space="preserve">D) </w:t>
      </w:r>
      <w:r w:rsidRPr="00E97FC1">
        <w:rPr>
          <w:i/>
          <w:sz w:val="20"/>
          <w:lang w:val="en-GB"/>
        </w:rPr>
        <w:t xml:space="preserve">Comparison of NuoL TM8 helices from different CI species. Structures were aligned on EcCI NuoL subunit. Key </w:t>
      </w:r>
      <w:r w:rsidRPr="00E97FC1">
        <w:rPr>
          <w:i/>
          <w:sz w:val="20"/>
          <w:vertAlign w:val="subscript"/>
          <w:lang w:val="en-GB"/>
        </w:rPr>
        <w:t>L</w:t>
      </w:r>
      <w:r w:rsidRPr="00E97FC1">
        <w:rPr>
          <w:i/>
          <w:sz w:val="20"/>
          <w:lang w:val="en-GB"/>
        </w:rPr>
        <w:t xml:space="preserve">H254 residue and </w:t>
      </w:r>
      <w:r w:rsidRPr="00E97FC1">
        <w:rPr>
          <w:i/>
          <w:sz w:val="20"/>
          <w:vertAlign w:val="subscript"/>
          <w:lang w:val="en-GB"/>
        </w:rPr>
        <w:t>L</w:t>
      </w:r>
      <w:r w:rsidRPr="00E97FC1">
        <w:rPr>
          <w:i/>
          <w:sz w:val="20"/>
          <w:lang w:val="en-GB"/>
        </w:rPr>
        <w:t xml:space="preserve">S150 with which it can interact are shown as sticks. Due to flexibility of TMH8 key histidine can be preferentially linked either to key TM12 residue as in EcCI, TtCI and YlCI, or to key TM7 residue and the rest of the central axis as in OaCI, TeNDH (PDB 6KHJ) and AiCI (Arabidopsis italiana mitochondrial CI, PDB 7AR8). </w:t>
      </w:r>
      <w:r w:rsidRPr="00E97FC1">
        <w:rPr>
          <w:b/>
          <w:i/>
          <w:sz w:val="20"/>
          <w:lang w:val="en-GB"/>
        </w:rPr>
        <w:t xml:space="preserve">E) </w:t>
      </w:r>
      <w:r w:rsidRPr="00E97FC1">
        <w:rPr>
          <w:i/>
          <w:sz w:val="20"/>
          <w:lang w:val="en-GB"/>
        </w:rPr>
        <w:t xml:space="preserve">Comparison of NuoM TM8 helices from different CI species. In EcCI </w:t>
      </w:r>
      <w:r w:rsidRPr="00E97FC1">
        <w:rPr>
          <w:i/>
          <w:sz w:val="20"/>
          <w:vertAlign w:val="subscript"/>
          <w:lang w:val="en-GB"/>
        </w:rPr>
        <w:t>M</w:t>
      </w:r>
      <w:r w:rsidRPr="00E97FC1">
        <w:rPr>
          <w:i/>
          <w:sz w:val="20"/>
          <w:lang w:val="en-GB"/>
        </w:rPr>
        <w:t xml:space="preserve">TM8 is </w:t>
      </w:r>
      <w:r w:rsidRPr="00E97FC1">
        <w:rPr>
          <w:i/>
          <w:sz w:val="20"/>
          <w:lang w:val="en-GB"/>
        </w:rPr>
        <w:lastRenderedPageBreak/>
        <w:t>flexible and adopts different conformations. It is “linked” (green) in DDM/LMNG datasets PieA, Apo, Turnover in open states, and in resting states in Apo, Turnover and DDM_NADH. In DDM/LMNG datasets NADH+FMN and DQ in the open states, and resting states in DQ and DDM_Apo it is “flipped” (grey). However, both of these conformations are consistent with other CI structures as shown.</w:t>
      </w:r>
      <w:r w:rsidR="00414A2B">
        <w:rPr>
          <w:i/>
          <w:sz w:val="20"/>
          <w:lang w:val="en-GB"/>
        </w:rPr>
        <w:t xml:space="preserve"> </w:t>
      </w:r>
      <w:r w:rsidR="00414A2B" w:rsidRPr="00E97FC1">
        <w:rPr>
          <w:rFonts w:cs="Times New Roman"/>
          <w:i/>
          <w:sz w:val="20"/>
          <w:szCs w:val="24"/>
          <w:lang w:val="en-GB"/>
        </w:rPr>
        <w:t xml:space="preserve">. Figure adapted from </w:t>
      </w:r>
      <w:r w:rsidR="00414A2B" w:rsidRPr="00E97FC1">
        <w:rPr>
          <w:rFonts w:cs="Times New Roman"/>
          <w:i/>
          <w:sz w:val="20"/>
          <w:szCs w:val="24"/>
          <w:lang w:val="en-GB"/>
        </w:rPr>
        <w:fldChar w:fldCharType="begin" w:fldLock="1"/>
      </w:r>
      <w:r w:rsidR="00414A2B" w:rsidRPr="00E97FC1">
        <w:rPr>
          <w:rFonts w:cs="Times New Roman"/>
          <w:i/>
          <w:sz w:val="20"/>
          <w:szCs w:val="24"/>
          <w:lang w:val="en-GB"/>
        </w:rPr>
        <w:instrText>ADDIN CSL_CITATION {"citationItems":[{"id":"ITEM-1","itemData":{"DOI":"10.1038/s41586-022-05199-7","ISSN":"1476-4687 (Electronic)","PMID":"36104567","abstract":"Complex I is the first enzyme in the respiratory chain, which is responsible for  energy production in mitochondria and bacteria(1). Complex I couples the transfer of two electrons from NADH to quinone and the translocation of four protons across the membrane(2), but the coupling mechanism remains contentious. Here we present cryo-electron microscopy structures of Escherichia coli complex I (EcCI) in different redox states, including catalytic turnover. EcCI exists mostly in the open state, in which the quinone cavity is exposed to the cytosol, allowing access for water molecules, which enable quinone movements. Unlike the mammalian paralogues(3), EcCI can convert to the closed state only during turnover, showing that closed and open states are genuine turnover intermediates. The open-to-closed transition results in the tightly engulfed quinone cavity being connected to the central axis of the membrane arm, a source of substrate protons. Consistently, the proportion of the closed state increases with increasing pH. We propose a detailed but straightforward and robust mechanism comprising a 'domino effect' series of proton transfers and electrostatic interactions: the forward wave ('dominoes stacking') primes the pump, and the reverse wave ('dominoes falling') results in the ejection of all pumped protons from the distal subunit NuoL. This mechanism explains why protons exit exclusively from the NuoL subunit and is supported by our mutagenesis data. We contend that this is a universal coupling mechanism of complex I and related enzymes.","author":[{"dropping-particle":"","family":"Kravchuk","given":"Vladyslav","non-dropping-particle":"","parse-names":false,"suffix":""},{"dropping-particle":"","family":"Petrova","given":"Olga","non-dropping-particle":"","parse-names":false,"suffix":""},{"dropping-particle":"","family":"Kampjut","given":"Domen","non-dropping-particle":"","parse-names":false,"suffix":""},{"dropping-particle":"","family":"Wojciechowska-Bason","given":"Anna","non-dropping-particle":"","parse-names":false,"suffix":""},{"dropping-particle":"","family":"Breese","given":"Zara","non-dropping-particle":"","parse-names":false,"suffix":""},{"dropping-particle":"","family":"Sazanov","given":"Leonid","non-dropping-particle":"","parse-names":false,"suffix":""}],"container-title":"Nature","id":"ITEM-1","issue":"7928","issued":{"date-parts":[["2022","9"]]},"language":"eng","page":"808-814","publisher-place":"England","title":"A universal coupling mechanism of respiratory complex I.","type":"article-journal","volume":"609"},"uris":["http://www.mendeley.com/documents/?uuid=24646b16-1332-4c29-8894-c41094c65033"]}],"mendeley":{"formattedCitation":"(Kravchuk &lt;i&gt;et al&lt;/i&gt;, 2022)","plainTextFormattedCitation":"(Kravchuk et al, 2022)","previouslyFormattedCitation":"(Kravchuk &lt;i&gt;et al&lt;/i&gt;, 2022)"},"properties":{"noteIndex":0},"schema":"https://github.com/citation-style-language/schema/raw/master/csl-citation.json"}</w:instrText>
      </w:r>
      <w:r w:rsidR="00414A2B" w:rsidRPr="00E97FC1">
        <w:rPr>
          <w:rFonts w:cs="Times New Roman"/>
          <w:i/>
          <w:sz w:val="20"/>
          <w:szCs w:val="24"/>
          <w:lang w:val="en-GB"/>
        </w:rPr>
        <w:fldChar w:fldCharType="separate"/>
      </w:r>
      <w:r w:rsidR="00414A2B" w:rsidRPr="00E97FC1">
        <w:rPr>
          <w:rFonts w:cs="Times New Roman"/>
          <w:noProof/>
          <w:sz w:val="20"/>
          <w:szCs w:val="24"/>
          <w:lang w:val="en-GB"/>
        </w:rPr>
        <w:t xml:space="preserve">(Kravchuk </w:t>
      </w:r>
      <w:r w:rsidR="00414A2B" w:rsidRPr="00E97FC1">
        <w:rPr>
          <w:rFonts w:cs="Times New Roman"/>
          <w:i/>
          <w:noProof/>
          <w:sz w:val="20"/>
          <w:szCs w:val="24"/>
          <w:lang w:val="en-GB"/>
        </w:rPr>
        <w:t>et al</w:t>
      </w:r>
      <w:r w:rsidR="00414A2B" w:rsidRPr="00E97FC1">
        <w:rPr>
          <w:rFonts w:cs="Times New Roman"/>
          <w:noProof/>
          <w:sz w:val="20"/>
          <w:szCs w:val="24"/>
          <w:lang w:val="en-GB"/>
        </w:rPr>
        <w:t>, 2022)</w:t>
      </w:r>
      <w:r w:rsidR="00414A2B" w:rsidRPr="00E97FC1">
        <w:rPr>
          <w:rFonts w:cs="Times New Roman"/>
          <w:i/>
          <w:sz w:val="20"/>
          <w:szCs w:val="24"/>
          <w:lang w:val="en-GB"/>
        </w:rPr>
        <w:fldChar w:fldCharType="end"/>
      </w:r>
    </w:p>
    <w:p w14:paraId="6D675A3E" w14:textId="77777777" w:rsidR="00B35CE8" w:rsidRPr="00E97FC1" w:rsidRDefault="00B35CE8" w:rsidP="00CE3E6F">
      <w:pPr>
        <w:rPr>
          <w:i/>
          <w:sz w:val="20"/>
          <w:lang w:val="en-GB"/>
        </w:rPr>
      </w:pPr>
    </w:p>
    <w:p w14:paraId="775FAEEE" w14:textId="6D532709" w:rsidR="00673837" w:rsidRPr="00E97FC1" w:rsidRDefault="009C0734" w:rsidP="00CE3E6F">
      <w:pPr>
        <w:ind w:firstLine="720"/>
        <w:rPr>
          <w:rFonts w:cs="Times New Roman"/>
          <w:szCs w:val="40"/>
          <w:lang w:val="en-GB"/>
        </w:rPr>
      </w:pPr>
      <w:r w:rsidRPr="00E97FC1">
        <w:rPr>
          <w:rFonts w:cs="Times New Roman"/>
          <w:szCs w:val="24"/>
          <w:lang w:val="en-GB"/>
        </w:rPr>
        <w:t xml:space="preserve">Following proton pathways along the central axis we see a highly hydrated connection all the way from key </w:t>
      </w:r>
      <w:r w:rsidRPr="00E97FC1">
        <w:rPr>
          <w:rFonts w:cs="Times New Roman"/>
          <w:szCs w:val="24"/>
          <w:vertAlign w:val="subscript"/>
          <w:lang w:val="en-GB"/>
        </w:rPr>
        <w:t>L</w:t>
      </w:r>
      <w:r w:rsidRPr="00E97FC1">
        <w:rPr>
          <w:rFonts w:cs="Times New Roman"/>
          <w:szCs w:val="24"/>
          <w:lang w:val="en-GB"/>
        </w:rPr>
        <w:t xml:space="preserve">K399 to </w:t>
      </w:r>
      <w:r w:rsidRPr="00E97FC1">
        <w:rPr>
          <w:rFonts w:cs="Times New Roman"/>
          <w:szCs w:val="24"/>
          <w:vertAlign w:val="subscript"/>
          <w:lang w:val="en-GB"/>
        </w:rPr>
        <w:t>N</w:t>
      </w:r>
      <w:r w:rsidRPr="00E97FC1">
        <w:rPr>
          <w:rFonts w:cs="Times New Roman"/>
          <w:szCs w:val="24"/>
          <w:lang w:val="en-GB"/>
        </w:rPr>
        <w:t>E133 via repeating Lys(Glu)TM12-Lys(His)TM8-LysTM7-GluTM5 series, linked by additional charged residues (</w:t>
      </w:r>
      <w:r w:rsidR="0050344C" w:rsidRPr="00E97FC1">
        <w:rPr>
          <w:rFonts w:cs="Times New Roman"/>
          <w:szCs w:val="24"/>
          <w:lang w:val="en-GB"/>
        </w:rPr>
        <w:t>labelled on Figure</w:t>
      </w:r>
      <w:r w:rsidRPr="00E97FC1">
        <w:rPr>
          <w:rFonts w:cs="Times New Roman"/>
          <w:szCs w:val="24"/>
          <w:lang w:val="en-GB"/>
        </w:rPr>
        <w:t xml:space="preserve"> 3</w:t>
      </w:r>
      <w:r w:rsidR="00291F7C">
        <w:rPr>
          <w:rFonts w:cs="Times New Roman"/>
          <w:szCs w:val="24"/>
          <w:lang w:val="en-GB"/>
        </w:rPr>
        <w:t>.9</w:t>
      </w:r>
      <w:r w:rsidRPr="00E97FC1">
        <w:rPr>
          <w:rFonts w:cs="Times New Roman"/>
          <w:szCs w:val="24"/>
          <w:lang w:val="en-GB"/>
        </w:rPr>
        <w:t>a). Only NuoL and NuoM have a link to the cytoplasm via branching residues sitting on broken TM8. These residues (</w:t>
      </w:r>
      <w:r w:rsidRPr="00E97FC1">
        <w:rPr>
          <w:rFonts w:cs="Times New Roman"/>
          <w:szCs w:val="24"/>
          <w:vertAlign w:val="subscript"/>
          <w:lang w:val="en-GB"/>
        </w:rPr>
        <w:t>L</w:t>
      </w:r>
      <w:r w:rsidRPr="00E97FC1">
        <w:rPr>
          <w:rFonts w:cs="Times New Roman"/>
          <w:szCs w:val="24"/>
          <w:lang w:val="en-GB"/>
        </w:rPr>
        <w:t xml:space="preserve">H254 and </w:t>
      </w:r>
      <w:r w:rsidRPr="00E97FC1">
        <w:rPr>
          <w:rFonts w:cs="Times New Roman"/>
          <w:szCs w:val="24"/>
          <w:vertAlign w:val="subscript"/>
          <w:lang w:val="en-GB"/>
        </w:rPr>
        <w:t>M</w:t>
      </w:r>
      <w:r w:rsidRPr="00E97FC1">
        <w:rPr>
          <w:rFonts w:cs="Times New Roman"/>
          <w:szCs w:val="24"/>
          <w:lang w:val="en-GB"/>
        </w:rPr>
        <w:t>K265) could be able to switch the conformation (not linked to the redox state) and thus help to re-distribute incoming protons along the central axis.</w:t>
      </w:r>
      <w:r w:rsidR="00673837" w:rsidRPr="00E97FC1">
        <w:rPr>
          <w:rFonts w:cs="Times New Roman"/>
          <w:szCs w:val="24"/>
          <w:lang w:val="en-GB"/>
        </w:rPr>
        <w:t xml:space="preserve"> The connection continues till the essential</w:t>
      </w:r>
      <w:hyperlink w:anchor="_ENREF_9" w:tooltip="Efremov, 2011 #739" w:history="1"/>
      <w:r w:rsidR="00673837" w:rsidRPr="00E97FC1">
        <w:rPr>
          <w:rFonts w:cs="Times New Roman"/>
          <w:szCs w:val="24"/>
          <w:lang w:val="en-GB"/>
        </w:rPr>
        <w:t xml:space="preserve"> </w:t>
      </w:r>
      <w:r w:rsidR="00673837" w:rsidRPr="00E97FC1">
        <w:rPr>
          <w:rFonts w:cs="Times New Roman"/>
          <w:szCs w:val="24"/>
          <w:lang w:val="en-GB"/>
        </w:rPr>
        <w:fldChar w:fldCharType="begin" w:fldLock="1"/>
      </w:r>
      <w:r w:rsidR="00E55873" w:rsidRPr="00E97FC1">
        <w:rPr>
          <w:rFonts w:cs="Times New Roman"/>
          <w:szCs w:val="24"/>
          <w:lang w:val="en-GB"/>
        </w:rPr>
        <w:instrText>ADDIN CSL_CITATION {"citationItems":[{"id":"ITEM-1","itemData":{"DOI":"10.1038/nature10330","ISSN":"1476-4687 (Electronic)","PMID":"21822288","abstract":"Complex I is the first and largest enzyme of the respiratory chain, coupling electron transfer between NADH and ubiquinone to the translocation of four protons across the membrane. It has a central role in cellular energy production and has been implicated in many human neurodegenerative diseases. The L-shaped enzyme consists of hydrophilic and membrane domains. Previously, we determined the structure of the hydrophilic domain. Here we report the crystal structure of the Esherichia coli complex I membrane domain at 3.0 A resolution. It includes six subunits, NuoL, NuoM, NuoN, NuoA, NuoJ and NuoK, with 55 transmembrane helices. The fold of the homologous antiporter-like subunits L, M and N is novel, with two inverted structural repeats of five transmembrane helices arranged, unusually, face-to-back. Each repeat includes a discontinuous transmembrane helix and forms half of a channel across the membrane. A network of conserved polar residues connects the two half-channels, completing the proton translocation pathway. Unexpectedly, lysines rather than carboxylate residues act as the main elements of the proton pump in these subunits. The fourth probable proton-translocation channel is at the interface of subunits N, K, J and A. The structure indicates that proton translocation in complex I, uniquely, involves coordinated conformational changes in six symmetrical structural elements.","author":[{"dropping-particle":"","family":"Efremov","given":"Rouslan G","non-dropping-particle":"","parse-names":false,"suffix":""},{"dropping-particle":"","family":"Sazanov","given":"Leonid A","non-dropping-particle":"","parse-names":false,"suffix":""}],"container-title":"Nature","id":"ITEM-1","issue":"7361","issued":{"date-parts":[["2011","8"]]},"language":"eng","page":"414-420","publisher-place":"England","title":"Structure of the membrane domain of respiratory complex I.","type":"article-journal","volume":"476"},"uris":["http://www.mendeley.com/documents/?uuid=70e749ca-5ff6-4c28-b7a8-deff25e62773"]}],"mendeley":{"formattedCitation":"(Efremov &amp; Sazanov, 2011)","plainTextFormattedCitation":"(Efremov &amp; Sazanov, 2011)","previouslyFormattedCitation":"(Efremov &amp; Sazanov, 2011)"},"properties":{"noteIndex":0},"schema":"https://github.com/citation-style-language/schema/raw/master/csl-citation.json"}</w:instrText>
      </w:r>
      <w:r w:rsidR="00673837" w:rsidRPr="00E97FC1">
        <w:rPr>
          <w:rFonts w:cs="Times New Roman"/>
          <w:szCs w:val="24"/>
          <w:lang w:val="en-GB"/>
        </w:rPr>
        <w:fldChar w:fldCharType="separate"/>
      </w:r>
      <w:r w:rsidR="00E55873" w:rsidRPr="00E97FC1">
        <w:rPr>
          <w:rFonts w:cs="Times New Roman"/>
          <w:noProof/>
          <w:szCs w:val="24"/>
          <w:lang w:val="en-GB"/>
        </w:rPr>
        <w:t>(Efremov &amp; Sazanov, 2011)</w:t>
      </w:r>
      <w:r w:rsidR="00673837" w:rsidRPr="00E97FC1">
        <w:rPr>
          <w:rFonts w:cs="Times New Roman"/>
          <w:szCs w:val="24"/>
          <w:lang w:val="en-GB"/>
        </w:rPr>
        <w:fldChar w:fldCharType="end"/>
      </w:r>
      <w:r w:rsidR="00673837" w:rsidRPr="00E97FC1">
        <w:rPr>
          <w:rFonts w:cs="Times New Roman"/>
          <w:szCs w:val="24"/>
          <w:lang w:val="en-GB"/>
        </w:rPr>
        <w:t xml:space="preserve"> NuoK residues: </w:t>
      </w:r>
      <w:r w:rsidR="00673837" w:rsidRPr="00E97FC1">
        <w:rPr>
          <w:rFonts w:cs="Times New Roman"/>
          <w:szCs w:val="24"/>
          <w:vertAlign w:val="subscript"/>
          <w:lang w:val="en-GB"/>
        </w:rPr>
        <w:t>N</w:t>
      </w:r>
      <w:r w:rsidR="00673837" w:rsidRPr="00E97FC1">
        <w:rPr>
          <w:rFonts w:cs="Times New Roman"/>
          <w:szCs w:val="24"/>
          <w:lang w:val="en-GB"/>
        </w:rPr>
        <w:t>GluTM5(E133)-</w:t>
      </w:r>
      <w:r w:rsidR="00673837" w:rsidRPr="00E97FC1">
        <w:rPr>
          <w:rFonts w:cs="Times New Roman"/>
          <w:szCs w:val="24"/>
          <w:vertAlign w:val="subscript"/>
          <w:lang w:val="en-GB"/>
        </w:rPr>
        <w:t>K</w:t>
      </w:r>
      <w:r w:rsidR="00673837" w:rsidRPr="00E97FC1">
        <w:rPr>
          <w:rFonts w:cs="Times New Roman"/>
          <w:szCs w:val="24"/>
          <w:lang w:val="en-GB"/>
        </w:rPr>
        <w:t>E72-</w:t>
      </w:r>
      <w:r w:rsidR="00673837" w:rsidRPr="00E97FC1">
        <w:rPr>
          <w:rFonts w:cs="Times New Roman"/>
          <w:szCs w:val="24"/>
          <w:vertAlign w:val="subscript"/>
          <w:lang w:val="en-GB"/>
        </w:rPr>
        <w:t>K</w:t>
      </w:r>
      <w:r w:rsidR="00673837" w:rsidRPr="00E97FC1">
        <w:rPr>
          <w:rFonts w:cs="Times New Roman"/>
          <w:szCs w:val="24"/>
          <w:lang w:val="en-GB"/>
        </w:rPr>
        <w:t xml:space="preserve">E36. Then in all </w:t>
      </w:r>
      <w:r w:rsidR="00673837" w:rsidRPr="00E97FC1">
        <w:rPr>
          <w:rFonts w:cs="Times New Roman"/>
          <w:i/>
          <w:szCs w:val="24"/>
          <w:lang w:val="en-GB"/>
        </w:rPr>
        <w:t>Ec</w:t>
      </w:r>
      <w:r w:rsidR="00673837" w:rsidRPr="00E97FC1">
        <w:rPr>
          <w:rFonts w:cs="Times New Roman"/>
          <w:szCs w:val="24"/>
          <w:lang w:val="en-GB"/>
        </w:rPr>
        <w:t xml:space="preserve">CI open states there is a long (~13 Å) break in hydration, with hydrophobic residues from </w:t>
      </w:r>
      <w:r w:rsidR="00673837" w:rsidRPr="00E97FC1">
        <w:rPr>
          <w:rFonts w:cs="Times New Roman"/>
          <w:szCs w:val="24"/>
          <w:vertAlign w:val="subscript"/>
          <w:lang w:val="en-GB"/>
        </w:rPr>
        <w:t>J</w:t>
      </w:r>
      <w:r w:rsidR="00673837" w:rsidRPr="00E97FC1">
        <w:rPr>
          <w:rFonts w:cs="Times New Roman"/>
          <w:szCs w:val="24"/>
          <w:lang w:val="en-GB"/>
        </w:rPr>
        <w:t xml:space="preserve">TM3 blocking the path from </w:t>
      </w:r>
      <w:r w:rsidR="00673837" w:rsidRPr="00E97FC1">
        <w:rPr>
          <w:rFonts w:cs="Times New Roman"/>
          <w:szCs w:val="24"/>
          <w:vertAlign w:val="subscript"/>
          <w:lang w:val="en-GB"/>
        </w:rPr>
        <w:t>K</w:t>
      </w:r>
      <w:r w:rsidR="00673837" w:rsidRPr="00E97FC1">
        <w:rPr>
          <w:rFonts w:cs="Times New Roman"/>
          <w:szCs w:val="24"/>
          <w:lang w:val="en-GB"/>
        </w:rPr>
        <w:t xml:space="preserve">E36 to </w:t>
      </w:r>
      <w:r w:rsidR="00673837" w:rsidRPr="00E97FC1">
        <w:rPr>
          <w:rFonts w:cs="Times New Roman"/>
          <w:szCs w:val="24"/>
          <w:vertAlign w:val="subscript"/>
          <w:lang w:val="en-GB"/>
        </w:rPr>
        <w:t>A</w:t>
      </w:r>
      <w:r w:rsidR="00673837" w:rsidRPr="00E97FC1">
        <w:rPr>
          <w:rFonts w:cs="Times New Roman"/>
          <w:szCs w:val="24"/>
          <w:lang w:val="en-GB"/>
        </w:rPr>
        <w:t xml:space="preserve">D79. However, in the closed state the cytoplasmic half of the </w:t>
      </w:r>
      <w:r w:rsidR="00673837" w:rsidRPr="00E97FC1">
        <w:rPr>
          <w:rFonts w:cs="Times New Roman"/>
          <w:szCs w:val="24"/>
          <w:vertAlign w:val="subscript"/>
          <w:lang w:val="en-GB"/>
        </w:rPr>
        <w:t>J</w:t>
      </w:r>
      <w:r w:rsidR="00673837" w:rsidRPr="00E97FC1">
        <w:rPr>
          <w:rFonts w:cs="Times New Roman"/>
          <w:szCs w:val="24"/>
          <w:lang w:val="en-GB"/>
        </w:rPr>
        <w:t xml:space="preserve">TM3 rotates, </w:t>
      </w:r>
      <w:r w:rsidR="00673837" w:rsidRPr="00E97FC1">
        <w:rPr>
          <w:rFonts w:ascii="Symbol" w:hAnsi="Symbol" w:cs="Times New Roman"/>
          <w:szCs w:val="24"/>
          <w:lang w:val="en-GB"/>
        </w:rPr>
        <w:t></w:t>
      </w:r>
      <w:r w:rsidR="00673837" w:rsidRPr="00E97FC1">
        <w:rPr>
          <w:rFonts w:cs="Times New Roman"/>
          <w:szCs w:val="24"/>
          <w:lang w:val="en-GB"/>
        </w:rPr>
        <w:t>-bulge disappears and small residues G61-A62 replace A62-I63, which opens the cavity for waters to fill in the break (Fig</w:t>
      </w:r>
      <w:r w:rsidR="0050344C" w:rsidRPr="00E97FC1">
        <w:rPr>
          <w:rFonts w:cs="Times New Roman"/>
          <w:szCs w:val="24"/>
          <w:lang w:val="en-GB"/>
        </w:rPr>
        <w:t>ure</w:t>
      </w:r>
      <w:r w:rsidR="00673837" w:rsidRPr="00E97FC1">
        <w:rPr>
          <w:rFonts w:cs="Times New Roman"/>
          <w:szCs w:val="24"/>
          <w:lang w:val="en-GB"/>
        </w:rPr>
        <w:t xml:space="preserve"> 3</w:t>
      </w:r>
      <w:r w:rsidR="00022536">
        <w:rPr>
          <w:rFonts w:cs="Times New Roman"/>
          <w:szCs w:val="24"/>
          <w:lang w:val="en-GB"/>
        </w:rPr>
        <w:t>.9</w:t>
      </w:r>
      <w:r w:rsidR="00673837" w:rsidRPr="00E97FC1">
        <w:rPr>
          <w:rFonts w:cs="Times New Roman"/>
          <w:szCs w:val="24"/>
          <w:lang w:val="en-GB"/>
        </w:rPr>
        <w:t xml:space="preserve">bc), creating the connection to </w:t>
      </w:r>
      <w:r w:rsidR="00673837" w:rsidRPr="00E97FC1">
        <w:rPr>
          <w:rFonts w:cs="Times New Roman"/>
          <w:szCs w:val="24"/>
          <w:vertAlign w:val="subscript"/>
          <w:lang w:val="en-GB"/>
        </w:rPr>
        <w:t>A</w:t>
      </w:r>
      <w:r w:rsidR="00673837" w:rsidRPr="00E97FC1">
        <w:rPr>
          <w:rFonts w:cs="Times New Roman"/>
          <w:szCs w:val="24"/>
          <w:lang w:val="en-GB"/>
        </w:rPr>
        <w:t xml:space="preserve">D79. </w:t>
      </w:r>
      <w:r w:rsidR="00673837" w:rsidRPr="00E97FC1">
        <w:rPr>
          <w:rFonts w:cs="Times New Roman"/>
          <w:szCs w:val="24"/>
          <w:vertAlign w:val="subscript"/>
          <w:lang w:val="en-GB"/>
        </w:rPr>
        <w:t>H</w:t>
      </w:r>
      <w:r w:rsidR="00673837" w:rsidRPr="00E97FC1">
        <w:rPr>
          <w:rFonts w:cs="Times New Roman"/>
          <w:szCs w:val="24"/>
          <w:lang w:val="en-GB"/>
        </w:rPr>
        <w:t xml:space="preserve">TM4 helix also rotates, so that the invariant Y156, sitting on another </w:t>
      </w:r>
      <w:r w:rsidR="00673837" w:rsidRPr="00E97FC1">
        <w:rPr>
          <w:rFonts w:ascii="Symbol" w:hAnsi="Symbol" w:cs="Times New Roman"/>
          <w:szCs w:val="24"/>
          <w:lang w:val="en-GB"/>
        </w:rPr>
        <w:t></w:t>
      </w:r>
      <w:r w:rsidR="00673837" w:rsidRPr="00E97FC1">
        <w:rPr>
          <w:rFonts w:cs="Times New Roman"/>
          <w:szCs w:val="24"/>
          <w:lang w:val="en-GB"/>
        </w:rPr>
        <w:t xml:space="preserve">-bulge, flips over </w:t>
      </w:r>
      <w:r w:rsidR="00673837" w:rsidRPr="00E97FC1">
        <w:rPr>
          <w:rFonts w:cs="Times New Roman"/>
          <w:szCs w:val="40"/>
          <w:lang w:val="en-GB"/>
        </w:rPr>
        <w:t>~180</w:t>
      </w:r>
      <w:r w:rsidR="00673837" w:rsidRPr="00E97FC1">
        <w:rPr>
          <w:rFonts w:cs="Times New Roman"/>
          <w:szCs w:val="40"/>
          <w:vertAlign w:val="superscript"/>
          <w:lang w:val="en-GB"/>
        </w:rPr>
        <w:t>o</w:t>
      </w:r>
      <w:r w:rsidR="00673837" w:rsidRPr="00E97FC1">
        <w:rPr>
          <w:rFonts w:cs="Times New Roman"/>
          <w:szCs w:val="40"/>
          <w:lang w:val="en-GB"/>
        </w:rPr>
        <w:t xml:space="preserve"> </w:t>
      </w:r>
      <w:r w:rsidR="00673837" w:rsidRPr="00E97FC1">
        <w:rPr>
          <w:rFonts w:cs="Times New Roman"/>
          <w:szCs w:val="24"/>
          <w:lang w:val="en-GB"/>
        </w:rPr>
        <w:t xml:space="preserve">from facing the lipids in the open state directly into the created water path, helping to establish a firm Grotthuss connection </w:t>
      </w:r>
      <w:r w:rsidR="00673837" w:rsidRPr="00E97FC1">
        <w:rPr>
          <w:rFonts w:cs="Times New Roman"/>
          <w:szCs w:val="40"/>
          <w:lang w:val="en-GB"/>
        </w:rPr>
        <w:t xml:space="preserve">(similarly to Y142 in </w:t>
      </w:r>
      <w:r w:rsidR="00673837" w:rsidRPr="00E97FC1">
        <w:rPr>
          <w:rFonts w:cs="Times New Roman"/>
          <w:i/>
          <w:szCs w:val="40"/>
          <w:lang w:val="en-GB"/>
        </w:rPr>
        <w:t>Oa</w:t>
      </w:r>
      <w:r w:rsidR="00673837" w:rsidRPr="00E97FC1">
        <w:rPr>
          <w:rFonts w:cs="Times New Roman"/>
          <w:szCs w:val="40"/>
          <w:lang w:val="en-GB"/>
        </w:rPr>
        <w:t xml:space="preserve">CI </w:t>
      </w:r>
      <w:r w:rsidR="00673837" w:rsidRPr="00E97FC1">
        <w:rPr>
          <w:rFonts w:cs="Times New Roman"/>
          <w:szCs w:val="40"/>
          <w:lang w:val="en-GB"/>
        </w:rPr>
        <w:fldChar w:fldCharType="begin" w:fldLock="1"/>
      </w:r>
      <w:r w:rsidR="00E55873" w:rsidRPr="00E97FC1">
        <w:rPr>
          <w:rFonts w:cs="Times New Roman"/>
          <w:szCs w:val="40"/>
          <w:lang w:val="en-GB"/>
        </w:rPr>
        <w:instrText>ADDIN CSL_CITATION {"citationItems":[{"id":"ITEM-1","itemData":{"DOI":"10.1126/science.abc4209","ISSN":"1095-9203 (Electronic)","PMID":"32972993","abstract":"Mitochondrial complex I couples NADH:ubiquinone oxidoreduction to proton pumping by  an unknown mechanism. Here, we present cryo-electron microscopy structures of ovine complex I in five different conditions, including turnover, at resolutions up to 2.3 to 2.5 angstroms. Resolved water molecules allowed us to experimentally define the proton translocation pathways. Quinone binds at three positions along the quinone cavity, as does the inhibitor rotenone that also binds within subunit ND4. Dramatic conformational changes around the quinone cavity couple the redox reaction to proton translocation during open-to-closed state transitions of the enzyme. In the induced deactive state, the open conformation is arrested by the ND6 subunit. We propose a detailed molecular coupling mechanism of complex I, which is an unexpected combination of conformational changes and electrostatic interactions.","author":[{"dropping-particle":"","family":"Kampjut","given":"Domen","non-dropping-particle":"","parse-names":false,"suffix":""},{"dropping-particle":"","family":"Sazanov","given":"Leonid A","non-dropping-particle":"","parse-names":false,"suffix":""}],"container-title":"Science (New York, N.Y.)","id":"ITEM-1","issue":"6516","issued":{"date-parts":[["2020","10"]]},"language":"eng","publisher-place":"United States","title":"The coupling mechanism of mammalian respiratory complex I.","type":"article-journal","volume":"370"},"uris":["http://www.mendeley.com/documents/?uuid=7ba13959-8c17-4313-8227-becdec77971c"]}],"mendeley":{"formattedCitation":"(Kampjut &amp; Sazanov, 2020)","plainTextFormattedCitation":"(Kampjut &amp; Sazanov, 2020)","previouslyFormattedCitation":"(Kampjut &amp; Sazanov, 2020)"},"properties":{"noteIndex":0},"schema":"https://github.com/citation-style-language/schema/raw/master/csl-citation.json"}</w:instrText>
      </w:r>
      <w:r w:rsidR="00673837" w:rsidRPr="00E97FC1">
        <w:rPr>
          <w:rFonts w:cs="Times New Roman"/>
          <w:szCs w:val="40"/>
          <w:lang w:val="en-GB"/>
        </w:rPr>
        <w:fldChar w:fldCharType="separate"/>
      </w:r>
      <w:r w:rsidR="00E55873" w:rsidRPr="00E97FC1">
        <w:rPr>
          <w:rFonts w:cs="Times New Roman"/>
          <w:noProof/>
          <w:szCs w:val="40"/>
          <w:lang w:val="en-GB"/>
        </w:rPr>
        <w:t>(Kampjut &amp; Sazanov, 2020)</w:t>
      </w:r>
      <w:r w:rsidR="00673837" w:rsidRPr="00E97FC1">
        <w:rPr>
          <w:rFonts w:cs="Times New Roman"/>
          <w:szCs w:val="40"/>
          <w:lang w:val="en-GB"/>
        </w:rPr>
        <w:fldChar w:fldCharType="end"/>
      </w:r>
      <w:r w:rsidR="00673837" w:rsidRPr="00E97FC1">
        <w:rPr>
          <w:rFonts w:cs="Times New Roman"/>
          <w:szCs w:val="40"/>
          <w:lang w:val="en-GB"/>
        </w:rPr>
        <w:t>)</w:t>
      </w:r>
      <w:r w:rsidR="00673837" w:rsidRPr="00E97FC1">
        <w:rPr>
          <w:rFonts w:cs="Times New Roman"/>
          <w:szCs w:val="24"/>
          <w:lang w:val="en-GB"/>
        </w:rPr>
        <w:t xml:space="preserve">. </w:t>
      </w:r>
      <w:r w:rsidR="00673837" w:rsidRPr="00E97FC1">
        <w:rPr>
          <w:rFonts w:cs="Times New Roman"/>
          <w:szCs w:val="40"/>
          <w:lang w:val="en-GB"/>
        </w:rPr>
        <w:t xml:space="preserve">The conformation of this tyrosine is a distinct feature helping to easily recognise open or closed state (Figs. </w:t>
      </w:r>
      <w:r w:rsidR="00022536">
        <w:rPr>
          <w:rFonts w:cs="Times New Roman"/>
          <w:szCs w:val="40"/>
          <w:lang w:val="en-GB"/>
        </w:rPr>
        <w:t>3.5</w:t>
      </w:r>
      <w:r w:rsidR="00673837" w:rsidRPr="00E97FC1">
        <w:rPr>
          <w:rFonts w:cs="Times New Roman"/>
          <w:szCs w:val="40"/>
          <w:lang w:val="en-GB"/>
        </w:rPr>
        <w:t>a and 3</w:t>
      </w:r>
      <w:r w:rsidR="00022536">
        <w:rPr>
          <w:rFonts w:cs="Times New Roman"/>
          <w:szCs w:val="40"/>
          <w:lang w:val="en-GB"/>
        </w:rPr>
        <w:t>.9</w:t>
      </w:r>
      <w:r w:rsidR="00673837" w:rsidRPr="00E97FC1">
        <w:rPr>
          <w:rFonts w:cs="Times New Roman"/>
          <w:szCs w:val="40"/>
          <w:lang w:val="en-GB"/>
        </w:rPr>
        <w:t xml:space="preserve">bc). </w:t>
      </w:r>
      <w:r w:rsidR="00673837" w:rsidRPr="00E97FC1">
        <w:rPr>
          <w:rFonts w:cs="Times New Roman"/>
          <w:szCs w:val="24"/>
          <w:lang w:val="en-GB"/>
        </w:rPr>
        <w:t xml:space="preserve">From </w:t>
      </w:r>
      <w:r w:rsidR="00673837" w:rsidRPr="00E97FC1">
        <w:rPr>
          <w:rFonts w:cs="Times New Roman"/>
          <w:szCs w:val="24"/>
          <w:vertAlign w:val="subscript"/>
          <w:lang w:val="en-GB"/>
        </w:rPr>
        <w:t>A</w:t>
      </w:r>
      <w:r w:rsidR="00673837" w:rsidRPr="00E97FC1">
        <w:rPr>
          <w:rFonts w:cs="Times New Roman"/>
          <w:szCs w:val="24"/>
          <w:lang w:val="en-GB"/>
        </w:rPr>
        <w:t>D79 a pathway continues via NuoH residues E157-Y156-H208-E216-D213-E218 and some ordered waters in the Q cavity (Fig</w:t>
      </w:r>
      <w:r w:rsidR="007B2138">
        <w:rPr>
          <w:rFonts w:cs="Times New Roman"/>
          <w:szCs w:val="24"/>
          <w:lang w:val="en-GB"/>
        </w:rPr>
        <w:t>ure 3.8</w:t>
      </w:r>
      <w:r w:rsidR="000B4BE9" w:rsidRPr="00E97FC1">
        <w:rPr>
          <w:rFonts w:cs="Times New Roman"/>
          <w:szCs w:val="24"/>
          <w:lang w:val="en-GB"/>
        </w:rPr>
        <w:t>b and</w:t>
      </w:r>
      <w:r w:rsidR="00673837" w:rsidRPr="00E97FC1">
        <w:rPr>
          <w:rFonts w:cs="Times New Roman"/>
          <w:szCs w:val="24"/>
          <w:lang w:val="en-GB"/>
        </w:rPr>
        <w:t xml:space="preserve"> 3</w:t>
      </w:r>
      <w:r w:rsidR="007B2138">
        <w:rPr>
          <w:rFonts w:cs="Times New Roman"/>
          <w:szCs w:val="24"/>
          <w:lang w:val="en-GB"/>
        </w:rPr>
        <w:t>.9</w:t>
      </w:r>
      <w:r w:rsidR="000B4BE9" w:rsidRPr="00E97FC1">
        <w:rPr>
          <w:rFonts w:cs="Times New Roman"/>
          <w:szCs w:val="24"/>
          <w:lang w:val="en-GB"/>
        </w:rPr>
        <w:t>a</w:t>
      </w:r>
      <w:r w:rsidR="00673837" w:rsidRPr="00E97FC1">
        <w:rPr>
          <w:rFonts w:cs="Times New Roman"/>
          <w:szCs w:val="24"/>
          <w:lang w:val="en-GB"/>
        </w:rPr>
        <w:t xml:space="preserve">) towards the </w:t>
      </w:r>
      <w:r w:rsidR="00673837" w:rsidRPr="00E97FC1">
        <w:rPr>
          <w:rFonts w:cs="Times New Roman"/>
          <w:szCs w:val="24"/>
          <w:vertAlign w:val="subscript"/>
          <w:lang w:val="en-GB"/>
        </w:rPr>
        <w:t>CD</w:t>
      </w:r>
      <w:r w:rsidR="00673837" w:rsidRPr="00E97FC1">
        <w:rPr>
          <w:rFonts w:cs="Times New Roman"/>
          <w:szCs w:val="24"/>
          <w:lang w:val="en-GB"/>
        </w:rPr>
        <w:t xml:space="preserve">D329/H228 pair, a likely source of two substrate protons for quinone </w:t>
      </w:r>
      <w:r w:rsidR="00673837" w:rsidRPr="00E97FC1">
        <w:rPr>
          <w:rFonts w:cs="Times New Roman"/>
          <w:szCs w:val="24"/>
          <w:lang w:val="en-GB"/>
        </w:rPr>
        <w:fldChar w:fldCharType="begin" w:fldLock="1"/>
      </w:r>
      <w:r w:rsidR="00E55873" w:rsidRPr="00E97FC1">
        <w:rPr>
          <w:rFonts w:cs="Times New Roman"/>
          <w:szCs w:val="24"/>
          <w:lang w:val="en-GB"/>
        </w:rPr>
        <w:instrText>ADDIN CSL_CITATION {"citationItems":[{"id":"ITEM-1","itemData":{"DOI":"10.1126/science.abc4209","ISSN":"1095-9203 (Electronic)","PMID":"32972993","abstract":"Mitochondrial complex I couples NADH:ubiquinone oxidoreduction to proton pumping by  an unknown mechanism. Here, we present cryo-electron microscopy structures of ovine complex I in five different conditions, including turnover, at resolutions up to 2.3 to 2.5 angstroms. Resolved water molecules allowed us to experimentally define the proton translocation pathways. Quinone binds at three positions along the quinone cavity, as does the inhibitor rotenone that also binds within subunit ND4. Dramatic conformational changes around the quinone cavity couple the redox reaction to proton translocation during open-to-closed state transitions of the enzyme. In the induced deactive state, the open conformation is arrested by the ND6 subunit. We propose a detailed molecular coupling mechanism of complex I, which is an unexpected combination of conformational changes and electrostatic interactions.","author":[{"dropping-particle":"","family":"Kampjut","given":"Domen","non-dropping-particle":"","parse-names":false,"suffix":""},{"dropping-particle":"","family":"Sazanov","given":"Leonid A","non-dropping-particle":"","parse-names":false,"suffix":""}],"container-title":"Science (New York, N.Y.)","id":"ITEM-1","issue":"6516","issued":{"date-parts":[["2020","10"]]},"language":"eng","publisher-place":"United States","title":"The coupling mechanism of mammalian respiratory complex I.","type":"article-journal","volume":"370"},"uris":["http://www.mendeley.com/documents/?uuid=7ba13959-8c17-4313-8227-becdec77971c"]}],"mendeley":{"formattedCitation":"(Kampjut &amp; Sazanov, 2020)","plainTextFormattedCitation":"(Kampjut &amp; Sazanov, 2020)","previouslyFormattedCitation":"(Kampjut &amp; Sazanov, 2020)"},"properties":{"noteIndex":0},"schema":"https://github.com/citation-style-language/schema/raw/master/csl-citation.json"}</w:instrText>
      </w:r>
      <w:r w:rsidR="00673837" w:rsidRPr="00E97FC1">
        <w:rPr>
          <w:rFonts w:cs="Times New Roman"/>
          <w:szCs w:val="24"/>
          <w:lang w:val="en-GB"/>
        </w:rPr>
        <w:fldChar w:fldCharType="separate"/>
      </w:r>
      <w:r w:rsidR="00E55873" w:rsidRPr="00E97FC1">
        <w:rPr>
          <w:rFonts w:cs="Times New Roman"/>
          <w:noProof/>
          <w:szCs w:val="24"/>
          <w:lang w:val="en-GB"/>
        </w:rPr>
        <w:t>(Kampjut &amp; Sazanov, 2020)</w:t>
      </w:r>
      <w:r w:rsidR="00673837" w:rsidRPr="00E97FC1">
        <w:rPr>
          <w:rFonts w:cs="Times New Roman"/>
          <w:szCs w:val="24"/>
          <w:lang w:val="en-GB"/>
        </w:rPr>
        <w:fldChar w:fldCharType="end"/>
      </w:r>
      <w:r w:rsidR="00673837" w:rsidRPr="00E97FC1">
        <w:rPr>
          <w:rFonts w:cs="Times New Roman"/>
          <w:szCs w:val="24"/>
          <w:lang w:val="en-GB"/>
        </w:rPr>
        <w:t xml:space="preserve">. </w:t>
      </w:r>
    </w:p>
    <w:p w14:paraId="2CC6E097" w14:textId="77777777" w:rsidR="009C0246" w:rsidRPr="00E97FC1" w:rsidRDefault="009C0246" w:rsidP="00CE3E6F">
      <w:pPr>
        <w:ind w:firstLine="720"/>
        <w:rPr>
          <w:rFonts w:cs="Times New Roman"/>
          <w:szCs w:val="24"/>
          <w:lang w:val="en-GB"/>
        </w:rPr>
      </w:pPr>
    </w:p>
    <w:p w14:paraId="64A2CBB5" w14:textId="77777777" w:rsidR="009C0246" w:rsidRPr="00E97FC1" w:rsidRDefault="009C0246" w:rsidP="00CE3E6F">
      <w:pPr>
        <w:ind w:firstLine="720"/>
        <w:rPr>
          <w:rFonts w:cs="Times New Roman"/>
          <w:szCs w:val="24"/>
          <w:lang w:val="en-GB"/>
        </w:rPr>
      </w:pPr>
      <w:r w:rsidRPr="00E97FC1">
        <w:rPr>
          <w:rFonts w:cs="Times New Roman"/>
          <w:noProof/>
          <w:szCs w:val="24"/>
        </w:rPr>
        <w:lastRenderedPageBreak/>
        <w:drawing>
          <wp:inline distT="0" distB="0" distL="0" distR="0" wp14:anchorId="61E63D54" wp14:editId="58CBAD6F">
            <wp:extent cx="4891240" cy="3927945"/>
            <wp:effectExtent l="0" t="0" r="508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891240" cy="3927945"/>
                    </a:xfrm>
                    <a:prstGeom prst="rect">
                      <a:avLst/>
                    </a:prstGeom>
                    <a:noFill/>
                    <a:ln>
                      <a:noFill/>
                    </a:ln>
                  </pic:spPr>
                </pic:pic>
              </a:graphicData>
            </a:graphic>
          </wp:inline>
        </w:drawing>
      </w:r>
      <w:r w:rsidR="009C0734" w:rsidRPr="00E97FC1">
        <w:rPr>
          <w:rFonts w:cs="Times New Roman"/>
          <w:szCs w:val="24"/>
          <w:lang w:val="en-GB"/>
        </w:rPr>
        <w:t xml:space="preserve"> </w:t>
      </w:r>
    </w:p>
    <w:p w14:paraId="546DCA33" w14:textId="68D66440" w:rsidR="00F51D9A" w:rsidRPr="00E97FC1" w:rsidRDefault="009C0246" w:rsidP="00CE3E6F">
      <w:pPr>
        <w:pStyle w:val="Caption"/>
      </w:pPr>
      <w:bookmarkStart w:id="125" w:name="_Toc121834117"/>
      <w:bookmarkStart w:id="126" w:name="_Toc128136637"/>
      <w:r w:rsidRPr="00E97FC1">
        <w:t xml:space="preserve">Figure </w:t>
      </w:r>
      <w:r w:rsidR="00CC7652">
        <w:fldChar w:fldCharType="begin"/>
      </w:r>
      <w:r w:rsidR="00CC7652">
        <w:instrText xml:space="preserve"> STYLEREF 1 \s </w:instrText>
      </w:r>
      <w:r w:rsidR="00CC7652">
        <w:fldChar w:fldCharType="separate"/>
      </w:r>
      <w:r w:rsidR="00ED1816">
        <w:rPr>
          <w:noProof/>
        </w:rPr>
        <w:t>3</w:t>
      </w:r>
      <w:r w:rsidR="00CC7652">
        <w:fldChar w:fldCharType="end"/>
      </w:r>
      <w:r w:rsidR="00CC7652">
        <w:t>.</w:t>
      </w:r>
      <w:r w:rsidR="00CC7652">
        <w:fldChar w:fldCharType="begin"/>
      </w:r>
      <w:r w:rsidR="00CC7652">
        <w:instrText xml:space="preserve"> SEQ Figure \* ARABIC \s 1 </w:instrText>
      </w:r>
      <w:r w:rsidR="00CC7652">
        <w:fldChar w:fldCharType="separate"/>
      </w:r>
      <w:r w:rsidR="00ED1816">
        <w:rPr>
          <w:noProof/>
        </w:rPr>
        <w:t>9</w:t>
      </w:r>
      <w:r w:rsidR="00CC7652">
        <w:fldChar w:fldCharType="end"/>
      </w:r>
      <w:r w:rsidR="00F51D9A" w:rsidRPr="00E97FC1">
        <w:t xml:space="preserve"> Proton translocation pathways.</w:t>
      </w:r>
      <w:bookmarkEnd w:id="125"/>
      <w:bookmarkEnd w:id="126"/>
    </w:p>
    <w:p w14:paraId="12F2F281" w14:textId="274A635B" w:rsidR="00F51D9A" w:rsidRPr="00CF7C36" w:rsidRDefault="00F51D9A" w:rsidP="00CE3E6F">
      <w:pPr>
        <w:pStyle w:val="Caption"/>
      </w:pPr>
      <w:r w:rsidRPr="00CF7C36">
        <w:t xml:space="preserve"> A) Membrane arm contains the central axis of charged residues, essential for the proton transfer and the coupling. Structure of the LMNG turnover open-ready state is shown </w:t>
      </w:r>
      <w:r w:rsidR="00D231BC" w:rsidRPr="00CF7C36">
        <w:t>coloured</w:t>
      </w:r>
      <w:r w:rsidRPr="00CF7C36">
        <w:t xml:space="preserve"> by subunit, with essential residues shown as sticks. Key ALS residues are also identified by their TM helix. Experimentally observed waters are shown as red spheres (waters beyond 5 Å from essential residues are omitted for clarity). Putative proton pathways through Grotthus-competent residues (shown as lines unless key residue) and waters are shown as black dashes. The activity of mutant variants of EcCI is shown as NADH:DQ oxid</w:t>
      </w:r>
      <w:r w:rsidR="000B4BE9" w:rsidRPr="00CF7C36">
        <w:t>oreduction in % of WT activity</w:t>
      </w:r>
      <w:r w:rsidRPr="00CF7C36">
        <w:t xml:space="preserve">. B) Left: In all open, open-ready and resting states </w:t>
      </w:r>
      <w:r w:rsidRPr="00CF7C36">
        <w:rPr>
          <w:vertAlign w:val="subscript"/>
        </w:rPr>
        <w:t>J</w:t>
      </w:r>
      <w:r w:rsidRPr="00CF7C36">
        <w:t xml:space="preserve">TM3 I63-A62 residues impose a hydrophobic block between </w:t>
      </w:r>
      <w:r w:rsidRPr="00CF7C36">
        <w:rPr>
          <w:vertAlign w:val="subscript"/>
        </w:rPr>
        <w:t>K</w:t>
      </w:r>
      <w:r w:rsidRPr="00CF7C36">
        <w:t>E36 and</w:t>
      </w:r>
      <w:r w:rsidRPr="00CF7C36">
        <w:rPr>
          <w:vertAlign w:val="subscript"/>
        </w:rPr>
        <w:t xml:space="preserve"> A</w:t>
      </w:r>
      <w:r w:rsidRPr="00CF7C36">
        <w:t xml:space="preserve">D79. Right: In the closed state </w:t>
      </w:r>
      <w:r w:rsidRPr="00CF7C36">
        <w:rPr>
          <w:vertAlign w:val="subscript"/>
        </w:rPr>
        <w:t>J</w:t>
      </w:r>
      <w:r w:rsidRPr="00CF7C36">
        <w:t xml:space="preserve">TM3 rotates anticlockwise, which removes the hydrophobic block and allows waters to come in and connect </w:t>
      </w:r>
      <w:r w:rsidRPr="00CF7C36">
        <w:rPr>
          <w:vertAlign w:val="subscript"/>
        </w:rPr>
        <w:t>K</w:t>
      </w:r>
      <w:r w:rsidRPr="00CF7C36">
        <w:t>E36 and</w:t>
      </w:r>
      <w:r w:rsidRPr="00CF7C36">
        <w:rPr>
          <w:vertAlign w:val="subscript"/>
        </w:rPr>
        <w:t xml:space="preserve"> A</w:t>
      </w:r>
      <w:r w:rsidRPr="00CF7C36">
        <w:t xml:space="preserve">D79. </w:t>
      </w:r>
      <w:r w:rsidRPr="00CF7C36">
        <w:rPr>
          <w:vertAlign w:val="subscript"/>
        </w:rPr>
        <w:t>H</w:t>
      </w:r>
      <w:r w:rsidRPr="00CF7C36">
        <w:t xml:space="preserve">Y156 also comes in helping to establish robust connection further in the E-channel. Structures are of LMNG_Tunover_pH6 open-ready (left) and closed (right) states with experimentally observed waters (red spheres). Figure </w:t>
      </w:r>
      <w:r w:rsidR="00D07557" w:rsidRPr="00CF7C36">
        <w:t>adapted from</w:t>
      </w:r>
      <w:r w:rsidRPr="00CF7C36">
        <w:t xml:space="preserve"> </w:t>
      </w:r>
      <w:r w:rsidRPr="00CF7C36">
        <w:fldChar w:fldCharType="begin" w:fldLock="1"/>
      </w:r>
      <w:r w:rsidR="00776703" w:rsidRPr="00CF7C36">
        <w:instrText>ADDIN CSL_CITATION {"citationItems":[{"id":"ITEM-1","itemData":{"DOI":"10.1038/s41586-022-05199-7","ISSN":"1476-4687 (Electronic)","PMID":"36104567","abstract":"Complex I is the first enzyme in the respiratory chain, which is responsible for  energy production in mitochondria and bacteria(1). Complex I couples the transfer of two electrons from NADH to quinone and the translocation of four protons across the membrane(2), but the coupling mechanism remains contentious. Here we present cryo-electron microscopy structures of Escherichia coli complex I (EcCI) in different redox states, including catalytic turnover. EcCI exists mostly in the open state, in which the quinone cavity is exposed to the cytosol, allowing access for water molecules, which enable quinone movements. Unlike the mammalian paralogues(3), EcCI can convert to the closed state only during turnover, showing that closed and open states are genuine turnover intermediates. The open-to-closed transition results in the tightly engulfed quinone cavity being connected to the central axis of the membrane arm, a source of substrate protons. Consistently, the proportion of the closed state increases with increasing pH. We propose a detailed but straightforward and robust mechanism comprising a 'domino effect' series of proton transfers and electrostatic interactions: the forward wave ('dominoes stacking') primes the pump, and the reverse wave ('dominoes falling') results in the ejection of all pumped protons from the distal subunit NuoL. This mechanism explains why protons exit exclusively from the NuoL subunit and is supported by our mutagenesis data. We contend that this is a universal coupling mechanism of complex I and related enzymes.","author":[{"dropping-particle":"","family":"Kravchuk","given":"Vladyslav","non-dropping-particle":"","parse-names":false,"suffix":""},{"dropping-particle":"","family":"Petrova","given":"Olga","non-dropping-particle":"","parse-names":false,"suffix":""},{"dropping-particle":"","family":"Kampjut","given":"Domen","non-dropping-particle":"","parse-names":false,"suffix":""},{"dropping-particle":"","family":"Wojciechowska-Bason","given":"Anna","non-dropping-particle":"","parse-names":false,"suffix":""},{"dropping-particle":"","family":"Breese","given":"Zara","non-dropping-particle":"","parse-names":false,"suffix":""},{"dropping-particle":"","family":"Sazanov","given":"Leonid","non-dropping-particle":"","parse-names":false,"suffix":""}],"container-title":"Nature","id":"ITEM-1","issue":"7928","issued":{"date-parts":[["2022","9"]]},"language":"eng","page":"808-814","publisher-place":"England","title":"A universal coupling mechanism of respiratory complex I.","type":"article-journal","volume":"609"},"uris":["http://www.mendeley.com/documents/?uuid=24646b16-1332-4c29-8894-c41094c65033"]}],"mendeley":{"formattedCitation":"(Kravchuk &lt;i&gt;et al&lt;/i&gt;, 2022)","plainTextFormattedCitation":"(Kravchuk et al, 2022)","previouslyFormattedCitation":"(Kravchuk &lt;i&gt;et al&lt;/i&gt;, 2022)"},"properties":{"noteIndex":0},"schema":"https://github.com/citation-style-language/schema/raw/master/csl-citation.json"}</w:instrText>
      </w:r>
      <w:r w:rsidRPr="00CF7C36">
        <w:fldChar w:fldCharType="separate"/>
      </w:r>
      <w:r w:rsidR="00E55873" w:rsidRPr="00CF7C36">
        <w:rPr>
          <w:i w:val="0"/>
          <w:noProof/>
        </w:rPr>
        <w:t xml:space="preserve">(Kravchuk </w:t>
      </w:r>
      <w:r w:rsidR="00E55873" w:rsidRPr="00CF7C36">
        <w:rPr>
          <w:noProof/>
        </w:rPr>
        <w:t>et al</w:t>
      </w:r>
      <w:r w:rsidR="00E55873" w:rsidRPr="00CF7C36">
        <w:rPr>
          <w:i w:val="0"/>
          <w:noProof/>
        </w:rPr>
        <w:t>, 2022)</w:t>
      </w:r>
      <w:r w:rsidRPr="00CF7C36">
        <w:fldChar w:fldCharType="end"/>
      </w:r>
      <w:r w:rsidRPr="00CF7C36">
        <w:t xml:space="preserve">. </w:t>
      </w:r>
    </w:p>
    <w:p w14:paraId="0D4DE887" w14:textId="74A2EE6D" w:rsidR="009C0734" w:rsidRPr="00E97FC1" w:rsidRDefault="009C0734" w:rsidP="00CE3E6F">
      <w:pPr>
        <w:ind w:firstLine="720"/>
        <w:rPr>
          <w:rFonts w:cs="Times New Roman"/>
          <w:szCs w:val="24"/>
          <w:lang w:val="en-GB"/>
        </w:rPr>
      </w:pPr>
      <w:r w:rsidRPr="00E97FC1">
        <w:rPr>
          <w:rFonts w:cs="Times New Roman"/>
          <w:szCs w:val="24"/>
          <w:lang w:val="en-GB"/>
        </w:rPr>
        <w:t xml:space="preserve">Since we did not observe any conformational changes within ALS under turnover conditions, electrostatics are likely to drive proton transfer within these subunits. Consistently, judging from density for carboxylate side-chains (almost disappearing in charged state), </w:t>
      </w:r>
      <w:r w:rsidRPr="00E97FC1">
        <w:rPr>
          <w:rFonts w:cs="Times New Roman"/>
          <w:szCs w:val="24"/>
          <w:vertAlign w:val="subscript"/>
          <w:lang w:val="en-GB"/>
        </w:rPr>
        <w:t>H</w:t>
      </w:r>
      <w:r w:rsidRPr="00E97FC1">
        <w:rPr>
          <w:rFonts w:cs="Times New Roman"/>
          <w:szCs w:val="24"/>
          <w:lang w:val="en-GB"/>
        </w:rPr>
        <w:t xml:space="preserve">E157, </w:t>
      </w:r>
      <w:r w:rsidRPr="00E97FC1">
        <w:rPr>
          <w:rFonts w:cs="Times New Roman"/>
          <w:szCs w:val="24"/>
          <w:vertAlign w:val="subscript"/>
          <w:lang w:val="en-GB"/>
        </w:rPr>
        <w:t>A</w:t>
      </w:r>
      <w:r w:rsidRPr="00E97FC1">
        <w:rPr>
          <w:rFonts w:cs="Times New Roman"/>
          <w:szCs w:val="24"/>
          <w:lang w:val="en-GB"/>
        </w:rPr>
        <w:t xml:space="preserve">D79, </w:t>
      </w:r>
      <w:r w:rsidRPr="00E97FC1">
        <w:rPr>
          <w:rFonts w:cs="Times New Roman"/>
          <w:szCs w:val="24"/>
          <w:vertAlign w:val="subscript"/>
          <w:lang w:val="en-GB"/>
        </w:rPr>
        <w:t>K</w:t>
      </w:r>
      <w:r w:rsidRPr="00E97FC1">
        <w:rPr>
          <w:rFonts w:cs="Times New Roman"/>
          <w:szCs w:val="24"/>
          <w:lang w:val="en-GB"/>
        </w:rPr>
        <w:t xml:space="preserve">E36 and </w:t>
      </w:r>
      <w:r w:rsidRPr="00E97FC1">
        <w:rPr>
          <w:rFonts w:cs="Times New Roman"/>
          <w:szCs w:val="24"/>
          <w:vertAlign w:val="subscript"/>
          <w:lang w:val="en-GB"/>
        </w:rPr>
        <w:t>N</w:t>
      </w:r>
      <w:r w:rsidRPr="00E97FC1">
        <w:rPr>
          <w:rFonts w:cs="Times New Roman"/>
          <w:szCs w:val="24"/>
          <w:lang w:val="en-GB"/>
        </w:rPr>
        <w:t>E133 were all neutral in open state but charged in closed turnover state (</w:t>
      </w:r>
      <w:r w:rsidR="00472573">
        <w:rPr>
          <w:rFonts w:cs="Times New Roman"/>
          <w:szCs w:val="24"/>
          <w:lang w:val="en-GB"/>
        </w:rPr>
        <w:t>Figure 3.8</w:t>
      </w:r>
      <w:r w:rsidR="000B4BE9" w:rsidRPr="00E97FC1">
        <w:rPr>
          <w:rFonts w:cs="Times New Roman"/>
          <w:szCs w:val="24"/>
          <w:lang w:val="en-GB"/>
        </w:rPr>
        <w:t>c</w:t>
      </w:r>
      <w:r w:rsidRPr="00E97FC1">
        <w:rPr>
          <w:rFonts w:cs="Times New Roman"/>
          <w:szCs w:val="24"/>
          <w:lang w:val="en-GB"/>
        </w:rPr>
        <w:t xml:space="preserve">), as also observed in </w:t>
      </w:r>
      <w:r w:rsidRPr="00E97FC1">
        <w:rPr>
          <w:rFonts w:cs="Times New Roman"/>
          <w:i/>
          <w:szCs w:val="24"/>
          <w:lang w:val="en-GB"/>
        </w:rPr>
        <w:t>Oa</w:t>
      </w:r>
      <w:r w:rsidRPr="00E97FC1">
        <w:rPr>
          <w:rFonts w:cs="Times New Roman"/>
          <w:szCs w:val="24"/>
          <w:lang w:val="en-GB"/>
        </w:rPr>
        <w:t>CI</w:t>
      </w:r>
      <w:r w:rsidR="002363EE" w:rsidRPr="00E97FC1">
        <w:rPr>
          <w:rFonts w:cs="Times New Roman"/>
          <w:szCs w:val="24"/>
          <w:lang w:val="en-GB"/>
        </w:rPr>
        <w:t xml:space="preserve"> </w:t>
      </w:r>
      <w:r w:rsidR="002363EE" w:rsidRPr="00E97FC1">
        <w:rPr>
          <w:rFonts w:cs="Times New Roman"/>
          <w:szCs w:val="24"/>
          <w:lang w:val="en-GB"/>
        </w:rPr>
        <w:fldChar w:fldCharType="begin" w:fldLock="1"/>
      </w:r>
      <w:r w:rsidR="00E55873" w:rsidRPr="00E97FC1">
        <w:rPr>
          <w:rFonts w:cs="Times New Roman"/>
          <w:szCs w:val="24"/>
          <w:lang w:val="en-GB"/>
        </w:rPr>
        <w:instrText>ADDIN CSL_CITATION {"citationItems":[{"id":"ITEM-1","itemData":{"DOI":"10.1126/science.abc4209","ISSN":"1095-9203 (Electronic)","PMID":"32972993","abstract":"Mitochondrial complex I couples NADH:ubiquinone oxidoreduction to proton pumping by  an unknown mechanism. Here, we present cryo-electron microscopy structures of ovine complex I in five different conditions, including turnover, at resolutions up to 2.3 to 2.5 angstroms. Resolved water molecules allowed us to experimentally define the proton translocation pathways. Quinone binds at three positions along the quinone cavity, as does the inhibitor rotenone that also binds within subunit ND4. Dramatic conformational changes around the quinone cavity couple the redox reaction to proton translocation during open-to-closed state transitions of the enzyme. In the induced deactive state, the open conformation is arrested by the ND6 subunit. We propose a detailed molecular coupling mechanism of complex I, which is an unexpected combination of conformational changes and electrostatic interactions.","author":[{"dropping-particle":"","family":"Kampjut","given":"Domen","non-dropping-particle":"","parse-names":false,"suffix":""},{"dropping-particle":"","family":"Sazanov","given":"Leonid A","non-dropping-particle":"","parse-names":false,"suffix":""}],"container-title":"Science (New York, N.Y.)","id":"ITEM-1","issue":"6516","issued":{"date-parts":[["2020","10"]]},"language":"eng","publisher-place":"United States","title":"The coupling mechanism of mammalian respiratory complex I.","type":"article-journal","volume":"370"},"uris":["http://www.mendeley.com/documents/?uuid=7ba13959-8c17-4313-8227-becdec77971c"]}],"mendeley":{"formattedCitation":"(Kampjut &amp; Sazanov, 2020)","plainTextFormattedCitation":"(Kampjut &amp; Sazanov, 2020)","previouslyFormattedCitation":"(Kampjut &amp; Sazanov, 2020)"},"properties":{"noteIndex":0},"schema":"https://github.com/citation-style-language/schema/raw/master/csl-citation.json"}</w:instrText>
      </w:r>
      <w:r w:rsidR="002363EE" w:rsidRPr="00E97FC1">
        <w:rPr>
          <w:rFonts w:cs="Times New Roman"/>
          <w:szCs w:val="24"/>
          <w:lang w:val="en-GB"/>
        </w:rPr>
        <w:fldChar w:fldCharType="separate"/>
      </w:r>
      <w:r w:rsidR="00E55873" w:rsidRPr="00E97FC1">
        <w:rPr>
          <w:rFonts w:cs="Times New Roman"/>
          <w:noProof/>
          <w:szCs w:val="24"/>
          <w:lang w:val="en-GB"/>
        </w:rPr>
        <w:t>(Kampjut &amp; Sazanov, 2020)</w:t>
      </w:r>
      <w:r w:rsidR="002363EE" w:rsidRPr="00E97FC1">
        <w:rPr>
          <w:rFonts w:cs="Times New Roman"/>
          <w:szCs w:val="24"/>
          <w:lang w:val="en-GB"/>
        </w:rPr>
        <w:fldChar w:fldCharType="end"/>
      </w:r>
      <w:r w:rsidRPr="00E97FC1">
        <w:rPr>
          <w:rFonts w:cs="Times New Roman"/>
          <w:szCs w:val="24"/>
          <w:lang w:val="en-GB"/>
        </w:rPr>
        <w:t xml:space="preserve">. </w:t>
      </w:r>
    </w:p>
    <w:p w14:paraId="00DE3639" w14:textId="2DD032BB" w:rsidR="009C0734" w:rsidRPr="00E97FC1" w:rsidRDefault="009C0734" w:rsidP="00CE3E6F">
      <w:pPr>
        <w:ind w:firstLine="720"/>
        <w:rPr>
          <w:rFonts w:cs="Times New Roman"/>
          <w:szCs w:val="24"/>
          <w:lang w:val="en-GB"/>
        </w:rPr>
      </w:pPr>
      <w:r w:rsidRPr="00E97FC1">
        <w:rPr>
          <w:rFonts w:cs="Times New Roman"/>
          <w:szCs w:val="24"/>
          <w:lang w:val="en-GB"/>
        </w:rPr>
        <w:t>Because key TM12 residue in NuoM is a glutamate (E407) instead of lysine, we suggested previously that NuoM might pump protons in anti-phase with NuoL/N</w:t>
      </w:r>
      <w:r w:rsidR="00547E89" w:rsidRPr="00E97FC1">
        <w:rPr>
          <w:rFonts w:cs="Times New Roman"/>
          <w:szCs w:val="24"/>
          <w:lang w:val="en-GB"/>
        </w:rPr>
        <w:t xml:space="preserve"> </w:t>
      </w:r>
      <w:r w:rsidR="00547E89" w:rsidRPr="00E97FC1">
        <w:rPr>
          <w:rFonts w:cs="Times New Roman"/>
          <w:szCs w:val="24"/>
          <w:lang w:val="en-GB"/>
        </w:rPr>
        <w:fldChar w:fldCharType="begin" w:fldLock="1"/>
      </w:r>
      <w:r w:rsidR="00E55873" w:rsidRPr="00E97FC1">
        <w:rPr>
          <w:rFonts w:cs="Times New Roman"/>
          <w:szCs w:val="24"/>
          <w:lang w:val="en-GB"/>
        </w:rPr>
        <w:instrText>ADDIN CSL_CITATION {"citationItems":[{"id":"ITEM-1","itemData":{"DOI":"10.1126/science.abc4209","ISSN":"1095-9203 (Electronic)","PMID":"32972993","abstract":"Mitochondrial complex I couples NADH:ubiquinone oxidoreduction to proton pumping by  an unknown mechanism. Here, we present cryo-electron microscopy structures of ovine complex I in five different conditions, including turnover, at resolutions up to 2.3 to 2.5 angstroms. Resolved water molecules allowed us to experimentally define the proton translocation pathways. Quinone binds at three positions along the quinone cavity, as does the inhibitor rotenone that also binds within subunit ND4. Dramatic conformational changes around the quinone cavity couple the redox reaction to proton translocation during open-to-closed state transitions of the enzyme. In the induced deactive state, the open conformation is arrested by the ND6 subunit. We propose a detailed molecular coupling mechanism of complex I, which is an unexpected combination of conformational changes and electrostatic interactions.","author":[{"dropping-particle":"","family":"Kampjut","given":"Domen","non-dropping-particle":"","parse-names":false,"suffix":""},{"dropping-particle":"","family":"Sazanov","given":"Leonid A","non-dropping-particle":"","parse-names":false,"suffix":""}],"container-title":"Science (New York, N.Y.)","id":"ITEM-1","issue":"6516","issued":{"date-parts":[["2020","10"]]},"language":"eng","publisher-place":"United States","title":"The coupling mechanism of mammalian respiratory complex I.","type":"article-journal","volume":"370"},"uris":["http://www.mendeley.com/documents/?uuid=7ba13959-8c17-4313-8227-becdec77971c"]}],"mendeley":{"formattedCitation":"(Kampjut &amp; Sazanov, 2020)","plainTextFormattedCitation":"(Kampjut &amp; Sazanov, 2020)","previouslyFormattedCitation":"(Kampjut &amp; Sazanov, 2020)"},"properties":{"noteIndex":0},"schema":"https://github.com/citation-style-language/schema/raw/master/csl-citation.json"}</w:instrText>
      </w:r>
      <w:r w:rsidR="00547E89" w:rsidRPr="00E97FC1">
        <w:rPr>
          <w:rFonts w:cs="Times New Roman"/>
          <w:szCs w:val="24"/>
          <w:lang w:val="en-GB"/>
        </w:rPr>
        <w:fldChar w:fldCharType="separate"/>
      </w:r>
      <w:r w:rsidR="00E55873" w:rsidRPr="00E97FC1">
        <w:rPr>
          <w:rFonts w:cs="Times New Roman"/>
          <w:noProof/>
          <w:szCs w:val="24"/>
          <w:lang w:val="en-GB"/>
        </w:rPr>
        <w:t>(Kampjut &amp; Sazanov, 2020)</w:t>
      </w:r>
      <w:r w:rsidR="00547E89" w:rsidRPr="00E97FC1">
        <w:rPr>
          <w:rFonts w:cs="Times New Roman"/>
          <w:szCs w:val="24"/>
          <w:lang w:val="en-GB"/>
        </w:rPr>
        <w:fldChar w:fldCharType="end"/>
      </w:r>
      <w:r w:rsidRPr="00E97FC1">
        <w:rPr>
          <w:rFonts w:cs="Times New Roman"/>
          <w:szCs w:val="24"/>
          <w:lang w:val="en-GB"/>
        </w:rPr>
        <w:t>. To</w:t>
      </w:r>
      <w:r w:rsidR="00547E89" w:rsidRPr="00E97FC1">
        <w:rPr>
          <w:rFonts w:cs="Times New Roman"/>
          <w:szCs w:val="24"/>
          <w:lang w:val="en-GB"/>
        </w:rPr>
        <w:t xml:space="preserve"> test this hypothesis</w:t>
      </w:r>
      <w:r w:rsidRPr="00E97FC1">
        <w:rPr>
          <w:rFonts w:cs="Times New Roman"/>
          <w:szCs w:val="24"/>
          <w:lang w:val="en-GB"/>
        </w:rPr>
        <w:t xml:space="preserve"> </w:t>
      </w:r>
      <w:r w:rsidRPr="00E97FC1">
        <w:rPr>
          <w:rFonts w:cs="Times New Roman"/>
          <w:szCs w:val="24"/>
          <w:vertAlign w:val="subscript"/>
          <w:lang w:val="en-GB"/>
        </w:rPr>
        <w:t>M</w:t>
      </w:r>
      <w:r w:rsidRPr="00E97FC1">
        <w:rPr>
          <w:rFonts w:cs="Times New Roman"/>
          <w:szCs w:val="24"/>
          <w:lang w:val="en-GB"/>
        </w:rPr>
        <w:t>E407</w:t>
      </w:r>
      <w:r w:rsidR="00547E89" w:rsidRPr="00E97FC1">
        <w:rPr>
          <w:rFonts w:cs="Times New Roman"/>
          <w:szCs w:val="24"/>
          <w:lang w:val="en-GB"/>
        </w:rPr>
        <w:t xml:space="preserve"> was mutated</w:t>
      </w:r>
      <w:r w:rsidRPr="00E97FC1">
        <w:rPr>
          <w:rFonts w:cs="Times New Roman"/>
          <w:szCs w:val="24"/>
          <w:lang w:val="en-GB"/>
        </w:rPr>
        <w:t xml:space="preserve"> to lysine and </w:t>
      </w:r>
      <w:r w:rsidR="00752D22" w:rsidRPr="00E97FC1">
        <w:rPr>
          <w:rFonts w:cs="Times New Roman"/>
          <w:szCs w:val="24"/>
          <w:lang w:val="en-GB"/>
        </w:rPr>
        <w:t xml:space="preserve">it was </w:t>
      </w:r>
      <w:r w:rsidRPr="00E97FC1">
        <w:rPr>
          <w:rFonts w:cs="Times New Roman"/>
          <w:szCs w:val="24"/>
          <w:lang w:val="en-GB"/>
        </w:rPr>
        <w:t xml:space="preserve">found that </w:t>
      </w:r>
      <w:r w:rsidRPr="00E97FC1">
        <w:rPr>
          <w:rFonts w:cs="Times New Roman"/>
          <w:i/>
          <w:szCs w:val="24"/>
          <w:lang w:val="en-GB"/>
        </w:rPr>
        <w:t>Ec</w:t>
      </w:r>
      <w:r w:rsidRPr="00E97FC1">
        <w:rPr>
          <w:rFonts w:cs="Times New Roman"/>
          <w:szCs w:val="24"/>
          <w:lang w:val="en-GB"/>
        </w:rPr>
        <w:t>CI was still active, which suggests that in fact all three ALS act in a similar fashion</w:t>
      </w:r>
      <w:r w:rsidR="00547E89" w:rsidRPr="00E97FC1">
        <w:rPr>
          <w:rFonts w:cs="Times New Roman"/>
          <w:szCs w:val="24"/>
          <w:lang w:val="en-GB"/>
        </w:rPr>
        <w:t xml:space="preserve"> </w:t>
      </w:r>
      <w:r w:rsidR="00547E89" w:rsidRPr="00E97FC1">
        <w:rPr>
          <w:rFonts w:cs="Times New Roman"/>
          <w:szCs w:val="24"/>
          <w:lang w:val="en-GB"/>
        </w:rPr>
        <w:fldChar w:fldCharType="begin" w:fldLock="1"/>
      </w:r>
      <w:r w:rsidR="00776703" w:rsidRPr="00E97FC1">
        <w:rPr>
          <w:rFonts w:cs="Times New Roman"/>
          <w:szCs w:val="24"/>
          <w:lang w:val="en-GB"/>
        </w:rPr>
        <w:instrText>ADDIN CSL_CITATION {"citationItems":[{"id":"ITEM-1","itemData":{"DOI":"10.1038/s41586-022-05199-7","ISSN":"1476-4687 (Electronic)","PMID":"36104567","abstract":"Complex I is the first enzyme in the respiratory chain, which is responsible for  energy production in mitochondria and bacteria(1). Complex I couples the transfer of two electrons from NADH to quinone and the translocation of four protons across the membrane(2), but the coupling mechanism remains contentious. Here we present cryo-electron microscopy structures of Escherichia coli complex I (EcCI) in different redox states, including catalytic turnover. EcCI exists mostly in the open state, in which the quinone cavity is exposed to the cytosol, allowing access for water molecules, which enable quinone movements. Unlike the mammalian paralogues(3), EcCI can convert to the closed state only during turnover, showing that closed and open states are genuine turnover intermediates. The open-to-closed transition results in the tightly engulfed quinone cavity being connected to the central axis of the membrane arm, a source of substrate protons. Consistently, the proportion of the closed state increases with increasing pH. We propose a detailed but straightforward and robust mechanism comprising a 'domino effect' series of proton transfers and electrostatic interactions: the forward wave ('dominoes stacking') primes the pump, and the reverse wave ('dominoes falling') results in the ejection of all pumped protons from the distal subunit NuoL. This mechanism explains why protons exit exclusively from the NuoL subunit and is supported by our mutagenesis data. We contend that this is a universal coupling mechanism of complex I and related enzymes.","author":[{"dropping-particle":"","family":"Kravchuk","given":"Vladyslav","non-dropping-particle":"","parse-names":false,"suffix":""},{"dropping-particle":"","family":"Petrova","given":"Olga","non-dropping-particle":"","parse-names":false,"suffix":""},{"dropping-particle":"","family":"Kampjut","given":"Domen","non-dropping-particle":"","parse-names":false,"suffix":""},{"dropping-particle":"","family":"Wojciechowska-Bason","given":"Anna","non-dropping-particle":"","parse-names":false,"suffix":""},{"dropping-particle":"","family":"Breese","given":"Zara","non-dropping-particle":"","parse-names":false,"suffix":""},{"dropping-particle":"","family":"Sazanov","given":"Leonid","non-dropping-particle":"","parse-names":false,"suffix":""}],"container-title":"Nature","id":"ITEM-1","issue":"7928","issued":{"date-parts":[["2022","9"]]},"language":"eng","page":"808-814","publisher-place":"England","title":"A universal coupling mechanism of respiratory complex I.","type":"article-journal","volume":"609"},"uris":["http://www.mendeley.com/documents/?uuid=24646b16-1332-4c29-8894-c41094c65033"]}],"mendeley":{"formattedCitation":"(Kravchuk &lt;i&gt;et al&lt;/i&gt;, 2022)","plainTextFormattedCitation":"(Kravchuk et al, 2022)","previouslyFormattedCitation":"(Kravchuk &lt;i&gt;et al&lt;/i&gt;, 2022)"},"properties":{"noteIndex":0},"schema":"https://github.com/citation-style-language/schema/raw/master/csl-citation.json"}</w:instrText>
      </w:r>
      <w:r w:rsidR="00547E89" w:rsidRPr="00E97FC1">
        <w:rPr>
          <w:rFonts w:cs="Times New Roman"/>
          <w:szCs w:val="24"/>
          <w:lang w:val="en-GB"/>
        </w:rPr>
        <w:fldChar w:fldCharType="separate"/>
      </w:r>
      <w:r w:rsidR="00E55873" w:rsidRPr="00E97FC1">
        <w:rPr>
          <w:rFonts w:cs="Times New Roman"/>
          <w:noProof/>
          <w:szCs w:val="24"/>
          <w:lang w:val="en-GB"/>
        </w:rPr>
        <w:t xml:space="preserve">(Kravchuk </w:t>
      </w:r>
      <w:r w:rsidR="00E55873" w:rsidRPr="00E97FC1">
        <w:rPr>
          <w:rFonts w:cs="Times New Roman"/>
          <w:i/>
          <w:noProof/>
          <w:szCs w:val="24"/>
          <w:lang w:val="en-GB"/>
        </w:rPr>
        <w:t>et al</w:t>
      </w:r>
      <w:r w:rsidR="00E55873" w:rsidRPr="00E97FC1">
        <w:rPr>
          <w:rFonts w:cs="Times New Roman"/>
          <w:noProof/>
          <w:szCs w:val="24"/>
          <w:lang w:val="en-GB"/>
        </w:rPr>
        <w:t>, 2022)</w:t>
      </w:r>
      <w:r w:rsidR="00547E89" w:rsidRPr="00E97FC1">
        <w:rPr>
          <w:rFonts w:cs="Times New Roman"/>
          <w:szCs w:val="24"/>
          <w:lang w:val="en-GB"/>
        </w:rPr>
        <w:fldChar w:fldCharType="end"/>
      </w:r>
      <w:r w:rsidRPr="00E97FC1">
        <w:rPr>
          <w:rFonts w:cs="Times New Roman"/>
          <w:szCs w:val="24"/>
          <w:lang w:val="en-GB"/>
        </w:rPr>
        <w:t xml:space="preserve">. </w:t>
      </w:r>
      <w:r w:rsidR="00547E89" w:rsidRPr="00E97FC1">
        <w:rPr>
          <w:rFonts w:cs="Times New Roman"/>
          <w:szCs w:val="24"/>
          <w:lang w:val="en-GB"/>
        </w:rPr>
        <w:t>R</w:t>
      </w:r>
      <w:r w:rsidRPr="00E97FC1">
        <w:rPr>
          <w:rFonts w:cs="Times New Roman"/>
          <w:szCs w:val="24"/>
          <w:lang w:val="en-GB"/>
        </w:rPr>
        <w:t>esidues around the main Q entry site</w:t>
      </w:r>
      <w:r w:rsidR="00547E89" w:rsidRPr="00E97FC1">
        <w:rPr>
          <w:rFonts w:cs="Times New Roman"/>
          <w:szCs w:val="24"/>
          <w:lang w:val="en-GB"/>
        </w:rPr>
        <w:t xml:space="preserve"> were also mutated </w:t>
      </w:r>
      <w:r w:rsidR="00547E89" w:rsidRPr="00E97FC1">
        <w:rPr>
          <w:rFonts w:cs="Times New Roman"/>
          <w:szCs w:val="24"/>
          <w:lang w:val="en-GB"/>
        </w:rPr>
        <w:fldChar w:fldCharType="begin" w:fldLock="1"/>
      </w:r>
      <w:r w:rsidR="00776703" w:rsidRPr="00E97FC1">
        <w:rPr>
          <w:rFonts w:cs="Times New Roman"/>
          <w:szCs w:val="24"/>
          <w:lang w:val="en-GB"/>
        </w:rPr>
        <w:instrText>ADDIN CSL_CITATION {"citationItems":[{"id":"ITEM-1","itemData":{"DOI":"10.1038/s41586-022-05199-7","ISSN":"1476-4687 (Electronic)","PMID":"36104567","abstract":"Complex I is the first enzyme in the respiratory chain, which is responsible for  energy production in mitochondria and bacteria(1). Complex I couples the transfer of two electrons from NADH to quinone and the translocation of four protons across the membrane(2), but the coupling mechanism remains contentious. Here we present cryo-electron microscopy structures of Escherichia coli complex I (EcCI) in different redox states, including catalytic turnover. EcCI exists mostly in the open state, in which the quinone cavity is exposed to the cytosol, allowing access for water molecules, which enable quinone movements. Unlike the mammalian paralogues(3), EcCI can convert to the closed state only during turnover, showing that closed and open states are genuine turnover intermediates. The open-to-closed transition results in the tightly engulfed quinone cavity being connected to the central axis of the membrane arm, a source of substrate protons. Consistently, the proportion of the closed state increases with increasing pH. We propose a detailed but straightforward and robust mechanism comprising a 'domino effect' series of proton transfers and electrostatic interactions: the forward wave ('dominoes stacking') primes the pump, and the reverse wave ('dominoes falling') results in the ejection of all pumped protons from the distal subunit NuoL. This mechanism explains why protons exit exclusively from the NuoL subunit and is supported by our mutagenesis data. We contend that this is a universal coupling mechanism of complex I and related enzymes.","author":[{"dropping-particle":"","family":"Kravchuk","given":"Vladyslav","non-dropping-particle":"","parse-names":false,"suffix":""},{"dropping-particle":"","family":"Petrova","given":"Olga","non-dropping-particle":"","parse-names":false,"suffix":""},{"dropping-particle":"","family":"Kampjut","given":"Domen","non-dropping-particle":"","parse-names":false,"suffix":""},{"dropping-particle":"","family":"Wojciechowska-Bason","given":"Anna","non-dropping-particle":"","parse-names":false,"suffix":""},{"dropping-particle":"","family":"Breese","given":"Zara","non-dropping-particle":"","parse-names":false,"suffix":""},{"dropping-particle":"","family":"Sazanov","given":"Leonid","non-dropping-particle":"","parse-names":false,"suffix":""}],"container-title":"Nature","id":"ITEM-1","issue":"7928","issued":{"date-parts":[["2022","9"]]},"language":"eng","page":"808-814","publisher-place":"England","title":"A universal coupling mechanism of respiratory complex I.","type":"article-journal","volume":"609"},"uris":["http://www.mendeley.com/documents/?uuid=24646b16-1332-4c29-8894-c41094c65033"]}],"mendeley":{"formattedCitation":"(Kravchuk &lt;i&gt;et al&lt;/i&gt;, 2022)","plainTextFormattedCitation":"(Kravchuk et al, 2022)","previouslyFormattedCitation":"(Kravchuk &lt;i&gt;et al&lt;/i&gt;, 2022)"},"properties":{"noteIndex":0},"schema":"https://github.com/citation-style-language/schema/raw/master/csl-citation.json"}</w:instrText>
      </w:r>
      <w:r w:rsidR="00547E89" w:rsidRPr="00E97FC1">
        <w:rPr>
          <w:rFonts w:cs="Times New Roman"/>
          <w:szCs w:val="24"/>
          <w:lang w:val="en-GB"/>
        </w:rPr>
        <w:fldChar w:fldCharType="separate"/>
      </w:r>
      <w:r w:rsidR="00E55873" w:rsidRPr="00E97FC1">
        <w:rPr>
          <w:rFonts w:cs="Times New Roman"/>
          <w:noProof/>
          <w:szCs w:val="24"/>
          <w:lang w:val="en-GB"/>
        </w:rPr>
        <w:t xml:space="preserve">(Kravchuk </w:t>
      </w:r>
      <w:r w:rsidR="00E55873" w:rsidRPr="00E97FC1">
        <w:rPr>
          <w:rFonts w:cs="Times New Roman"/>
          <w:i/>
          <w:noProof/>
          <w:szCs w:val="24"/>
          <w:lang w:val="en-GB"/>
        </w:rPr>
        <w:t xml:space="preserve">et </w:t>
      </w:r>
      <w:r w:rsidR="00E55873" w:rsidRPr="00E97FC1">
        <w:rPr>
          <w:rFonts w:cs="Times New Roman"/>
          <w:i/>
          <w:noProof/>
          <w:szCs w:val="24"/>
          <w:lang w:val="en-GB"/>
        </w:rPr>
        <w:lastRenderedPageBreak/>
        <w:t>al</w:t>
      </w:r>
      <w:r w:rsidR="00E55873" w:rsidRPr="00E97FC1">
        <w:rPr>
          <w:rFonts w:cs="Times New Roman"/>
          <w:noProof/>
          <w:szCs w:val="24"/>
          <w:lang w:val="en-GB"/>
        </w:rPr>
        <w:t>, 2022)</w:t>
      </w:r>
      <w:r w:rsidR="00547E89" w:rsidRPr="00E97FC1">
        <w:rPr>
          <w:rFonts w:cs="Times New Roman"/>
          <w:szCs w:val="24"/>
          <w:lang w:val="en-GB"/>
        </w:rPr>
        <w:fldChar w:fldCharType="end"/>
      </w:r>
      <w:r w:rsidRPr="00E97FC1">
        <w:rPr>
          <w:rFonts w:cs="Times New Roman"/>
          <w:szCs w:val="24"/>
          <w:lang w:val="en-GB"/>
        </w:rPr>
        <w:t>, confirming that it is the only entry used by quinone, refuting recent proposals that Q may also enter from the cytosol</w:t>
      </w:r>
      <w:r w:rsidR="00547E89" w:rsidRPr="00E97FC1">
        <w:rPr>
          <w:rFonts w:cs="Times New Roman"/>
          <w:szCs w:val="24"/>
          <w:lang w:val="en-GB"/>
        </w:rPr>
        <w:t xml:space="preserve"> </w:t>
      </w:r>
      <w:r w:rsidR="00547E89" w:rsidRPr="00E97FC1">
        <w:rPr>
          <w:rFonts w:cs="Times New Roman"/>
          <w:szCs w:val="24"/>
          <w:lang w:val="en-GB"/>
        </w:rPr>
        <w:fldChar w:fldCharType="begin" w:fldLock="1"/>
      </w:r>
      <w:r w:rsidR="00776703" w:rsidRPr="00E97FC1">
        <w:rPr>
          <w:rFonts w:cs="Times New Roman"/>
          <w:szCs w:val="24"/>
          <w:lang w:val="en-GB"/>
        </w:rPr>
        <w:instrText>ADDIN CSL_CITATION {"citationItems":[{"id":"ITEM-1","itemData":{"DOI":"10.1021/acs.biochem.0c00991","ISSN":"1520-4995 (Electronic)","PMID":"33650850","abstract":"The ubiquinone reduction step in NADH-ubiquinone oxidoreductase (complex I) is  the key to triggering proton translocation in its membrane part. Although the existence of a long and narrow quinone-access channel has been identified, it remains debatable whether the channel model can account for binding of various ligands (ubiquinones and inhibitors) to the enzyme. We previously proposed that the matrix-side interfacial region of the 49 kDa, ND1, PSST, and 39 kDa subunits, which is covered by a loop connecting transmembrane helices (TMHs) 1 and 2 of ND3, may be the area for entry of some bulky ligands into the quinone reaction cavity. However, this proposition lacks direct evidence that the cavity is accessible from the putative matrix-side region, which allows ligands to pass. To address this, we examined whether Cys(39) of ND3 and Asp(160) of 49 kDa can be specifically cross-linked by bifunctional cross-linkers (tetrazine-maleimide hybrid, named TMBC). On the basis of the structural models of complex I, such dual cross-linking is unexpected because ND3 Cys(39) and 49 kDa Asp(160) are located on the TMH1-2 loop and deep inside the channel, respectively, and hence, they are physically separated by peptide chains forming the channel wall. However, three TMBCs with different spacer lengths did cross-link the two residues, resulting in the formation of new cross-linked ND3/49 kDa subunits. Chemical modification of either ND3 Cys(39) or 49 kDa Asp(160) blocked the dual cross-linking, ensuring the specificity of the cross-linking. Altogether, this study provides direct evidence that the quinone reaction cavity is indeed accessible from the proposed matrix-side region covered by the ND3 TMH1-2 loop.","author":[{"dropping-particle":"","family":"Masuya","given":"Takahiro","non-dropping-particle":"","parse-names":false,"suffix":""},{"dropping-particle":"","family":"Uno","given":"Shinpei","non-dropping-particle":"","parse-names":false,"suffix":""},{"dropping-particle":"","family":"Murai","given":"Masatoshi","non-dropping-particle":"","parse-names":false,"suffix":""},{"dropping-particle":"","family":"Miyoshi","given":"Hideto","non-dropping-particle":"","parse-names":false,"suffix":""}],"container-title":"Biochemistry","id":"ITEM-1","issue":"10","issued":{"date-parts":[["2021","3"]]},"language":"eng","page":"813-824","publisher-place":"United States","title":"Pinpoint Dual Chemical Cross-Linking Explores the Structural Dynamics of the  Ubiquinone Reaction Site in Mitochondrial Complex I.","type":"article-journal","volume":"60"},"uris":["http://www.mendeley.com/documents/?uuid=4513d36d-7f84-4d47-8747-1ebad703d9ab"]}],"mendeley":{"formattedCitation":"(Masuya &lt;i&gt;et al&lt;/i&gt;, 2021)","plainTextFormattedCitation":"(Masuya et al, 2021)","previouslyFormattedCitation":"(Masuya &lt;i&gt;et al&lt;/i&gt;, 2021)"},"properties":{"noteIndex":0},"schema":"https://github.com/citation-style-language/schema/raw/master/csl-citation.json"}</w:instrText>
      </w:r>
      <w:r w:rsidR="00547E89" w:rsidRPr="00E97FC1">
        <w:rPr>
          <w:rFonts w:cs="Times New Roman"/>
          <w:szCs w:val="24"/>
          <w:lang w:val="en-GB"/>
        </w:rPr>
        <w:fldChar w:fldCharType="separate"/>
      </w:r>
      <w:r w:rsidR="00E55873" w:rsidRPr="00E97FC1">
        <w:rPr>
          <w:rFonts w:cs="Times New Roman"/>
          <w:noProof/>
          <w:szCs w:val="24"/>
          <w:lang w:val="en-GB"/>
        </w:rPr>
        <w:t xml:space="preserve">(Masuya </w:t>
      </w:r>
      <w:r w:rsidR="00E55873" w:rsidRPr="00E97FC1">
        <w:rPr>
          <w:rFonts w:cs="Times New Roman"/>
          <w:i/>
          <w:noProof/>
          <w:szCs w:val="24"/>
          <w:lang w:val="en-GB"/>
        </w:rPr>
        <w:t>et al</w:t>
      </w:r>
      <w:r w:rsidR="00E55873" w:rsidRPr="00E97FC1">
        <w:rPr>
          <w:rFonts w:cs="Times New Roman"/>
          <w:noProof/>
          <w:szCs w:val="24"/>
          <w:lang w:val="en-GB"/>
        </w:rPr>
        <w:t>, 2021)</w:t>
      </w:r>
      <w:r w:rsidR="00547E89" w:rsidRPr="00E97FC1">
        <w:rPr>
          <w:rFonts w:cs="Times New Roman"/>
          <w:szCs w:val="24"/>
          <w:lang w:val="en-GB"/>
        </w:rPr>
        <w:fldChar w:fldCharType="end"/>
      </w:r>
      <w:r w:rsidR="000B4BE9" w:rsidRPr="00E97FC1">
        <w:rPr>
          <w:rFonts w:cs="Times New Roman"/>
          <w:szCs w:val="24"/>
          <w:lang w:val="en-GB"/>
        </w:rPr>
        <w:t>.</w:t>
      </w:r>
    </w:p>
    <w:p w14:paraId="67D2DE81" w14:textId="77777777" w:rsidR="009C0734" w:rsidRPr="00E97FC1" w:rsidRDefault="009C0734" w:rsidP="00CE3E6F">
      <w:pPr>
        <w:rPr>
          <w:lang w:val="en-GB"/>
        </w:rPr>
      </w:pPr>
    </w:p>
    <w:p w14:paraId="4E52E49A" w14:textId="77777777" w:rsidR="003C3D28" w:rsidRPr="00E97FC1" w:rsidRDefault="00CE3B09" w:rsidP="00F016AD">
      <w:pPr>
        <w:pStyle w:val="Heading2"/>
      </w:pPr>
      <w:bookmarkStart w:id="127" w:name="_Toc132640017"/>
      <w:r w:rsidRPr="00E97FC1">
        <w:t>Open-to-closed state transition</w:t>
      </w:r>
      <w:bookmarkEnd w:id="127"/>
    </w:p>
    <w:p w14:paraId="5D18BF63" w14:textId="560A42A3" w:rsidR="00E00AD5" w:rsidRPr="00E97FC1" w:rsidRDefault="00E00AD5" w:rsidP="00CE3E6F">
      <w:pPr>
        <w:ind w:firstLine="720"/>
        <w:rPr>
          <w:rFonts w:cs="Times New Roman"/>
          <w:szCs w:val="24"/>
          <w:lang w:val="en-GB"/>
        </w:rPr>
      </w:pPr>
      <w:r w:rsidRPr="00E97FC1">
        <w:rPr>
          <w:rFonts w:cs="Times New Roman"/>
          <w:szCs w:val="24"/>
          <w:lang w:val="en-GB"/>
        </w:rPr>
        <w:t>All the hallmarks of the open-to-closed state transition are conserved between the evolutionarily distant bacterial and mammalian enzymes</w:t>
      </w:r>
      <w:r w:rsidR="00611A9D" w:rsidRPr="00E97FC1">
        <w:rPr>
          <w:rFonts w:cs="Times New Roman"/>
          <w:szCs w:val="24"/>
          <w:lang w:val="en-GB"/>
        </w:rPr>
        <w:t xml:space="preserve"> </w:t>
      </w:r>
      <w:r w:rsidR="00611A9D" w:rsidRPr="00E97FC1">
        <w:rPr>
          <w:rFonts w:cs="Times New Roman"/>
          <w:szCs w:val="24"/>
          <w:lang w:val="en-GB"/>
        </w:rPr>
        <w:fldChar w:fldCharType="begin" w:fldLock="1"/>
      </w:r>
      <w:r w:rsidR="00E55873" w:rsidRPr="00E97FC1">
        <w:rPr>
          <w:rFonts w:cs="Times New Roman"/>
          <w:szCs w:val="24"/>
          <w:lang w:val="en-GB"/>
        </w:rPr>
        <w:instrText>ADDIN CSL_CITATION {"citationItems":[{"id":"ITEM-1","itemData":{"DOI":"10.1126/science.abc4209","ISSN":"1095-9203 (Electronic)","PMID":"32972993","abstract":"Mitochondrial complex I couples NADH:ubiquinone oxidoreduction to proton pumping by  an unknown mechanism. Here, we present cryo-electron microscopy structures of ovine complex I in five different conditions, including turnover, at resolutions up to 2.3 to 2.5 angstroms. Resolved water molecules allowed us to experimentally define the proton translocation pathways. Quinone binds at three positions along the quinone cavity, as does the inhibitor rotenone that also binds within subunit ND4. Dramatic conformational changes around the quinone cavity couple the redox reaction to proton translocation during open-to-closed state transitions of the enzyme. In the induced deactive state, the open conformation is arrested by the ND6 subunit. We propose a detailed molecular coupling mechanism of complex I, which is an unexpected combination of conformational changes and electrostatic interactions.","author":[{"dropping-particle":"","family":"Kampjut","given":"Domen","non-dropping-particle":"","parse-names":false,"suffix":""},{"dropping-particle":"","family":"Sazanov","given":"Leonid A","non-dropping-particle":"","parse-names":false,"suffix":""}],"container-title":"Science (New York, N.Y.)","id":"ITEM-1","issue":"6516","issued":{"date-parts":[["2020","10"]]},"language":"eng","publisher-place":"United States","title":"The coupling mechanism of mammalian respiratory complex I.","type":"article-journal","volume":"370"},"uris":["http://www.mendeley.com/documents/?uuid=7ba13959-8c17-4313-8227-becdec77971c"]}],"mendeley":{"formattedCitation":"(Kampjut &amp; Sazanov, 2020)","plainTextFormattedCitation":"(Kampjut &amp; Sazanov, 2020)","previouslyFormattedCitation":"(Kampjut &amp; Sazanov, 2020)"},"properties":{"noteIndex":0},"schema":"https://github.com/citation-style-language/schema/raw/master/csl-citation.json"}</w:instrText>
      </w:r>
      <w:r w:rsidR="00611A9D" w:rsidRPr="00E97FC1">
        <w:rPr>
          <w:rFonts w:cs="Times New Roman"/>
          <w:szCs w:val="24"/>
          <w:lang w:val="en-GB"/>
        </w:rPr>
        <w:fldChar w:fldCharType="separate"/>
      </w:r>
      <w:r w:rsidR="00E55873" w:rsidRPr="00E97FC1">
        <w:rPr>
          <w:rFonts w:cs="Times New Roman"/>
          <w:noProof/>
          <w:szCs w:val="24"/>
          <w:lang w:val="en-GB"/>
        </w:rPr>
        <w:t>(Kampjut &amp; Sazanov, 2020)</w:t>
      </w:r>
      <w:r w:rsidR="00611A9D" w:rsidRPr="00E97FC1">
        <w:rPr>
          <w:rFonts w:cs="Times New Roman"/>
          <w:szCs w:val="24"/>
          <w:lang w:val="en-GB"/>
        </w:rPr>
        <w:fldChar w:fldCharType="end"/>
      </w:r>
      <w:r w:rsidRPr="00E97FC1">
        <w:rPr>
          <w:rFonts w:cs="Times New Roman"/>
          <w:szCs w:val="24"/>
          <w:lang w:val="en-GB"/>
        </w:rPr>
        <w:t>, suggesting that they are the key to the universal mechanism of complex I. In the open state, due to disorder of key loops, the Q site is open to the cytoplasm via the wide opening of the cavity (or branching tunnel) emanating roughly from the Q</w:t>
      </w:r>
      <w:r w:rsidRPr="00E97FC1">
        <w:rPr>
          <w:rFonts w:cs="Times New Roman"/>
          <w:szCs w:val="24"/>
          <w:vertAlign w:val="subscript"/>
          <w:lang w:val="en-GB"/>
        </w:rPr>
        <w:t>m</w:t>
      </w:r>
      <w:r w:rsidRPr="00E97FC1">
        <w:rPr>
          <w:rFonts w:cs="Times New Roman"/>
          <w:szCs w:val="24"/>
          <w:lang w:val="en-GB"/>
        </w:rPr>
        <w:t xml:space="preserve"> site, both in bacterial and mammalian enzymes (W</w:t>
      </w:r>
      <w:r w:rsidR="008378CC" w:rsidRPr="00E97FC1">
        <w:rPr>
          <w:rFonts w:cs="Times New Roman"/>
          <w:szCs w:val="24"/>
          <w:lang w:val="en-GB"/>
        </w:rPr>
        <w:t xml:space="preserve"> site in Figure 3.1d</w:t>
      </w:r>
      <w:r w:rsidRPr="00E97FC1">
        <w:rPr>
          <w:rFonts w:cs="Times New Roman"/>
          <w:szCs w:val="24"/>
          <w:lang w:val="en-GB"/>
        </w:rPr>
        <w:t>). As a key novel feature of the mechanism that explains experimental observations, we propose that this additional W site is essential for exit or entry of water molecules accompanying the entry or exit, respectively, of quinone via the main entry point from the lipid bilayer (</w:t>
      </w:r>
      <w:r w:rsidR="008378CC" w:rsidRPr="00E97FC1">
        <w:rPr>
          <w:rFonts w:cs="Times New Roman"/>
          <w:szCs w:val="24"/>
          <w:lang w:val="en-GB"/>
        </w:rPr>
        <w:t>Q in Figure</w:t>
      </w:r>
      <w:r w:rsidRPr="00E97FC1">
        <w:rPr>
          <w:rFonts w:cs="Times New Roman"/>
          <w:szCs w:val="24"/>
          <w:lang w:val="en-GB"/>
        </w:rPr>
        <w:t xml:space="preserve"> </w:t>
      </w:r>
      <w:r w:rsidR="008378CC" w:rsidRPr="00E97FC1">
        <w:rPr>
          <w:rFonts w:cs="Times New Roman"/>
          <w:szCs w:val="24"/>
          <w:lang w:val="en-GB"/>
        </w:rPr>
        <w:t>3.</w:t>
      </w:r>
      <w:r w:rsidRPr="00E97FC1">
        <w:rPr>
          <w:rFonts w:cs="Times New Roman"/>
          <w:szCs w:val="24"/>
          <w:lang w:val="en-GB"/>
        </w:rPr>
        <w:t>1de). Before quinone entry the cavity is pre-filled with waters, therefore, without the extra “hole” (W) it will be difficult for quinone to get an access into the cavity, since its tail would be blocking the Q entry like a cork in the bottle (</w:t>
      </w:r>
      <w:r w:rsidR="008378CC" w:rsidRPr="00E97FC1">
        <w:rPr>
          <w:rFonts w:cs="Times New Roman"/>
          <w:szCs w:val="24"/>
          <w:lang w:val="en-GB"/>
        </w:rPr>
        <w:t>Figure 3.4d</w:t>
      </w:r>
      <w:r w:rsidRPr="00E97FC1">
        <w:rPr>
          <w:rFonts w:cs="Times New Roman"/>
          <w:szCs w:val="24"/>
          <w:lang w:val="en-GB"/>
        </w:rPr>
        <w:t>). Similarly, when quinol exits the cavity, because of the blocking tail the waters must come in through the W site to fill in the vacated space within the cavity. In stark contrast, in the closed state the key loops get ordered, sealing off the cavity and tightly engulfing the bound quinone (Fig</w:t>
      </w:r>
      <w:r w:rsidR="008378CC" w:rsidRPr="00E97FC1">
        <w:rPr>
          <w:rFonts w:cs="Times New Roman"/>
          <w:szCs w:val="24"/>
          <w:lang w:val="en-GB"/>
        </w:rPr>
        <w:t>ure</w:t>
      </w:r>
      <w:r w:rsidRPr="00E97FC1">
        <w:rPr>
          <w:rFonts w:cs="Times New Roman"/>
          <w:szCs w:val="24"/>
          <w:lang w:val="en-GB"/>
        </w:rPr>
        <w:t xml:space="preserve"> </w:t>
      </w:r>
      <w:r w:rsidR="00FE7AC6">
        <w:rPr>
          <w:rFonts w:cs="Times New Roman"/>
          <w:szCs w:val="24"/>
          <w:lang w:val="en-GB"/>
        </w:rPr>
        <w:t xml:space="preserve">3.1e and </w:t>
      </w:r>
      <w:r w:rsidR="008378CC" w:rsidRPr="00E97FC1">
        <w:rPr>
          <w:rFonts w:cs="Times New Roman"/>
          <w:szCs w:val="24"/>
          <w:lang w:val="en-GB"/>
        </w:rPr>
        <w:t>3.</w:t>
      </w:r>
      <w:r w:rsidR="000F12F2">
        <w:rPr>
          <w:rFonts w:cs="Times New Roman"/>
          <w:szCs w:val="24"/>
          <w:lang w:val="en-GB"/>
        </w:rPr>
        <w:t>7d</w:t>
      </w:r>
      <w:r w:rsidRPr="00E97FC1">
        <w:rPr>
          <w:rFonts w:cs="Times New Roman"/>
          <w:szCs w:val="24"/>
          <w:lang w:val="en-GB"/>
        </w:rPr>
        <w:t>), so that waters cannot get into the cavity and protons for quinone protonation have to come from the central MA axis. This process would be optimal with the native long-tailed quinone but will also work with DQ, as the limited number of waters in the cavity (sealed by the lipids at the Q entry) will not be able to provide two protons.</w:t>
      </w:r>
    </w:p>
    <w:p w14:paraId="197311D5" w14:textId="19BBE77B" w:rsidR="00E00AD5" w:rsidRPr="00E97FC1" w:rsidRDefault="00E00AD5" w:rsidP="00CE3E6F">
      <w:pPr>
        <w:ind w:firstLine="720"/>
        <w:rPr>
          <w:rFonts w:cs="Times New Roman"/>
          <w:szCs w:val="24"/>
          <w:lang w:val="en-GB"/>
        </w:rPr>
      </w:pPr>
      <w:r w:rsidRPr="00E97FC1">
        <w:rPr>
          <w:rFonts w:cs="Times New Roman"/>
          <w:szCs w:val="24"/>
          <w:lang w:val="en-GB"/>
        </w:rPr>
        <w:t xml:space="preserve">Another defining feature of the open-to-closed transition is </w:t>
      </w:r>
      <w:r w:rsidRPr="00E97FC1">
        <w:rPr>
          <w:rFonts w:cs="Times New Roman"/>
          <w:szCs w:val="24"/>
          <w:vertAlign w:val="subscript"/>
          <w:lang w:val="en-GB"/>
        </w:rPr>
        <w:t>J</w:t>
      </w:r>
      <w:r w:rsidRPr="00E97FC1">
        <w:rPr>
          <w:rFonts w:cs="Times New Roman"/>
          <w:szCs w:val="24"/>
          <w:lang w:val="en-GB"/>
        </w:rPr>
        <w:t xml:space="preserve">TM3 rotation. It is likely caused by a combination of tilting of NuoH TM helices, freeing up space for rotation, and a large shift of NuoCD </w:t>
      </w:r>
      <w:r w:rsidRPr="00E97FC1">
        <w:rPr>
          <w:rFonts w:ascii="Symbol" w:hAnsi="Symbol" w:cs="Times New Roman"/>
          <w:szCs w:val="24"/>
          <w:lang w:val="en-GB"/>
        </w:rPr>
        <w:t></w:t>
      </w:r>
      <w:r w:rsidRPr="00E97FC1">
        <w:rPr>
          <w:rFonts w:cs="Times New Roman"/>
          <w:szCs w:val="24"/>
          <w:lang w:val="en-GB"/>
        </w:rPr>
        <w:t xml:space="preserve">-sheet with </w:t>
      </w:r>
      <w:r w:rsidRPr="00E97FC1">
        <w:rPr>
          <w:rFonts w:ascii="Symbol" w:hAnsi="Symbol" w:cs="Times New Roman"/>
          <w:szCs w:val="24"/>
          <w:lang w:val="en-GB"/>
        </w:rPr>
        <w:t></w:t>
      </w:r>
      <w:r w:rsidRPr="00E97FC1">
        <w:rPr>
          <w:rFonts w:cs="Times New Roman"/>
          <w:szCs w:val="24"/>
          <w:lang w:val="en-GB"/>
        </w:rPr>
        <w:t>1-</w:t>
      </w:r>
      <w:r w:rsidRPr="00E97FC1">
        <w:rPr>
          <w:rFonts w:ascii="Symbol" w:hAnsi="Symbol" w:cs="Times New Roman"/>
          <w:szCs w:val="24"/>
          <w:lang w:val="en-GB"/>
        </w:rPr>
        <w:t></w:t>
      </w:r>
      <w:r w:rsidRPr="00E97FC1">
        <w:rPr>
          <w:rFonts w:cs="Times New Roman"/>
          <w:szCs w:val="24"/>
          <w:lang w:val="en-GB"/>
        </w:rPr>
        <w:t>2 loop (</w:t>
      </w:r>
      <w:r w:rsidR="008378CC" w:rsidRPr="00E97FC1">
        <w:rPr>
          <w:rFonts w:cs="Times New Roman"/>
          <w:szCs w:val="24"/>
          <w:lang w:val="en-GB"/>
        </w:rPr>
        <w:t>Figure</w:t>
      </w:r>
      <w:r w:rsidRPr="00E97FC1">
        <w:rPr>
          <w:rFonts w:cs="Times New Roman"/>
          <w:szCs w:val="24"/>
          <w:lang w:val="en-GB"/>
        </w:rPr>
        <w:t xml:space="preserve"> </w:t>
      </w:r>
      <w:r w:rsidR="008378CC" w:rsidRPr="00E97FC1">
        <w:rPr>
          <w:rFonts w:cs="Times New Roman"/>
          <w:szCs w:val="24"/>
          <w:lang w:val="en-GB"/>
        </w:rPr>
        <w:t>3.</w:t>
      </w:r>
      <w:r w:rsidR="00885134">
        <w:rPr>
          <w:rFonts w:cs="Times New Roman"/>
          <w:szCs w:val="24"/>
          <w:lang w:val="en-GB"/>
        </w:rPr>
        <w:t>5</w:t>
      </w:r>
      <w:r w:rsidRPr="00E97FC1">
        <w:rPr>
          <w:rFonts w:cs="Times New Roman"/>
          <w:szCs w:val="24"/>
          <w:lang w:val="en-GB"/>
        </w:rPr>
        <w:t xml:space="preserve">b). This sheet pulls along with it the tightly interacting </w:t>
      </w:r>
      <w:r w:rsidRPr="00E97FC1">
        <w:rPr>
          <w:rFonts w:cs="Times New Roman"/>
          <w:szCs w:val="24"/>
          <w:vertAlign w:val="subscript"/>
          <w:lang w:val="en-GB"/>
        </w:rPr>
        <w:t>A</w:t>
      </w:r>
      <w:r w:rsidRPr="00E97FC1">
        <w:rPr>
          <w:rFonts w:cs="Times New Roman"/>
          <w:szCs w:val="24"/>
          <w:lang w:val="en-GB"/>
        </w:rPr>
        <w:t xml:space="preserve">TM1-2 and </w:t>
      </w:r>
      <w:r w:rsidRPr="00E97FC1">
        <w:rPr>
          <w:rFonts w:cs="Times New Roman"/>
          <w:szCs w:val="24"/>
          <w:vertAlign w:val="subscript"/>
          <w:lang w:val="en-GB"/>
        </w:rPr>
        <w:t>J</w:t>
      </w:r>
      <w:r w:rsidRPr="00E97FC1">
        <w:rPr>
          <w:rFonts w:cs="Times New Roman"/>
          <w:szCs w:val="24"/>
          <w:lang w:val="en-GB"/>
        </w:rPr>
        <w:t xml:space="preserve">TM3-4 loops, which probably causes re-winding of </w:t>
      </w:r>
      <w:r w:rsidRPr="00E97FC1">
        <w:rPr>
          <w:rFonts w:cs="Times New Roman"/>
          <w:szCs w:val="24"/>
          <w:vertAlign w:val="subscript"/>
          <w:lang w:val="en-GB"/>
        </w:rPr>
        <w:t>J</w:t>
      </w:r>
      <w:r w:rsidRPr="00E97FC1">
        <w:rPr>
          <w:rFonts w:cs="Times New Roman"/>
          <w:szCs w:val="24"/>
          <w:lang w:val="en-GB"/>
        </w:rPr>
        <w:t xml:space="preserve">TM3. Importantly, the pattern of two small residues followed by a large hydrophobic residue in NuoJ (Gly61-Ala62-Ile63) is fully conserved in all species. The </w:t>
      </w:r>
      <w:r w:rsidRPr="00E97FC1">
        <w:rPr>
          <w:rFonts w:ascii="Symbol" w:hAnsi="Symbol" w:cs="Times New Roman"/>
          <w:szCs w:val="24"/>
          <w:lang w:val="en-GB"/>
        </w:rPr>
        <w:t></w:t>
      </w:r>
      <w:r w:rsidRPr="00E97FC1">
        <w:rPr>
          <w:rFonts w:cs="Times New Roman"/>
          <w:szCs w:val="24"/>
          <w:lang w:val="en-GB"/>
        </w:rPr>
        <w:t xml:space="preserve">-bulges on </w:t>
      </w:r>
      <w:r w:rsidRPr="00E97FC1">
        <w:rPr>
          <w:rFonts w:cs="Times New Roman"/>
          <w:szCs w:val="24"/>
          <w:vertAlign w:val="subscript"/>
          <w:lang w:val="en-GB"/>
        </w:rPr>
        <w:t>H</w:t>
      </w:r>
      <w:r w:rsidRPr="00E97FC1">
        <w:rPr>
          <w:rFonts w:cs="Times New Roman"/>
          <w:szCs w:val="24"/>
          <w:lang w:val="en-GB"/>
        </w:rPr>
        <w:t xml:space="preserve">TM4 and neighbouring </w:t>
      </w:r>
      <w:r w:rsidRPr="00E97FC1">
        <w:rPr>
          <w:rFonts w:cs="Times New Roman"/>
          <w:szCs w:val="24"/>
          <w:vertAlign w:val="subscript"/>
          <w:lang w:val="en-GB"/>
        </w:rPr>
        <w:t>H</w:t>
      </w:r>
      <w:r w:rsidRPr="00E97FC1">
        <w:rPr>
          <w:rFonts w:cs="Times New Roman"/>
          <w:szCs w:val="24"/>
          <w:lang w:val="en-GB"/>
        </w:rPr>
        <w:t xml:space="preserve">TM8, allowing </w:t>
      </w:r>
      <w:r w:rsidRPr="00E97FC1">
        <w:rPr>
          <w:rFonts w:cs="Times New Roman"/>
          <w:szCs w:val="24"/>
          <w:vertAlign w:val="subscript"/>
          <w:lang w:val="en-GB"/>
        </w:rPr>
        <w:t>H</w:t>
      </w:r>
      <w:r w:rsidRPr="00E97FC1">
        <w:rPr>
          <w:rFonts w:cs="Times New Roman"/>
          <w:szCs w:val="24"/>
          <w:lang w:val="en-GB"/>
        </w:rPr>
        <w:t>Y156 flipping, are also conserved (</w:t>
      </w:r>
      <w:r w:rsidR="008378CC" w:rsidRPr="00E97FC1">
        <w:rPr>
          <w:rFonts w:cs="Times New Roman"/>
          <w:szCs w:val="24"/>
          <w:lang w:val="en-GB"/>
        </w:rPr>
        <w:t>Figure</w:t>
      </w:r>
      <w:r w:rsidRPr="00E97FC1">
        <w:rPr>
          <w:rFonts w:cs="Times New Roman"/>
          <w:szCs w:val="24"/>
          <w:lang w:val="en-GB"/>
        </w:rPr>
        <w:t xml:space="preserve"> 3</w:t>
      </w:r>
      <w:r w:rsidR="00885134">
        <w:rPr>
          <w:rFonts w:cs="Times New Roman"/>
          <w:szCs w:val="24"/>
          <w:lang w:val="en-GB"/>
        </w:rPr>
        <w:t>.9</w:t>
      </w:r>
      <w:r w:rsidRPr="00E97FC1">
        <w:rPr>
          <w:rFonts w:cs="Times New Roman"/>
          <w:szCs w:val="24"/>
          <w:lang w:val="en-GB"/>
        </w:rPr>
        <w:t xml:space="preserve">bc). As this pattern is responsible for the creation of the water wire, this suggests that the transfer of “charge action” of quinone oxidoreduction towards ALS is conserved. </w:t>
      </w:r>
    </w:p>
    <w:p w14:paraId="6E7FDC30" w14:textId="07A9717F" w:rsidR="00E00AD5" w:rsidRPr="00E97FC1" w:rsidRDefault="00E00AD5" w:rsidP="00CE3E6F">
      <w:pPr>
        <w:ind w:firstLine="720"/>
        <w:rPr>
          <w:rFonts w:cs="Times New Roman"/>
          <w:szCs w:val="24"/>
          <w:lang w:val="en-GB"/>
        </w:rPr>
      </w:pPr>
      <w:r w:rsidRPr="00E97FC1">
        <w:rPr>
          <w:rFonts w:cs="Times New Roman"/>
          <w:szCs w:val="24"/>
          <w:lang w:val="en-GB"/>
        </w:rPr>
        <w:t xml:space="preserve">Since key glutamates in the E-channel are unprotonated in the closed state, the proportion of closed state could be expected to increase with increasing pH. Therefore we </w:t>
      </w:r>
      <w:r w:rsidRPr="00E97FC1">
        <w:rPr>
          <w:rFonts w:cs="Times New Roman"/>
          <w:szCs w:val="24"/>
          <w:lang w:val="en-GB"/>
        </w:rPr>
        <w:lastRenderedPageBreak/>
        <w:t xml:space="preserve">collected </w:t>
      </w:r>
      <w:r w:rsidRPr="00E97FC1">
        <w:rPr>
          <w:rFonts w:cs="Times New Roman"/>
          <w:i/>
          <w:szCs w:val="24"/>
          <w:lang w:val="en-GB"/>
        </w:rPr>
        <w:t>Ec</w:t>
      </w:r>
      <w:r w:rsidRPr="00E97FC1">
        <w:rPr>
          <w:rFonts w:cs="Times New Roman"/>
          <w:szCs w:val="24"/>
          <w:lang w:val="en-GB"/>
        </w:rPr>
        <w:t xml:space="preserve">CI turnover dataset at pH 8, for comparison with the initial pH 6 data (Table 1). Strikingly, the proportion of closed state indeed increased dramatically. Importantly, the activity of </w:t>
      </w:r>
      <w:r w:rsidRPr="00E97FC1">
        <w:rPr>
          <w:rFonts w:cs="Times New Roman"/>
          <w:i/>
          <w:szCs w:val="24"/>
          <w:lang w:val="en-GB"/>
        </w:rPr>
        <w:t>Ec</w:t>
      </w:r>
      <w:r w:rsidRPr="00E97FC1">
        <w:rPr>
          <w:rFonts w:cs="Times New Roman"/>
          <w:szCs w:val="24"/>
          <w:lang w:val="en-GB"/>
        </w:rPr>
        <w:t xml:space="preserve">CI and </w:t>
      </w:r>
      <w:r w:rsidRPr="00E97FC1">
        <w:rPr>
          <w:rFonts w:cs="Times New Roman"/>
          <w:i/>
          <w:szCs w:val="24"/>
          <w:lang w:val="en-GB"/>
        </w:rPr>
        <w:t>Oa</w:t>
      </w:r>
      <w:r w:rsidRPr="00E97FC1">
        <w:rPr>
          <w:rFonts w:cs="Times New Roman"/>
          <w:szCs w:val="24"/>
          <w:lang w:val="en-GB"/>
        </w:rPr>
        <w:t>CI has actually decreased with pH (</w:t>
      </w:r>
      <w:r w:rsidR="008378CC" w:rsidRPr="00E97FC1">
        <w:rPr>
          <w:rFonts w:cs="Times New Roman"/>
          <w:szCs w:val="24"/>
          <w:lang w:val="en-GB"/>
        </w:rPr>
        <w:t>Figure</w:t>
      </w:r>
      <w:r w:rsidRPr="00E97FC1">
        <w:rPr>
          <w:rFonts w:cs="Times New Roman"/>
          <w:szCs w:val="24"/>
          <w:lang w:val="en-GB"/>
        </w:rPr>
        <w:t xml:space="preserve"> </w:t>
      </w:r>
      <w:r w:rsidR="00885134">
        <w:rPr>
          <w:rFonts w:cs="Times New Roman"/>
          <w:szCs w:val="24"/>
          <w:lang w:val="en-GB"/>
        </w:rPr>
        <w:t>3.6</w:t>
      </w:r>
      <w:r w:rsidRPr="00E97FC1">
        <w:rPr>
          <w:rFonts w:cs="Times New Roman"/>
          <w:szCs w:val="24"/>
          <w:lang w:val="en-GB"/>
        </w:rPr>
        <w:t>), firmly establishing that closed state is not equivalent to active state (since its proportion does not follow the activity), but instead is a part of catalytic cycle along with open state.</w:t>
      </w:r>
      <w:r w:rsidR="008378CC" w:rsidRPr="00E97FC1">
        <w:rPr>
          <w:rFonts w:cs="Times New Roman"/>
          <w:szCs w:val="24"/>
          <w:lang w:val="en-GB"/>
        </w:rPr>
        <w:t xml:space="preserve"> Same phenomenon was observed for the mammalian enzyme </w:t>
      </w:r>
      <w:r w:rsidR="008378CC" w:rsidRPr="00E97FC1">
        <w:rPr>
          <w:rFonts w:cs="Times New Roman"/>
          <w:szCs w:val="24"/>
          <w:lang w:val="en-GB"/>
        </w:rPr>
        <w:fldChar w:fldCharType="begin" w:fldLock="1"/>
      </w:r>
      <w:r w:rsidR="00776703" w:rsidRPr="00E97FC1">
        <w:rPr>
          <w:rFonts w:cs="Times New Roman"/>
          <w:szCs w:val="24"/>
          <w:lang w:val="en-GB"/>
        </w:rPr>
        <w:instrText>ADDIN CSL_CITATION {"citationItems":[{"id":"ITEM-1","itemData":{"DOI":"10.1038/s41586-022-05199-7","ISSN":"1476-4687 (Electronic)","PMID":"36104567","abstract":"Complex I is the first enzyme in the respiratory chain, which is responsible for  energy production in mitochondria and bacteria(1). Complex I couples the transfer of two electrons from NADH to quinone and the translocation of four protons across the membrane(2), but the coupling mechanism remains contentious. Here we present cryo-electron microscopy structures of Escherichia coli complex I (EcCI) in different redox states, including catalytic turnover. EcCI exists mostly in the open state, in which the quinone cavity is exposed to the cytosol, allowing access for water molecules, which enable quinone movements. Unlike the mammalian paralogues(3), EcCI can convert to the closed state only during turnover, showing that closed and open states are genuine turnover intermediates. The open-to-closed transition results in the tightly engulfed quinone cavity being connected to the central axis of the membrane arm, a source of substrate protons. Consistently, the proportion of the closed state increases with increasing pH. We propose a detailed but straightforward and robust mechanism comprising a 'domino effect' series of proton transfers and electrostatic interactions: the forward wave ('dominoes stacking') primes the pump, and the reverse wave ('dominoes falling') results in the ejection of all pumped protons from the distal subunit NuoL. This mechanism explains why protons exit exclusively from the NuoL subunit and is supported by our mutagenesis data. We contend that this is a universal coupling mechanism of complex I and related enzymes.","author":[{"dropping-particle":"","family":"Kravchuk","given":"Vladyslav","non-dropping-particle":"","parse-names":false,"suffix":""},{"dropping-particle":"","family":"Petrova","given":"Olga","non-dropping-particle":"","parse-names":false,"suffix":""},{"dropping-particle":"","family":"Kampjut","given":"Domen","non-dropping-particle":"","parse-names":false,"suffix":""},{"dropping-particle":"","family":"Wojciechowska-Bason","given":"Anna","non-dropping-particle":"","parse-names":false,"suffix":""},{"dropping-particle":"","family":"Breese","given":"Zara","non-dropping-particle":"","parse-names":false,"suffix":""},{"dropping-particle":"","family":"Sazanov","given":"Leonid","non-dropping-particle":"","parse-names":false,"suffix":""}],"container-title":"Nature","id":"ITEM-1","issue":"7928","issued":{"date-parts":[["2022","9"]]},"language":"eng","page":"808-814","publisher-place":"England","title":"A universal coupling mechanism of respiratory complex I.","type":"article-journal","volume":"609"},"uris":["http://www.mendeley.com/documents/?uuid=24646b16-1332-4c29-8894-c41094c65033"]}],"mendeley":{"formattedCitation":"(Kravchuk &lt;i&gt;et al&lt;/i&gt;, 2022)","plainTextFormattedCitation":"(Kravchuk et al, 2022)","previouslyFormattedCitation":"(Kravchuk &lt;i&gt;et al&lt;/i&gt;, 2022)"},"properties":{"noteIndex":0},"schema":"https://github.com/citation-style-language/schema/raw/master/csl-citation.json"}</w:instrText>
      </w:r>
      <w:r w:rsidR="008378CC" w:rsidRPr="00E97FC1">
        <w:rPr>
          <w:rFonts w:cs="Times New Roman"/>
          <w:szCs w:val="24"/>
          <w:lang w:val="en-GB"/>
        </w:rPr>
        <w:fldChar w:fldCharType="separate"/>
      </w:r>
      <w:r w:rsidR="00E55873" w:rsidRPr="00E97FC1">
        <w:rPr>
          <w:rFonts w:cs="Times New Roman"/>
          <w:noProof/>
          <w:szCs w:val="24"/>
          <w:lang w:val="en-GB"/>
        </w:rPr>
        <w:t xml:space="preserve">(Kravchuk </w:t>
      </w:r>
      <w:r w:rsidR="00E55873" w:rsidRPr="00E97FC1">
        <w:rPr>
          <w:rFonts w:cs="Times New Roman"/>
          <w:i/>
          <w:noProof/>
          <w:szCs w:val="24"/>
          <w:lang w:val="en-GB"/>
        </w:rPr>
        <w:t>et al</w:t>
      </w:r>
      <w:r w:rsidR="00E55873" w:rsidRPr="00E97FC1">
        <w:rPr>
          <w:rFonts w:cs="Times New Roman"/>
          <w:noProof/>
          <w:szCs w:val="24"/>
          <w:lang w:val="en-GB"/>
        </w:rPr>
        <w:t>, 2022)</w:t>
      </w:r>
      <w:r w:rsidR="008378CC" w:rsidRPr="00E97FC1">
        <w:rPr>
          <w:rFonts w:cs="Times New Roman"/>
          <w:szCs w:val="24"/>
          <w:lang w:val="en-GB"/>
        </w:rPr>
        <w:fldChar w:fldCharType="end"/>
      </w:r>
      <w:r w:rsidR="008378CC" w:rsidRPr="00E97FC1">
        <w:rPr>
          <w:rFonts w:cs="Times New Roman"/>
          <w:szCs w:val="24"/>
          <w:lang w:val="en-GB"/>
        </w:rPr>
        <w:t xml:space="preserve">. </w:t>
      </w:r>
      <w:r w:rsidRPr="00E97FC1">
        <w:rPr>
          <w:rFonts w:cs="Times New Roman"/>
          <w:szCs w:val="24"/>
          <w:lang w:val="en-GB"/>
        </w:rPr>
        <w:t xml:space="preserve">The pattern of changes in Table 1 suggests that the pKa of key residues involved in open-to-closed transition is probably close to 8. The pH in mitochondrial matrix is about 8.0, and in </w:t>
      </w:r>
      <w:r w:rsidRPr="00E97FC1">
        <w:rPr>
          <w:rFonts w:cs="Times New Roman"/>
          <w:i/>
          <w:szCs w:val="24"/>
          <w:lang w:val="en-GB"/>
        </w:rPr>
        <w:t>E. coli</w:t>
      </w:r>
      <w:r w:rsidRPr="00E97FC1">
        <w:rPr>
          <w:rFonts w:cs="Times New Roman"/>
          <w:szCs w:val="24"/>
          <w:lang w:val="en-GB"/>
        </w:rPr>
        <w:t xml:space="preserve"> cytoplasm about 7.6-7.8</w:t>
      </w:r>
      <w:r w:rsidR="0002170B" w:rsidRPr="00E97FC1">
        <w:rPr>
          <w:rFonts w:cs="Times New Roman"/>
          <w:szCs w:val="24"/>
          <w:lang w:val="en-GB"/>
        </w:rPr>
        <w:t xml:space="preserve"> </w:t>
      </w:r>
      <w:r w:rsidR="00CA2E64" w:rsidRPr="00E97FC1">
        <w:rPr>
          <w:rFonts w:cs="Times New Roman"/>
          <w:szCs w:val="24"/>
          <w:lang w:val="en-GB"/>
        </w:rPr>
        <w:fldChar w:fldCharType="begin" w:fldLock="1"/>
      </w:r>
      <w:r w:rsidR="00776703" w:rsidRPr="00E97FC1">
        <w:rPr>
          <w:rFonts w:cs="Times New Roman"/>
          <w:szCs w:val="24"/>
          <w:lang w:val="en-GB"/>
        </w:rPr>
        <w:instrText>ADDIN CSL_CITATION {"citationItems":[{"id":"ITEM-1","itemData":{"DOI":"10.1128/jb.158.1.246-252.1984","ISSN":"0021-9193 (Print)","PMID":"6325389","abstract":"We studied the changes in various cell functions during the shift to alkaline  extracellular pH in wild-type Escherichia coli and in strain DZ3, a mutant defective in pH homeostasis. A rapid increase in membrane potential (delta psi) was detected in both the wild type and the mutant immediately upon the shift, when both cell types failed to control intracellular pH. Upon reestablishment of intracellular pH - extracellular pH and growth in the wild type, delta psi decreased to a new steady-state value. The electrochemical proton gradient (delta muH+) was similar in magnitude to that observed before the pH shift. In the mutant DZ3, delta psi remained elevated, and even though delta muH+ was higher than in the wild type, growth was impaired. Cessation of growth in the mutant is not a result of cell death. Hence, the mutant affords an interesting system to explore the intracellular-pH-sensitive steps that arrest growth without affecting viability. In addition to delta muH+, we measured respiration rates, protein synthesis, cell viability, induction of beta-galactosidase, DNA synthesis, and cell elongation upon failure of pH homeostasis. Cell division was the only function arrested after the shift in extracellular pH. The cells formed long chains with no increase in colony-forming capacity.","author":[{"dropping-particle":"","family":"Zilberstein","given":"D","non-dropping-particle":"","parse-names":false,"suffix":""},{"dropping-particle":"","family":"Agmon","given":"V","non-dropping-particle":"","parse-names":false,"suffix":""},{"dropping-particle":"","family":"Schuldiner","given":"S","non-dropping-particle":"","parse-names":false,"suffix":""},{"dropping-particle":"","family":"Padan","given":"E","non-dropping-particle":"","parse-names":false,"suffix":""}],"container-title":"Journal of bacteriology","id":"ITEM-1","issue":"1","issued":{"date-parts":[["1984","4"]]},"language":"eng","page":"246-252","publisher-place":"United States","title":"Escherichia coli intracellular pH, membrane potential, and cell growth.","type":"article-journal","volume":"158"},"uris":["http://www.mendeley.com/documents/?uuid=bc8c522d-e574-4114-aa37-2e3aaf357c5d","http://www.mendeley.com/documents/?uuid=0917eca2-0ce2-49df-9d22-828b80445099"]}],"mendeley":{"formattedCitation":"(Zilberstein &lt;i&gt;et al&lt;/i&gt;, 1984)","plainTextFormattedCitation":"(Zilberstein et al, 1984)","previouslyFormattedCitation":"(Zilberstein &lt;i&gt;et al&lt;/i&gt;, 1984)"},"properties":{"noteIndex":0},"schema":"https://github.com/citation-style-language/schema/raw/master/csl-citation.json"}</w:instrText>
      </w:r>
      <w:r w:rsidR="00CA2E64" w:rsidRPr="00E97FC1">
        <w:rPr>
          <w:rFonts w:cs="Times New Roman"/>
          <w:szCs w:val="24"/>
          <w:lang w:val="en-GB"/>
        </w:rPr>
        <w:fldChar w:fldCharType="separate"/>
      </w:r>
      <w:r w:rsidR="00E55873" w:rsidRPr="00E97FC1">
        <w:rPr>
          <w:rFonts w:cs="Times New Roman"/>
          <w:noProof/>
          <w:szCs w:val="24"/>
          <w:lang w:val="en-GB"/>
        </w:rPr>
        <w:t xml:space="preserve">(Zilberstein </w:t>
      </w:r>
      <w:r w:rsidR="00E55873" w:rsidRPr="00E97FC1">
        <w:rPr>
          <w:rFonts w:cs="Times New Roman"/>
          <w:i/>
          <w:noProof/>
          <w:szCs w:val="24"/>
          <w:lang w:val="en-GB"/>
        </w:rPr>
        <w:t>et al</w:t>
      </w:r>
      <w:r w:rsidR="00E55873" w:rsidRPr="00E97FC1">
        <w:rPr>
          <w:rFonts w:cs="Times New Roman"/>
          <w:noProof/>
          <w:szCs w:val="24"/>
          <w:lang w:val="en-GB"/>
        </w:rPr>
        <w:t>, 1984)</w:t>
      </w:r>
      <w:r w:rsidR="00CA2E64" w:rsidRPr="00E97FC1">
        <w:rPr>
          <w:rFonts w:cs="Times New Roman"/>
          <w:szCs w:val="24"/>
          <w:lang w:val="en-GB"/>
        </w:rPr>
        <w:fldChar w:fldCharType="end"/>
      </w:r>
      <w:r w:rsidRPr="00E97FC1">
        <w:rPr>
          <w:rFonts w:cs="Times New Roman"/>
          <w:szCs w:val="24"/>
          <w:lang w:val="en-GB"/>
        </w:rPr>
        <w:t xml:space="preserve">, therefore the increased proportion of closed state at higher pH likely reflects on the </w:t>
      </w:r>
      <w:r w:rsidRPr="00E97FC1">
        <w:rPr>
          <w:rFonts w:cs="Times New Roman"/>
          <w:i/>
          <w:szCs w:val="24"/>
          <w:lang w:val="en-GB"/>
        </w:rPr>
        <w:t>in vivo</w:t>
      </w:r>
      <w:r w:rsidRPr="00E97FC1">
        <w:rPr>
          <w:rFonts w:cs="Times New Roman"/>
          <w:szCs w:val="24"/>
          <w:lang w:val="en-GB"/>
        </w:rPr>
        <w:t xml:space="preserve"> situation.</w:t>
      </w:r>
    </w:p>
    <w:p w14:paraId="3A2F060A" w14:textId="77777777" w:rsidR="009C0734" w:rsidRPr="00E97FC1" w:rsidRDefault="009C0734" w:rsidP="00CE3E6F">
      <w:pPr>
        <w:rPr>
          <w:lang w:val="en-GB"/>
        </w:rPr>
      </w:pPr>
    </w:p>
    <w:p w14:paraId="390776FD" w14:textId="17A67AF5" w:rsidR="003C3D28" w:rsidRPr="00E97FC1" w:rsidRDefault="003C3D28" w:rsidP="00F016AD">
      <w:pPr>
        <w:pStyle w:val="Heading2"/>
      </w:pPr>
      <w:bookmarkStart w:id="128" w:name="_Toc132640018"/>
      <w:r w:rsidRPr="00E97FC1">
        <w:t>A universal coupling mechanism</w:t>
      </w:r>
      <w:bookmarkEnd w:id="128"/>
    </w:p>
    <w:p w14:paraId="6E6C9B14" w14:textId="3E848285" w:rsidR="00E00AD5" w:rsidRPr="00E97FC1" w:rsidRDefault="00E00AD5" w:rsidP="00CE3E6F">
      <w:pPr>
        <w:ind w:firstLine="720"/>
        <w:rPr>
          <w:rFonts w:cs="Times New Roman"/>
          <w:szCs w:val="24"/>
          <w:lang w:val="en-GB"/>
        </w:rPr>
      </w:pPr>
      <w:r w:rsidRPr="00E97FC1">
        <w:rPr>
          <w:rFonts w:cs="Times New Roman"/>
          <w:szCs w:val="24"/>
          <w:lang w:val="en-GB"/>
        </w:rPr>
        <w:t xml:space="preserve">On the basis of a compendium of our bacterial and mammalian enzyme </w:t>
      </w:r>
      <w:r w:rsidR="0084125E" w:rsidRPr="00E97FC1">
        <w:rPr>
          <w:rFonts w:cs="Times New Roman"/>
          <w:szCs w:val="24"/>
          <w:lang w:val="en-GB"/>
        </w:rPr>
        <w:t>structures and mutagenesis data</w:t>
      </w:r>
      <w:r w:rsidR="00F44B2C" w:rsidRPr="00E97FC1">
        <w:rPr>
          <w:rFonts w:cs="Times New Roman"/>
          <w:szCs w:val="24"/>
          <w:lang w:val="en-GB"/>
        </w:rPr>
        <w:t xml:space="preserve"> </w:t>
      </w:r>
      <w:r w:rsidR="0084125E" w:rsidRPr="00E97FC1">
        <w:rPr>
          <w:rFonts w:cs="Times New Roman"/>
          <w:szCs w:val="24"/>
          <w:lang w:val="en-GB"/>
        </w:rPr>
        <w:t>(Appendix</w:t>
      </w:r>
      <w:r w:rsidR="00E80E22" w:rsidRPr="00E97FC1">
        <w:rPr>
          <w:rFonts w:cs="Times New Roman"/>
          <w:szCs w:val="24"/>
          <w:lang w:val="en-GB"/>
        </w:rPr>
        <w:t xml:space="preserve"> 5</w:t>
      </w:r>
      <w:r w:rsidRPr="00E97FC1">
        <w:rPr>
          <w:rFonts w:cs="Times New Roman"/>
          <w:szCs w:val="24"/>
          <w:lang w:val="en-GB"/>
        </w:rPr>
        <w:t xml:space="preserve">) we propose the universal, applicable to all species, “domino effect” mechanism of complex I, depicted in </w:t>
      </w:r>
      <w:r w:rsidR="0084125E" w:rsidRPr="00E97FC1">
        <w:rPr>
          <w:rFonts w:cs="Times New Roman"/>
          <w:szCs w:val="24"/>
          <w:lang w:val="en-GB"/>
        </w:rPr>
        <w:t>Figure 3.10</w:t>
      </w:r>
      <w:r w:rsidRPr="00E97FC1">
        <w:rPr>
          <w:rFonts w:cs="Times New Roman"/>
          <w:szCs w:val="24"/>
          <w:lang w:val="en-GB"/>
        </w:rPr>
        <w:t xml:space="preserve">. In essence, quinone/quinol binding and release happen in the open state (Steps 1, 4-5), enabled by waters coming via site W. The cycle starts with Step 1, where quinone binds and initiates the transition to the closed state (Step 2). Quinone is reduced and two protons are taken from the central MA axis to complete the reaction, which results in the re-distribution of protons, so that key TM12 residues are protonated and the charge is switched between TM5 and TM7 residues (Step 3). This is a highly energised state, akin to stacked dominos ready to fall. In the transition to open state, TM8 residues are protonated from the cytoplasm (Step 4), and </w:t>
      </w:r>
      <w:r w:rsidRPr="00E97FC1">
        <w:rPr>
          <w:rFonts w:cs="Times New Roman"/>
          <w:szCs w:val="24"/>
          <w:vertAlign w:val="subscript"/>
          <w:lang w:val="en-GB"/>
        </w:rPr>
        <w:t>L</w:t>
      </w:r>
      <w:r w:rsidRPr="00E97FC1">
        <w:rPr>
          <w:rFonts w:cs="Times New Roman"/>
          <w:szCs w:val="24"/>
          <w:lang w:val="en-GB"/>
        </w:rPr>
        <w:t xml:space="preserve">TM12 proton is ejected into the periplasm due to electrostatic interactions. This initiates a series of proton transfers along the central axis due to appearance of a “vacancy” on the “left” of the chain and the electrostatic “pressure” of the incoming proton from the “right” (Step 5), akin to stacked dominoes falling. This results in four protons in total ejected from NuoL and the cycle re-starting. </w:t>
      </w:r>
    </w:p>
    <w:p w14:paraId="57863FEE" w14:textId="77777777" w:rsidR="000D7EDA" w:rsidRPr="00E97FC1" w:rsidRDefault="000D7EDA" w:rsidP="00CE3E6F">
      <w:pPr>
        <w:ind w:firstLine="720"/>
        <w:rPr>
          <w:rFonts w:cs="Times New Roman"/>
          <w:szCs w:val="24"/>
          <w:lang w:val="en-GB"/>
        </w:rPr>
      </w:pPr>
      <w:r w:rsidRPr="00E97FC1">
        <w:rPr>
          <w:rFonts w:cs="Times New Roman"/>
          <w:noProof/>
          <w:szCs w:val="24"/>
        </w:rPr>
        <w:lastRenderedPageBreak/>
        <w:drawing>
          <wp:inline distT="0" distB="0" distL="0" distR="0" wp14:anchorId="33F52789" wp14:editId="5EFA7F7F">
            <wp:extent cx="5104737" cy="3448016"/>
            <wp:effectExtent l="0" t="0" r="127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110728" cy="3452063"/>
                    </a:xfrm>
                    <a:prstGeom prst="rect">
                      <a:avLst/>
                    </a:prstGeom>
                    <a:noFill/>
                    <a:ln>
                      <a:noFill/>
                    </a:ln>
                  </pic:spPr>
                </pic:pic>
              </a:graphicData>
            </a:graphic>
          </wp:inline>
        </w:drawing>
      </w:r>
    </w:p>
    <w:p w14:paraId="544F7C6E" w14:textId="3891EA50" w:rsidR="000D7EDA" w:rsidRPr="00E97FC1" w:rsidRDefault="00B837E8" w:rsidP="00CE3E6F">
      <w:pPr>
        <w:pStyle w:val="Caption"/>
      </w:pPr>
      <w:bookmarkStart w:id="129" w:name="_Toc121834121"/>
      <w:bookmarkStart w:id="130" w:name="_Toc128136638"/>
      <w:r w:rsidRPr="00E97FC1">
        <w:t xml:space="preserve">Figure </w:t>
      </w:r>
      <w:r w:rsidR="00CC7652">
        <w:fldChar w:fldCharType="begin"/>
      </w:r>
      <w:r w:rsidR="00CC7652">
        <w:instrText xml:space="preserve"> STYLEREF 1 \s </w:instrText>
      </w:r>
      <w:r w:rsidR="00CC7652">
        <w:fldChar w:fldCharType="separate"/>
      </w:r>
      <w:r w:rsidR="00ED1816">
        <w:rPr>
          <w:noProof/>
        </w:rPr>
        <w:t>3</w:t>
      </w:r>
      <w:r w:rsidR="00CC7652">
        <w:fldChar w:fldCharType="end"/>
      </w:r>
      <w:r w:rsidR="00CC7652">
        <w:t>.</w:t>
      </w:r>
      <w:r w:rsidR="00CC7652">
        <w:fldChar w:fldCharType="begin"/>
      </w:r>
      <w:r w:rsidR="00CC7652">
        <w:instrText xml:space="preserve"> SEQ Figure \* ARABIC \s 1 </w:instrText>
      </w:r>
      <w:r w:rsidR="00CC7652">
        <w:fldChar w:fldCharType="separate"/>
      </w:r>
      <w:r w:rsidR="00ED1816">
        <w:rPr>
          <w:noProof/>
        </w:rPr>
        <w:t>10</w:t>
      </w:r>
      <w:r w:rsidR="00CC7652">
        <w:fldChar w:fldCharType="end"/>
      </w:r>
      <w:r w:rsidR="007C3E6E" w:rsidRPr="00E97FC1">
        <w:t xml:space="preserve"> A “domino effect” coupling mechanism of complex I.</w:t>
      </w:r>
      <w:bookmarkEnd w:id="129"/>
      <w:bookmarkEnd w:id="130"/>
    </w:p>
    <w:p w14:paraId="0865622E" w14:textId="4D834BD1" w:rsidR="007C3E6E" w:rsidRPr="00E97FC1" w:rsidRDefault="007C3E6E" w:rsidP="00CE3E6F">
      <w:pPr>
        <w:rPr>
          <w:rFonts w:cs="Times New Roman"/>
          <w:i/>
          <w:sz w:val="20"/>
          <w:szCs w:val="24"/>
          <w:lang w:val="en-GB"/>
        </w:rPr>
      </w:pPr>
      <w:r w:rsidRPr="00E97FC1">
        <w:rPr>
          <w:rFonts w:cs="Times New Roman"/>
          <w:i/>
          <w:sz w:val="20"/>
          <w:szCs w:val="24"/>
          <w:lang w:val="en-GB"/>
        </w:rPr>
        <w:t xml:space="preserve">An overview of the proposed complex I mechanism. Individual steps involve conformational changes around Q cavity / E-channel and electrostatic interactions in antiporters NuoL/M/N, as described in the text. Complex I cycles between the open state (Steps 1, 4 and 5), where the Q cavity is widened and opened both to the lipid bilayer (Q) and to the cytosol (W), and the closed state (Steps 2 and 3), where the Q cavity is enclosed and tightly engulfs the bound quinone. NADH oxidation and electron transfer in PA in Step 2 are fast and not rate-limiting. Charged quinone intermediate is indicated by the red headgroup, and quinol by the grey-filled headgroup. The charged residues on the MA central axis are indicated in blue for lysines and in red for glutamates/aspartates. For clarity, the protonated forms are shown with a + sign and un-protonated are empty (although the actual charge would be +/0 for lysine and 0/- for glutamate/aspartate). The key helices in antiporters are indicated by their numbers. In the open state the water wire between the Q cavity and the central axis in the E-channel is broken at </w:t>
      </w:r>
      <w:r w:rsidRPr="00E97FC1">
        <w:rPr>
          <w:rFonts w:cs="Times New Roman"/>
          <w:i/>
          <w:sz w:val="20"/>
          <w:szCs w:val="24"/>
          <w:vertAlign w:val="subscript"/>
          <w:lang w:val="en-GB"/>
        </w:rPr>
        <w:t>J</w:t>
      </w:r>
      <w:r w:rsidRPr="00E97FC1">
        <w:rPr>
          <w:rFonts w:cs="Times New Roman"/>
          <w:i/>
          <w:sz w:val="20"/>
          <w:szCs w:val="24"/>
          <w:lang w:val="en-GB"/>
        </w:rPr>
        <w:t xml:space="preserve">TM3 (indicated as J3). The connection is established in the closed state due to </w:t>
      </w:r>
      <w:r w:rsidRPr="00E97FC1">
        <w:rPr>
          <w:rFonts w:cs="Times New Roman"/>
          <w:i/>
          <w:sz w:val="20"/>
          <w:szCs w:val="24"/>
          <w:vertAlign w:val="subscript"/>
          <w:lang w:val="en-GB"/>
        </w:rPr>
        <w:t>J</w:t>
      </w:r>
      <w:r w:rsidRPr="00E97FC1">
        <w:rPr>
          <w:rFonts w:cs="Times New Roman"/>
          <w:i/>
          <w:sz w:val="20"/>
          <w:szCs w:val="24"/>
          <w:lang w:val="en-GB"/>
        </w:rPr>
        <w:t xml:space="preserve">TM3 rotation. Black arrows indicate proton transfer, including re-distribution along the central axis. Access from the cytosol happens only via NuoL/M and the exit into the periplasm only via NuoL. Electrostatic interactions, resulting in the ejection of four protons into periplasm in Step 5, are indicated as red dashes in Step 4. Figure </w:t>
      </w:r>
      <w:r w:rsidR="00D07557" w:rsidRPr="00E97FC1">
        <w:rPr>
          <w:rFonts w:cs="Times New Roman"/>
          <w:i/>
          <w:sz w:val="20"/>
          <w:szCs w:val="24"/>
          <w:lang w:val="en-GB"/>
        </w:rPr>
        <w:t>adapted from</w:t>
      </w:r>
      <w:r w:rsidRPr="00E97FC1">
        <w:rPr>
          <w:rFonts w:cs="Times New Roman"/>
          <w:i/>
          <w:sz w:val="20"/>
          <w:szCs w:val="24"/>
          <w:lang w:val="en-GB"/>
        </w:rPr>
        <w:t xml:space="preserve"> </w:t>
      </w:r>
      <w:r w:rsidRPr="00E97FC1">
        <w:rPr>
          <w:rFonts w:cs="Times New Roman"/>
          <w:i/>
          <w:sz w:val="20"/>
          <w:szCs w:val="24"/>
          <w:lang w:val="en-GB"/>
        </w:rPr>
        <w:fldChar w:fldCharType="begin" w:fldLock="1"/>
      </w:r>
      <w:r w:rsidR="00776703" w:rsidRPr="00E97FC1">
        <w:rPr>
          <w:rFonts w:cs="Times New Roman"/>
          <w:i/>
          <w:sz w:val="20"/>
          <w:szCs w:val="24"/>
          <w:lang w:val="en-GB"/>
        </w:rPr>
        <w:instrText>ADDIN CSL_CITATION {"citationItems":[{"id":"ITEM-1","itemData":{"DOI":"10.1038/s41586-022-05199-7","ISSN":"1476-4687 (Electronic)","PMID":"36104567","abstract":"Complex I is the first enzyme in the respiratory chain, which is responsible for  energy production in mitochondria and bacteria(1). Complex I couples the transfer of two electrons from NADH to quinone and the translocation of four protons across the membrane(2), but the coupling mechanism remains contentious. Here we present cryo-electron microscopy structures of Escherichia coli complex I (EcCI) in different redox states, including catalytic turnover. EcCI exists mostly in the open state, in which the quinone cavity is exposed to the cytosol, allowing access for water molecules, which enable quinone movements. Unlike the mammalian paralogues(3), EcCI can convert to the closed state only during turnover, showing that closed and open states are genuine turnover intermediates. The open-to-closed transition results in the tightly engulfed quinone cavity being connected to the central axis of the membrane arm, a source of substrate protons. Consistently, the proportion of the closed state increases with increasing pH. We propose a detailed but straightforward and robust mechanism comprising a 'domino effect' series of proton transfers and electrostatic interactions: the forward wave ('dominoes stacking') primes the pump, and the reverse wave ('dominoes falling') results in the ejection of all pumped protons from the distal subunit NuoL. This mechanism explains why protons exit exclusively from the NuoL subunit and is supported by our mutagenesis data. We contend that this is a universal coupling mechanism of complex I and related enzymes.","author":[{"dropping-particle":"","family":"Kravchuk","given":"Vladyslav","non-dropping-particle":"","parse-names":false,"suffix":""},{"dropping-particle":"","family":"Petrova","given":"Olga","non-dropping-particle":"","parse-names":false,"suffix":""},{"dropping-particle":"","family":"Kampjut","given":"Domen","non-dropping-particle":"","parse-names":false,"suffix":""},{"dropping-particle":"","family":"Wojciechowska-Bason","given":"Anna","non-dropping-particle":"","parse-names":false,"suffix":""},{"dropping-particle":"","family":"Breese","given":"Zara","non-dropping-particle":"","parse-names":false,"suffix":""},{"dropping-particle":"","family":"Sazanov","given":"Leonid","non-dropping-particle":"","parse-names":false,"suffix":""}],"container-title":"Nature","id":"ITEM-1","issue":"7928","issued":{"date-parts":[["2022","9"]]},"language":"eng","page":"808-814","publisher-place":"England","title":"A universal coupling mechanism of respiratory complex I.","type":"article-journal","volume":"609"},"uris":["http://www.mendeley.com/documents/?uuid=24646b16-1332-4c29-8894-c41094c65033"]}],"mendeley":{"formattedCitation":"(Kravchuk &lt;i&gt;et al&lt;/i&gt;, 2022)","plainTextFormattedCitation":"(Kravchuk et al, 2022)","previouslyFormattedCitation":"(Kravchuk &lt;i&gt;et al&lt;/i&gt;, 2022)"},"properties":{"noteIndex":0},"schema":"https://github.com/citation-style-language/schema/raw/master/csl-citation.json"}</w:instrText>
      </w:r>
      <w:r w:rsidRPr="00E97FC1">
        <w:rPr>
          <w:rFonts w:cs="Times New Roman"/>
          <w:i/>
          <w:sz w:val="20"/>
          <w:szCs w:val="24"/>
          <w:lang w:val="en-GB"/>
        </w:rPr>
        <w:fldChar w:fldCharType="separate"/>
      </w:r>
      <w:r w:rsidR="00E55873" w:rsidRPr="00E97FC1">
        <w:rPr>
          <w:rFonts w:cs="Times New Roman"/>
          <w:noProof/>
          <w:sz w:val="20"/>
          <w:szCs w:val="24"/>
          <w:lang w:val="en-GB"/>
        </w:rPr>
        <w:t xml:space="preserve">(Kravchuk </w:t>
      </w:r>
      <w:r w:rsidR="00E55873" w:rsidRPr="00E97FC1">
        <w:rPr>
          <w:rFonts w:cs="Times New Roman"/>
          <w:i/>
          <w:noProof/>
          <w:sz w:val="20"/>
          <w:szCs w:val="24"/>
          <w:lang w:val="en-GB"/>
        </w:rPr>
        <w:t>et al</w:t>
      </w:r>
      <w:r w:rsidR="00E55873" w:rsidRPr="00E97FC1">
        <w:rPr>
          <w:rFonts w:cs="Times New Roman"/>
          <w:noProof/>
          <w:sz w:val="20"/>
          <w:szCs w:val="24"/>
          <w:lang w:val="en-GB"/>
        </w:rPr>
        <w:t>, 2022)</w:t>
      </w:r>
      <w:r w:rsidRPr="00E97FC1">
        <w:rPr>
          <w:rFonts w:cs="Times New Roman"/>
          <w:i/>
          <w:sz w:val="20"/>
          <w:szCs w:val="24"/>
          <w:lang w:val="en-GB"/>
        </w:rPr>
        <w:fldChar w:fldCharType="end"/>
      </w:r>
      <w:r w:rsidRPr="00E97FC1">
        <w:rPr>
          <w:rFonts w:cs="Times New Roman"/>
          <w:i/>
          <w:sz w:val="20"/>
          <w:szCs w:val="24"/>
          <w:lang w:val="en-GB"/>
        </w:rPr>
        <w:t>.</w:t>
      </w:r>
    </w:p>
    <w:p w14:paraId="3EB6D6E8" w14:textId="77777777" w:rsidR="00891860" w:rsidRPr="00E97FC1" w:rsidRDefault="00891860" w:rsidP="00CE3E6F">
      <w:pPr>
        <w:ind w:firstLine="720"/>
        <w:rPr>
          <w:rFonts w:cs="Times New Roman"/>
          <w:szCs w:val="24"/>
          <w:lang w:val="en-GB"/>
        </w:rPr>
      </w:pPr>
    </w:p>
    <w:p w14:paraId="7AC0E17E" w14:textId="2B4A0B8E" w:rsidR="005E0A54" w:rsidRDefault="00E00AD5" w:rsidP="00CE3E6F">
      <w:pPr>
        <w:ind w:firstLine="720"/>
        <w:rPr>
          <w:rFonts w:cs="Times New Roman"/>
          <w:szCs w:val="24"/>
          <w:lang w:val="en-GB"/>
        </w:rPr>
      </w:pPr>
      <w:r w:rsidRPr="00E97FC1">
        <w:rPr>
          <w:rFonts w:cs="Times New Roman"/>
          <w:szCs w:val="24"/>
          <w:lang w:val="en-GB"/>
        </w:rPr>
        <w:t xml:space="preserve">The </w:t>
      </w:r>
      <w:r w:rsidR="005E0A54">
        <w:rPr>
          <w:rFonts w:cs="Times New Roman"/>
          <w:szCs w:val="24"/>
          <w:lang w:val="en-GB"/>
        </w:rPr>
        <w:t xml:space="preserve">detailed </w:t>
      </w:r>
      <w:r w:rsidRPr="00E97FC1">
        <w:rPr>
          <w:rFonts w:cs="Times New Roman"/>
          <w:szCs w:val="24"/>
          <w:lang w:val="en-GB"/>
        </w:rPr>
        <w:t>sequence of events in the proposed mechanism is as follows (</w:t>
      </w:r>
      <w:r w:rsidR="0084125E" w:rsidRPr="00E97FC1">
        <w:rPr>
          <w:rFonts w:cs="Times New Roman"/>
          <w:szCs w:val="24"/>
          <w:lang w:val="en-GB"/>
        </w:rPr>
        <w:t>Figure 3.10</w:t>
      </w:r>
      <w:r w:rsidRPr="00E97FC1">
        <w:rPr>
          <w:rFonts w:cs="Times New Roman"/>
          <w:szCs w:val="24"/>
          <w:lang w:val="en-GB"/>
        </w:rPr>
        <w:t>).</w:t>
      </w:r>
      <w:r w:rsidRPr="00E97FC1">
        <w:rPr>
          <w:rFonts w:cs="Times New Roman"/>
          <w:b/>
          <w:szCs w:val="24"/>
          <w:lang w:val="en-GB"/>
        </w:rPr>
        <w:t xml:space="preserve"> (Step 1)</w:t>
      </w:r>
      <w:r w:rsidRPr="00E97FC1">
        <w:rPr>
          <w:rFonts w:cs="Times New Roman"/>
          <w:szCs w:val="24"/>
          <w:lang w:val="en-GB"/>
        </w:rPr>
        <w:t xml:space="preserve"> Much of the time the enzyme spends in the open (or open-ready) state, waiting for quinone from the membrane pool to enter and temporarily bind in the Q</w:t>
      </w:r>
      <w:r w:rsidRPr="00E97FC1">
        <w:rPr>
          <w:rFonts w:cs="Times New Roman"/>
          <w:szCs w:val="24"/>
          <w:vertAlign w:val="subscript"/>
          <w:lang w:val="en-GB"/>
        </w:rPr>
        <w:t>m</w:t>
      </w:r>
      <w:r w:rsidRPr="00E97FC1">
        <w:rPr>
          <w:rFonts w:cs="Times New Roman"/>
          <w:szCs w:val="24"/>
          <w:lang w:val="en-GB"/>
        </w:rPr>
        <w:t xml:space="preserve"> (bacterial) or Q</w:t>
      </w:r>
      <w:r w:rsidRPr="00E97FC1">
        <w:rPr>
          <w:rFonts w:cs="Times New Roman"/>
          <w:szCs w:val="24"/>
          <w:vertAlign w:val="subscript"/>
          <w:lang w:val="en-GB"/>
        </w:rPr>
        <w:t>s</w:t>
      </w:r>
      <w:r w:rsidRPr="00E97FC1">
        <w:rPr>
          <w:rFonts w:cs="Times New Roman"/>
          <w:szCs w:val="24"/>
          <w:lang w:val="en-GB"/>
        </w:rPr>
        <w:t xml:space="preserve"> (mammalian) site near the entrance. Site W is open for waters to flow out of the cavity and give space to the incoming quinone, while the Q cavity is expanded to allow for the unimpeded quinone entry. We propose that in this state the ALS are maximally protonated at the key </w:t>
      </w:r>
      <w:r w:rsidRPr="00E97FC1">
        <w:rPr>
          <w:rFonts w:cs="Times New Roman"/>
          <w:i/>
          <w:szCs w:val="24"/>
          <w:lang w:val="en-GB"/>
        </w:rPr>
        <w:t>TM8</w:t>
      </w:r>
      <w:r w:rsidRPr="00E97FC1">
        <w:rPr>
          <w:rFonts w:cs="Times New Roman"/>
          <w:szCs w:val="24"/>
          <w:lang w:val="en-GB"/>
        </w:rPr>
        <w:t xml:space="preserve"> </w:t>
      </w:r>
      <w:r w:rsidRPr="00E97FC1">
        <w:rPr>
          <w:rFonts w:cs="Times New Roman"/>
          <w:szCs w:val="24"/>
          <w:lang w:val="en-GB"/>
        </w:rPr>
        <w:lastRenderedPageBreak/>
        <w:t xml:space="preserve">sites (Lys/HisTM8) by protons coming into NuoL/NuoM from the cytoplasm (or mitochondrial matrix) and redistributed along the central axis into NuoN and part of the E-channel harbouring </w:t>
      </w:r>
      <w:r w:rsidRPr="00E97FC1">
        <w:rPr>
          <w:rFonts w:cs="Times New Roman"/>
          <w:szCs w:val="24"/>
          <w:vertAlign w:val="subscript"/>
          <w:lang w:val="en-GB"/>
        </w:rPr>
        <w:t>K</w:t>
      </w:r>
      <w:r w:rsidRPr="00E97FC1">
        <w:rPr>
          <w:rFonts w:cs="Times New Roman"/>
          <w:szCs w:val="24"/>
          <w:lang w:val="en-GB"/>
        </w:rPr>
        <w:t xml:space="preserve">E72 and </w:t>
      </w:r>
      <w:r w:rsidRPr="00E97FC1">
        <w:rPr>
          <w:rFonts w:cs="Times New Roman"/>
          <w:szCs w:val="24"/>
          <w:vertAlign w:val="subscript"/>
          <w:lang w:val="en-GB"/>
        </w:rPr>
        <w:t>K</w:t>
      </w:r>
      <w:r w:rsidRPr="00E97FC1">
        <w:rPr>
          <w:rFonts w:cs="Times New Roman"/>
          <w:szCs w:val="24"/>
          <w:lang w:val="en-GB"/>
        </w:rPr>
        <w:t xml:space="preserve">E36 (for simplicity we indicate any protonated residues just by a “+” sign). The rest of the E-channel is disconnected from this chain at </w:t>
      </w:r>
      <w:r w:rsidRPr="00E97FC1">
        <w:rPr>
          <w:rFonts w:cs="Times New Roman"/>
          <w:szCs w:val="24"/>
          <w:vertAlign w:val="subscript"/>
          <w:lang w:val="en-GB"/>
        </w:rPr>
        <w:t>J</w:t>
      </w:r>
      <w:r w:rsidRPr="00E97FC1">
        <w:rPr>
          <w:rFonts w:cs="Times New Roman"/>
          <w:szCs w:val="24"/>
          <w:lang w:val="en-GB"/>
        </w:rPr>
        <w:t xml:space="preserve">TM3, preventing proton leak into the Q cavity and back to the cytosol. This may be important because protons are quite scarce in the cytosol. For the closely interacting </w:t>
      </w:r>
      <w:r w:rsidRPr="00E97FC1">
        <w:rPr>
          <w:rFonts w:cs="Times New Roman"/>
          <w:i/>
          <w:szCs w:val="24"/>
          <w:lang w:val="en-GB"/>
        </w:rPr>
        <w:t>TM7/TM5</w:t>
      </w:r>
      <w:r w:rsidRPr="00E97FC1">
        <w:rPr>
          <w:rFonts w:cs="Times New Roman"/>
          <w:szCs w:val="24"/>
          <w:lang w:val="en-GB"/>
        </w:rPr>
        <w:t xml:space="preserve"> sites (LysTM7/GluTM5), the proton is proposed to reside in </w:t>
      </w:r>
      <w:r w:rsidRPr="00E97FC1">
        <w:rPr>
          <w:rFonts w:cs="Times New Roman"/>
          <w:i/>
          <w:szCs w:val="24"/>
          <w:lang w:val="en-GB"/>
        </w:rPr>
        <w:t>TM5</w:t>
      </w:r>
      <w:r w:rsidRPr="00E97FC1">
        <w:rPr>
          <w:rFonts w:cs="Times New Roman"/>
          <w:szCs w:val="24"/>
          <w:lang w:val="en-GB"/>
        </w:rPr>
        <w:t xml:space="preserve"> site, as suggested by our observations in </w:t>
      </w:r>
      <w:r w:rsidRPr="00E97FC1">
        <w:rPr>
          <w:rFonts w:cs="Times New Roman"/>
          <w:i/>
          <w:szCs w:val="24"/>
          <w:lang w:val="en-GB"/>
        </w:rPr>
        <w:t>Ec</w:t>
      </w:r>
      <w:r w:rsidRPr="00E97FC1">
        <w:rPr>
          <w:rFonts w:cs="Times New Roman"/>
          <w:szCs w:val="24"/>
          <w:lang w:val="en-GB"/>
        </w:rPr>
        <w:t>CI (</w:t>
      </w:r>
      <w:r w:rsidR="0084125E" w:rsidRPr="00E97FC1">
        <w:rPr>
          <w:rFonts w:cs="Times New Roman"/>
          <w:szCs w:val="24"/>
          <w:lang w:val="en-GB"/>
        </w:rPr>
        <w:t>Figure 3.</w:t>
      </w:r>
      <w:r w:rsidR="000F12F2">
        <w:rPr>
          <w:rFonts w:cs="Times New Roman"/>
          <w:szCs w:val="24"/>
          <w:lang w:val="en-GB"/>
        </w:rPr>
        <w:t>8</w:t>
      </w:r>
      <w:r w:rsidR="0084125E" w:rsidRPr="00E97FC1">
        <w:rPr>
          <w:rFonts w:cs="Times New Roman"/>
          <w:szCs w:val="24"/>
          <w:lang w:val="en-GB"/>
        </w:rPr>
        <w:t>c</w:t>
      </w:r>
      <w:r w:rsidRPr="00E97FC1">
        <w:rPr>
          <w:rFonts w:cs="Times New Roman"/>
          <w:szCs w:val="24"/>
          <w:lang w:val="en-GB"/>
        </w:rPr>
        <w:t xml:space="preserve">) and </w:t>
      </w:r>
      <w:r w:rsidRPr="00E97FC1">
        <w:rPr>
          <w:rFonts w:cs="Times New Roman"/>
          <w:i/>
          <w:szCs w:val="24"/>
          <w:lang w:val="en-GB"/>
        </w:rPr>
        <w:t>Oa</w:t>
      </w:r>
      <w:r w:rsidRPr="00E97FC1">
        <w:rPr>
          <w:rFonts w:cs="Times New Roman"/>
          <w:szCs w:val="24"/>
          <w:lang w:val="en-GB"/>
        </w:rPr>
        <w:t>CI (if only the density of glutamates is considered</w:t>
      </w:r>
      <w:r w:rsidR="0002170B" w:rsidRPr="00E97FC1">
        <w:rPr>
          <w:rFonts w:cs="Times New Roman"/>
          <w:szCs w:val="24"/>
          <w:lang w:val="en-GB"/>
        </w:rPr>
        <w:t xml:space="preserve"> </w:t>
      </w:r>
      <w:r w:rsidR="00346DE4" w:rsidRPr="00E97FC1">
        <w:rPr>
          <w:rFonts w:cs="Times New Roman"/>
          <w:szCs w:val="24"/>
          <w:lang w:val="en-GB"/>
        </w:rPr>
        <w:fldChar w:fldCharType="begin" w:fldLock="1"/>
      </w:r>
      <w:r w:rsidR="00E55873" w:rsidRPr="00E97FC1">
        <w:rPr>
          <w:rFonts w:cs="Times New Roman"/>
          <w:szCs w:val="24"/>
          <w:lang w:val="en-GB"/>
        </w:rPr>
        <w:instrText>ADDIN CSL_CITATION {"citationItems":[{"id":"ITEM-1","itemData":{"DOI":"10.1126/science.abc4209","ISSN":"1095-9203 (Electronic)","PMID":"32972993","abstract":"Mitochondrial complex I couples NADH:ubiquinone oxidoreduction to proton pumping by  an unknown mechanism. Here, we present cryo-electron microscopy structures of ovine complex I in five different conditions, including turnover, at resolutions up to 2.3 to 2.5 angstroms. Resolved water molecules allowed us to experimentally define the proton translocation pathways. Quinone binds at three positions along the quinone cavity, as does the inhibitor rotenone that also binds within subunit ND4. Dramatic conformational changes around the quinone cavity couple the redox reaction to proton translocation during open-to-closed state transitions of the enzyme. In the induced deactive state, the open conformation is arrested by the ND6 subunit. We propose a detailed molecular coupling mechanism of complex I, which is an unexpected combination of conformational changes and electrostatic interactions.","author":[{"dropping-particle":"","family":"Kampjut","given":"Domen","non-dropping-particle":"","parse-names":false,"suffix":""},{"dropping-particle":"","family":"Sazanov","given":"Leonid A","non-dropping-particle":"","parse-names":false,"suffix":""}],"container-title":"Science (New York, N.Y.)","id":"ITEM-1","issue":"6516","issued":{"date-parts":[["2020","10"]]},"language":"eng","publisher-place":"United States","title":"The coupling mechanism of mammalian respiratory complex I.","type":"article-journal","volume":"370"},"uris":["http://www.mendeley.com/documents/?uuid=7ba13959-8c17-4313-8227-becdec77971c"]}],"mendeley":{"formattedCitation":"(Kampjut &amp; Sazanov, 2020)","plainTextFormattedCitation":"(Kampjut &amp; Sazanov, 2020)","previouslyFormattedCitation":"(Kampjut &amp; Sazanov, 2020)"},"properties":{"noteIndex":0},"schema":"https://github.com/citation-style-language/schema/raw/master/csl-citation.json"}</w:instrText>
      </w:r>
      <w:r w:rsidR="00346DE4" w:rsidRPr="00E97FC1">
        <w:rPr>
          <w:rFonts w:cs="Times New Roman"/>
          <w:szCs w:val="24"/>
          <w:lang w:val="en-GB"/>
        </w:rPr>
        <w:fldChar w:fldCharType="separate"/>
      </w:r>
      <w:r w:rsidR="00E55873" w:rsidRPr="00E97FC1">
        <w:rPr>
          <w:rFonts w:cs="Times New Roman"/>
          <w:noProof/>
          <w:szCs w:val="24"/>
          <w:lang w:val="en-GB"/>
        </w:rPr>
        <w:t>(Kampjut &amp; Sazanov, 2020)</w:t>
      </w:r>
      <w:r w:rsidR="00346DE4" w:rsidRPr="00E97FC1">
        <w:rPr>
          <w:rFonts w:cs="Times New Roman"/>
          <w:szCs w:val="24"/>
          <w:lang w:val="en-GB"/>
        </w:rPr>
        <w:fldChar w:fldCharType="end"/>
      </w:r>
      <w:r w:rsidRPr="00E97FC1">
        <w:rPr>
          <w:rFonts w:cs="Times New Roman"/>
          <w:szCs w:val="24"/>
          <w:lang w:val="en-GB"/>
        </w:rPr>
        <w:t xml:space="preserve">). The </w:t>
      </w:r>
      <w:r w:rsidRPr="00E97FC1">
        <w:rPr>
          <w:rFonts w:cs="Times New Roman"/>
          <w:i/>
          <w:szCs w:val="24"/>
          <w:lang w:val="en-GB"/>
        </w:rPr>
        <w:t>TM12</w:t>
      </w:r>
      <w:r w:rsidRPr="00E97FC1">
        <w:rPr>
          <w:rFonts w:cs="Times New Roman"/>
          <w:szCs w:val="24"/>
          <w:lang w:val="en-GB"/>
        </w:rPr>
        <w:t xml:space="preserve"> (Lys/GluTM12) sites are proposed to have a lower </w:t>
      </w:r>
      <w:r w:rsidRPr="00E97FC1">
        <w:rPr>
          <w:rFonts w:cs="Times New Roman"/>
          <w:i/>
          <w:szCs w:val="24"/>
          <w:lang w:val="en-GB"/>
        </w:rPr>
        <w:t>pK</w:t>
      </w:r>
      <w:r w:rsidRPr="00E97FC1">
        <w:rPr>
          <w:rFonts w:cs="Times New Roman"/>
          <w:szCs w:val="24"/>
          <w:lang w:val="en-GB"/>
        </w:rPr>
        <w:t>a and tuned to remain unprotonated in this state due to electrostatic interactions with protonated</w:t>
      </w:r>
      <w:r w:rsidRPr="00E97FC1">
        <w:rPr>
          <w:rFonts w:cs="Times New Roman"/>
          <w:i/>
          <w:szCs w:val="24"/>
          <w:lang w:val="en-GB"/>
        </w:rPr>
        <w:t xml:space="preserve"> TM8</w:t>
      </w:r>
      <w:r w:rsidRPr="00E97FC1">
        <w:rPr>
          <w:rFonts w:cs="Times New Roman"/>
          <w:szCs w:val="24"/>
          <w:lang w:val="en-GB"/>
        </w:rPr>
        <w:t xml:space="preserve"> and </w:t>
      </w:r>
      <w:r w:rsidRPr="00E97FC1">
        <w:rPr>
          <w:rFonts w:cs="Times New Roman"/>
          <w:i/>
          <w:szCs w:val="24"/>
          <w:lang w:val="en-GB"/>
        </w:rPr>
        <w:t>TM5</w:t>
      </w:r>
      <w:r w:rsidRPr="00E97FC1">
        <w:rPr>
          <w:rFonts w:cs="Times New Roman"/>
          <w:szCs w:val="24"/>
          <w:lang w:val="en-GB"/>
        </w:rPr>
        <w:t xml:space="preserve"> sites. The exception is NuoL </w:t>
      </w:r>
      <w:r w:rsidRPr="00E97FC1">
        <w:rPr>
          <w:rFonts w:cs="Times New Roman"/>
          <w:i/>
          <w:szCs w:val="24"/>
          <w:lang w:val="en-GB"/>
        </w:rPr>
        <w:t>TM12</w:t>
      </w:r>
      <w:r w:rsidRPr="00E97FC1">
        <w:rPr>
          <w:rFonts w:cs="Times New Roman"/>
          <w:szCs w:val="24"/>
          <w:lang w:val="en-GB"/>
        </w:rPr>
        <w:t xml:space="preserve"> site, proposed to be protonated as it is distal and so does not have a </w:t>
      </w:r>
      <w:r w:rsidRPr="00E97FC1">
        <w:rPr>
          <w:rFonts w:cs="Times New Roman"/>
          <w:i/>
          <w:szCs w:val="24"/>
          <w:lang w:val="en-GB"/>
        </w:rPr>
        <w:t>TM5</w:t>
      </w:r>
      <w:r w:rsidRPr="00E97FC1">
        <w:rPr>
          <w:rFonts w:cs="Times New Roman"/>
          <w:szCs w:val="24"/>
          <w:lang w:val="en-GB"/>
        </w:rPr>
        <w:t xml:space="preserve"> partner from a neighbouring subunit. </w:t>
      </w:r>
      <w:r w:rsidRPr="00E97FC1">
        <w:rPr>
          <w:rFonts w:cs="Times New Roman"/>
          <w:b/>
          <w:szCs w:val="24"/>
          <w:lang w:val="en-GB"/>
        </w:rPr>
        <w:t>(Step 2)</w:t>
      </w:r>
      <w:r w:rsidRPr="00E97FC1">
        <w:rPr>
          <w:rFonts w:cs="Times New Roman"/>
          <w:szCs w:val="24"/>
          <w:lang w:val="en-GB"/>
        </w:rPr>
        <w:t xml:space="preserve"> Bound quinone traverses into the Q</w:t>
      </w:r>
      <w:r w:rsidRPr="00E97FC1">
        <w:rPr>
          <w:rFonts w:cs="Times New Roman"/>
          <w:szCs w:val="24"/>
          <w:vertAlign w:val="subscript"/>
          <w:lang w:val="en-GB"/>
        </w:rPr>
        <w:t>d</w:t>
      </w:r>
      <w:r w:rsidRPr="00E97FC1">
        <w:rPr>
          <w:rFonts w:cs="Times New Roman"/>
          <w:szCs w:val="24"/>
          <w:lang w:val="en-GB"/>
        </w:rPr>
        <w:t xml:space="preserve"> site, triggering the open-to-closed transition, so that the W site is closed off and the Q cavity tightly engulfs quinone. </w:t>
      </w:r>
      <w:r w:rsidRPr="00E97FC1">
        <w:rPr>
          <w:rFonts w:cs="Times New Roman"/>
          <w:szCs w:val="24"/>
          <w:vertAlign w:val="subscript"/>
          <w:lang w:val="en-GB"/>
        </w:rPr>
        <w:t>J</w:t>
      </w:r>
      <w:r w:rsidRPr="00E97FC1">
        <w:rPr>
          <w:rFonts w:cs="Times New Roman"/>
          <w:szCs w:val="24"/>
          <w:lang w:val="en-GB"/>
        </w:rPr>
        <w:t>TM3 rotates, establishing the uninterrupted proton path from the Q cavity all the way to MA tip. Quinone accepts two electrons from cluster N2 in quick succession</w:t>
      </w:r>
      <w:r w:rsidR="0002170B" w:rsidRPr="00E97FC1">
        <w:rPr>
          <w:rFonts w:cs="Times New Roman"/>
          <w:szCs w:val="24"/>
          <w:lang w:val="en-GB"/>
        </w:rPr>
        <w:t xml:space="preserve"> </w:t>
      </w:r>
      <w:r w:rsidR="00346DE4" w:rsidRPr="00E97FC1">
        <w:rPr>
          <w:rFonts w:cs="Times New Roman"/>
          <w:szCs w:val="24"/>
          <w:lang w:val="en-GB"/>
        </w:rPr>
        <w:fldChar w:fldCharType="begin" w:fldLock="1"/>
      </w:r>
      <w:r w:rsidR="00776703" w:rsidRPr="00E97FC1">
        <w:rPr>
          <w:rFonts w:cs="Times New Roman"/>
          <w:szCs w:val="24"/>
          <w:lang w:val="en-GB"/>
        </w:rPr>
        <w:instrText>ADDIN CSL_CITATION {"citationItems":[{"id":"ITEM-1","itemData":{"DOI":"10.1073/pnas.0711249105","ISSN":"1091-6490 (Electronic)","PMID":"18316732","abstract":"Electron transfer in complex I from Escherichia coli was investigated by an ultrafast freeze-quench approach. The reaction of complex I with NADH was stopped in the time domain from 90 mus to 8 ms and analyzed by electron paramagnetic resonance (EPR) spectroscopy at low temperatures. The data show that after binding of the first molecule of NADH, two electrons move via the FMN cofactor to the iron-sulfur (Fe/S) centers N1a and N2 with an apparent time constant of approximately 90 mus, implying that these two centers should have the highest redox potential in the enzyme. The rate of reduction of center N2 (the last center in the electron transfer sequence) is close to that predicted by electron transfer theory, which argues for the absence of coupled proton transfer or conformational changes during electron transfer from FMN to N2. After fast reduction of N1a and N2, we observe a slow, approximately 1-ms component of reduction of other Fe/S clusters. Because all elementary electron transfer rates between clusters are several orders of magnitude higher than this observed rate, we conclude that the millisecond component is limited by a single process corresponding to dissociation of the oxidized NAD(+) molecule from its binding site, where it prevents entry of the next NADH molecule. Despite the presence of approximately one ubiquinone per enzyme molecule, no transient semiquinone formation was observed, which has mechanistic implications, suggesting a high thermodynamic barrier for ubiquinone reduction to the semiquinone radical. Possible consequences of these findings for the proton translocation mechanism are discussed.","author":[{"dropping-particle":"","family":"Verkhovskaya","given":"Marina L","non-dropping-particle":"","parse-names":false,"suffix":""},{"dropping-particle":"","family":"Belevich","given":"Nikolai","non-dropping-particle":"","parse-names":false,"suffix":""},{"dropping-particle":"","family":"Euro","given":"Liliya","non-dropping-particle":"","parse-names":false,"suffix":""},{"dropping-particle":"","family":"Wikstrom","given":"Marten","non-dropping-particle":"","parse-names":false,"suffix":""},{"dropping-particle":"","family":"Verkhovsky","given":"Michael I","non-dropping-particle":"","parse-names":false,"suffix":""}],"container-title":"Proceedings of the National Academy of Sciences of the United States of America","id":"ITEM-1","issue":"10","issued":{"date-parts":[["2008","3"]]},"language":"eng","page":"3763-3767","publisher-place":"United States","title":"Real-time electron transfer in respiratory complex I.","type":"article-journal","volume":"105"},"uris":["http://www.mendeley.com/documents/?uuid=bec1b7ae-53a5-42a0-a072-89ef82bfcf3f"]}],"mendeley":{"formattedCitation":"(Verkhovskaya &lt;i&gt;et al&lt;/i&gt;, 2008)","plainTextFormattedCitation":"(Verkhovskaya et al, 2008)","previouslyFormattedCitation":"(Verkhovskaya &lt;i&gt;et al&lt;/i&gt;, 2008)"},"properties":{"noteIndex":0},"schema":"https://github.com/citation-style-language/schema/raw/master/csl-citation.json"}</w:instrText>
      </w:r>
      <w:r w:rsidR="00346DE4" w:rsidRPr="00E97FC1">
        <w:rPr>
          <w:rFonts w:cs="Times New Roman"/>
          <w:szCs w:val="24"/>
          <w:lang w:val="en-GB"/>
        </w:rPr>
        <w:fldChar w:fldCharType="separate"/>
      </w:r>
      <w:r w:rsidR="00E55873" w:rsidRPr="00E97FC1">
        <w:rPr>
          <w:rFonts w:cs="Times New Roman"/>
          <w:noProof/>
          <w:szCs w:val="24"/>
          <w:lang w:val="en-GB"/>
        </w:rPr>
        <w:t xml:space="preserve">(Verkhovskaya </w:t>
      </w:r>
      <w:r w:rsidR="00E55873" w:rsidRPr="00E97FC1">
        <w:rPr>
          <w:rFonts w:cs="Times New Roman"/>
          <w:i/>
          <w:noProof/>
          <w:szCs w:val="24"/>
          <w:lang w:val="en-GB"/>
        </w:rPr>
        <w:t>et al</w:t>
      </w:r>
      <w:r w:rsidR="00E55873" w:rsidRPr="00E97FC1">
        <w:rPr>
          <w:rFonts w:cs="Times New Roman"/>
          <w:noProof/>
          <w:szCs w:val="24"/>
          <w:lang w:val="en-GB"/>
        </w:rPr>
        <w:t>, 2008)</w:t>
      </w:r>
      <w:r w:rsidR="00346DE4" w:rsidRPr="00E97FC1">
        <w:rPr>
          <w:rFonts w:cs="Times New Roman"/>
          <w:szCs w:val="24"/>
          <w:lang w:val="en-GB"/>
        </w:rPr>
        <w:fldChar w:fldCharType="end"/>
      </w:r>
      <w:r w:rsidRPr="00E97FC1">
        <w:rPr>
          <w:rFonts w:cs="Times New Roman"/>
          <w:szCs w:val="24"/>
          <w:lang w:val="en-GB"/>
        </w:rPr>
        <w:t xml:space="preserve">, and the unstable charged quinone intermediate is immediately protonated by the coordinating </w:t>
      </w:r>
      <w:r w:rsidRPr="00E97FC1">
        <w:rPr>
          <w:rFonts w:cs="Times New Roman"/>
          <w:szCs w:val="24"/>
          <w:vertAlign w:val="subscript"/>
          <w:lang w:val="en-GB"/>
        </w:rPr>
        <w:t>CD</w:t>
      </w:r>
      <w:r w:rsidRPr="00E97FC1">
        <w:rPr>
          <w:rFonts w:cs="Times New Roman"/>
          <w:szCs w:val="24"/>
          <w:lang w:val="en-GB"/>
        </w:rPr>
        <w:t>H228/</w:t>
      </w:r>
      <w:r w:rsidRPr="00E97FC1">
        <w:rPr>
          <w:rFonts w:cs="Times New Roman"/>
          <w:szCs w:val="24"/>
          <w:vertAlign w:val="subscript"/>
          <w:lang w:val="en-GB"/>
        </w:rPr>
        <w:t>CD</w:t>
      </w:r>
      <w:r w:rsidRPr="00E97FC1">
        <w:rPr>
          <w:rFonts w:cs="Times New Roman"/>
          <w:szCs w:val="24"/>
          <w:lang w:val="en-GB"/>
        </w:rPr>
        <w:t xml:space="preserve">D329, creating a double negative charge in the area. Since the Q cavity is sealed, the protons for the re-protonation of </w:t>
      </w:r>
      <w:r w:rsidRPr="00E97FC1">
        <w:rPr>
          <w:rFonts w:cs="Times New Roman"/>
          <w:szCs w:val="24"/>
          <w:vertAlign w:val="subscript"/>
          <w:lang w:val="en-GB"/>
        </w:rPr>
        <w:t>CD</w:t>
      </w:r>
      <w:r w:rsidRPr="00E97FC1">
        <w:rPr>
          <w:rFonts w:cs="Times New Roman"/>
          <w:szCs w:val="24"/>
          <w:lang w:val="en-GB"/>
        </w:rPr>
        <w:t>H228/</w:t>
      </w:r>
      <w:r w:rsidRPr="00E97FC1">
        <w:rPr>
          <w:rFonts w:cs="Times New Roman"/>
          <w:szCs w:val="24"/>
          <w:vertAlign w:val="subscript"/>
          <w:lang w:val="en-GB"/>
        </w:rPr>
        <w:t>CD</w:t>
      </w:r>
      <w:r w:rsidRPr="00E97FC1">
        <w:rPr>
          <w:rFonts w:cs="Times New Roman"/>
          <w:szCs w:val="24"/>
          <w:lang w:val="en-GB"/>
        </w:rPr>
        <w:t>D329 come from the central axis. The available redox energy from quinone chemistry appears to be sufficient to displace at least four (</w:t>
      </w:r>
      <w:r w:rsidRPr="00E97FC1">
        <w:rPr>
          <w:rFonts w:cs="Times New Roman"/>
          <w:szCs w:val="24"/>
          <w:vertAlign w:val="subscript"/>
          <w:lang w:val="en-GB"/>
        </w:rPr>
        <w:t>H</w:t>
      </w:r>
      <w:r w:rsidRPr="00E97FC1">
        <w:rPr>
          <w:rFonts w:cs="Times New Roman"/>
          <w:szCs w:val="24"/>
          <w:lang w:val="en-GB"/>
        </w:rPr>
        <w:t xml:space="preserve">E157, </w:t>
      </w:r>
      <w:r w:rsidRPr="00E97FC1">
        <w:rPr>
          <w:rFonts w:cs="Times New Roman"/>
          <w:szCs w:val="24"/>
          <w:vertAlign w:val="subscript"/>
          <w:lang w:val="en-GB"/>
        </w:rPr>
        <w:t>A</w:t>
      </w:r>
      <w:r w:rsidRPr="00E97FC1">
        <w:rPr>
          <w:rFonts w:cs="Times New Roman"/>
          <w:szCs w:val="24"/>
          <w:lang w:val="en-GB"/>
        </w:rPr>
        <w:t xml:space="preserve">D79, </w:t>
      </w:r>
      <w:r w:rsidRPr="00E97FC1">
        <w:rPr>
          <w:rFonts w:cs="Times New Roman"/>
          <w:szCs w:val="24"/>
          <w:vertAlign w:val="subscript"/>
          <w:lang w:val="en-GB"/>
        </w:rPr>
        <w:t>K</w:t>
      </w:r>
      <w:r w:rsidRPr="00E97FC1">
        <w:rPr>
          <w:rFonts w:cs="Times New Roman"/>
          <w:szCs w:val="24"/>
          <w:lang w:val="en-GB"/>
        </w:rPr>
        <w:t xml:space="preserve">E36 and </w:t>
      </w:r>
      <w:r w:rsidRPr="00E97FC1">
        <w:rPr>
          <w:rFonts w:cs="Times New Roman"/>
          <w:szCs w:val="24"/>
          <w:vertAlign w:val="subscript"/>
          <w:lang w:val="en-GB"/>
        </w:rPr>
        <w:t>N</w:t>
      </w:r>
      <w:r w:rsidRPr="00E97FC1">
        <w:rPr>
          <w:rFonts w:cs="Times New Roman"/>
          <w:szCs w:val="24"/>
          <w:lang w:val="en-GB"/>
        </w:rPr>
        <w:t>E133 (</w:t>
      </w:r>
      <w:r w:rsidR="00A2053B">
        <w:rPr>
          <w:rFonts w:cs="Times New Roman"/>
          <w:szCs w:val="24"/>
          <w:lang w:val="en-GB"/>
        </w:rPr>
        <w:t>Figure 3.8</w:t>
      </w:r>
      <w:r w:rsidRPr="00E97FC1">
        <w:rPr>
          <w:rFonts w:cs="Times New Roman"/>
          <w:szCs w:val="24"/>
          <w:lang w:val="en-GB"/>
        </w:rPr>
        <w:t xml:space="preserve">c)) protons along the central axis, as they are not transferred against the pmf. Two of these are substrate protons and the rest may be shifted towards the Q site to enhance the charge action signal near NuoN. </w:t>
      </w:r>
      <w:r w:rsidRPr="00E97FC1">
        <w:rPr>
          <w:rFonts w:cs="Times New Roman"/>
          <w:b/>
          <w:szCs w:val="24"/>
          <w:lang w:val="en-GB"/>
        </w:rPr>
        <w:t>(Step 3)</w:t>
      </w:r>
      <w:r w:rsidRPr="00E97FC1">
        <w:rPr>
          <w:rFonts w:cs="Times New Roman"/>
          <w:szCs w:val="24"/>
          <w:lang w:val="en-GB"/>
        </w:rPr>
        <w:t xml:space="preserve"> In a “minimal” interpretation (Occam's razor) of the subsequent events, de-protonation of the E-channel residues first triggers proton transfer from </w:t>
      </w:r>
      <w:r w:rsidRPr="00E97FC1">
        <w:rPr>
          <w:rFonts w:cs="Times New Roman"/>
          <w:i/>
          <w:szCs w:val="24"/>
          <w:lang w:val="en-GB"/>
        </w:rPr>
        <w:t>TM8</w:t>
      </w:r>
      <w:r w:rsidRPr="00E97FC1">
        <w:rPr>
          <w:rFonts w:cs="Times New Roman"/>
          <w:szCs w:val="24"/>
          <w:lang w:val="en-GB"/>
        </w:rPr>
        <w:t xml:space="preserve"> to </w:t>
      </w:r>
      <w:r w:rsidRPr="00E97FC1">
        <w:rPr>
          <w:rFonts w:cs="Times New Roman"/>
          <w:i/>
          <w:szCs w:val="24"/>
          <w:lang w:val="en-GB"/>
        </w:rPr>
        <w:t>TM7</w:t>
      </w:r>
      <w:r w:rsidRPr="00E97FC1">
        <w:rPr>
          <w:rFonts w:cs="Times New Roman"/>
          <w:szCs w:val="24"/>
          <w:lang w:val="en-GB"/>
        </w:rPr>
        <w:t xml:space="preserve"> site in NuoN, due to the removal of large positive charge around </w:t>
      </w:r>
      <w:r w:rsidRPr="00E97FC1">
        <w:rPr>
          <w:rFonts w:cs="Times New Roman"/>
          <w:i/>
          <w:szCs w:val="24"/>
          <w:lang w:val="en-GB"/>
        </w:rPr>
        <w:t>TM5</w:t>
      </w:r>
      <w:r w:rsidRPr="00E97FC1">
        <w:rPr>
          <w:rFonts w:cs="Times New Roman"/>
          <w:szCs w:val="24"/>
          <w:lang w:val="en-GB"/>
        </w:rPr>
        <w:t xml:space="preserve"> area. In a series of “domino effect” events, the removal of </w:t>
      </w:r>
      <w:r w:rsidRPr="00E97FC1">
        <w:rPr>
          <w:rFonts w:cs="Times New Roman"/>
          <w:szCs w:val="24"/>
          <w:vertAlign w:val="subscript"/>
          <w:lang w:val="en-GB"/>
        </w:rPr>
        <w:t>N</w:t>
      </w:r>
      <w:r w:rsidRPr="00E97FC1">
        <w:rPr>
          <w:rFonts w:cs="Times New Roman"/>
          <w:i/>
          <w:szCs w:val="24"/>
          <w:lang w:val="en-GB"/>
        </w:rPr>
        <w:t>TM8</w:t>
      </w:r>
      <w:r w:rsidRPr="00E97FC1">
        <w:rPr>
          <w:rFonts w:cs="Times New Roman"/>
          <w:szCs w:val="24"/>
          <w:lang w:val="en-GB"/>
        </w:rPr>
        <w:t xml:space="preserve"> charge allows </w:t>
      </w:r>
      <w:r w:rsidRPr="00E97FC1">
        <w:rPr>
          <w:rFonts w:cs="Times New Roman"/>
          <w:szCs w:val="24"/>
          <w:vertAlign w:val="subscript"/>
          <w:lang w:val="en-GB"/>
        </w:rPr>
        <w:t>M</w:t>
      </w:r>
      <w:r w:rsidRPr="00E97FC1">
        <w:rPr>
          <w:rFonts w:cs="Times New Roman"/>
          <w:i/>
          <w:szCs w:val="24"/>
          <w:lang w:val="en-GB"/>
        </w:rPr>
        <w:t>TM5</w:t>
      </w:r>
      <w:r w:rsidRPr="00E97FC1">
        <w:rPr>
          <w:rFonts w:cs="Times New Roman"/>
          <w:szCs w:val="24"/>
          <w:lang w:val="en-GB"/>
        </w:rPr>
        <w:t xml:space="preserve"> proton to hop on </w:t>
      </w:r>
      <w:r w:rsidRPr="00E97FC1">
        <w:rPr>
          <w:rFonts w:cs="Times New Roman"/>
          <w:szCs w:val="24"/>
          <w:vertAlign w:val="subscript"/>
          <w:lang w:val="en-GB"/>
        </w:rPr>
        <w:t>N</w:t>
      </w:r>
      <w:r w:rsidRPr="00E97FC1">
        <w:rPr>
          <w:rFonts w:cs="Times New Roman"/>
          <w:i/>
          <w:szCs w:val="24"/>
          <w:lang w:val="en-GB"/>
        </w:rPr>
        <w:t>TM12</w:t>
      </w:r>
      <w:r w:rsidRPr="00E97FC1">
        <w:rPr>
          <w:rFonts w:cs="Times New Roman"/>
          <w:szCs w:val="24"/>
          <w:lang w:val="en-GB"/>
        </w:rPr>
        <w:t xml:space="preserve"> site, repeated in NuoM/L by </w:t>
      </w:r>
      <w:r w:rsidRPr="00E97FC1">
        <w:rPr>
          <w:rFonts w:cs="Times New Roman"/>
          <w:szCs w:val="24"/>
          <w:vertAlign w:val="subscript"/>
          <w:lang w:val="en-GB"/>
        </w:rPr>
        <w:t>M</w:t>
      </w:r>
      <w:r w:rsidRPr="00E97FC1">
        <w:rPr>
          <w:rFonts w:cs="Times New Roman"/>
          <w:i/>
          <w:szCs w:val="24"/>
          <w:lang w:val="en-GB"/>
        </w:rPr>
        <w:t>TM8</w:t>
      </w:r>
      <w:r w:rsidRPr="00E97FC1">
        <w:rPr>
          <w:rFonts w:cs="Times New Roman"/>
          <w:szCs w:val="24"/>
          <w:lang w:val="en-GB"/>
        </w:rPr>
        <w:t xml:space="preserve"> to </w:t>
      </w:r>
      <w:r w:rsidRPr="00E97FC1">
        <w:rPr>
          <w:rFonts w:cs="Times New Roman"/>
          <w:szCs w:val="24"/>
          <w:vertAlign w:val="subscript"/>
          <w:lang w:val="en-GB"/>
        </w:rPr>
        <w:t>M</w:t>
      </w:r>
      <w:r w:rsidRPr="00E97FC1">
        <w:rPr>
          <w:rFonts w:cs="Times New Roman"/>
          <w:i/>
          <w:szCs w:val="24"/>
          <w:lang w:val="en-GB"/>
        </w:rPr>
        <w:t>TM7</w:t>
      </w:r>
      <w:r w:rsidRPr="00E97FC1">
        <w:rPr>
          <w:rFonts w:cs="Times New Roman"/>
          <w:szCs w:val="24"/>
          <w:lang w:val="en-GB"/>
        </w:rPr>
        <w:t xml:space="preserve">, </w:t>
      </w:r>
      <w:r w:rsidRPr="00E97FC1">
        <w:rPr>
          <w:rFonts w:cs="Times New Roman"/>
          <w:szCs w:val="24"/>
          <w:vertAlign w:val="subscript"/>
          <w:lang w:val="en-GB"/>
        </w:rPr>
        <w:t>L</w:t>
      </w:r>
      <w:r w:rsidRPr="00E97FC1">
        <w:rPr>
          <w:rFonts w:cs="Times New Roman"/>
          <w:i/>
          <w:szCs w:val="24"/>
          <w:lang w:val="en-GB"/>
        </w:rPr>
        <w:t>TM5</w:t>
      </w:r>
      <w:r w:rsidRPr="00E97FC1">
        <w:rPr>
          <w:rFonts w:cs="Times New Roman"/>
          <w:szCs w:val="24"/>
          <w:lang w:val="en-GB"/>
        </w:rPr>
        <w:t xml:space="preserve"> to </w:t>
      </w:r>
      <w:r w:rsidRPr="00E97FC1">
        <w:rPr>
          <w:rFonts w:cs="Times New Roman"/>
          <w:szCs w:val="24"/>
          <w:vertAlign w:val="subscript"/>
          <w:lang w:val="en-GB"/>
        </w:rPr>
        <w:t>M</w:t>
      </w:r>
      <w:r w:rsidRPr="00E97FC1">
        <w:rPr>
          <w:rFonts w:cs="Times New Roman"/>
          <w:i/>
          <w:szCs w:val="24"/>
          <w:lang w:val="en-GB"/>
        </w:rPr>
        <w:t>TM12</w:t>
      </w:r>
      <w:r w:rsidRPr="00E97FC1">
        <w:rPr>
          <w:rFonts w:cs="Times New Roman"/>
          <w:szCs w:val="24"/>
          <w:lang w:val="en-GB"/>
        </w:rPr>
        <w:t xml:space="preserve"> and </w:t>
      </w:r>
      <w:r w:rsidRPr="00E97FC1">
        <w:rPr>
          <w:rFonts w:cs="Times New Roman"/>
          <w:szCs w:val="24"/>
          <w:vertAlign w:val="subscript"/>
          <w:lang w:val="en-GB"/>
        </w:rPr>
        <w:t>L</w:t>
      </w:r>
      <w:r w:rsidRPr="00E97FC1">
        <w:rPr>
          <w:rFonts w:cs="Times New Roman"/>
          <w:i/>
          <w:szCs w:val="24"/>
          <w:lang w:val="en-GB"/>
        </w:rPr>
        <w:t>TM8</w:t>
      </w:r>
      <w:r w:rsidRPr="00E97FC1">
        <w:rPr>
          <w:rFonts w:cs="Times New Roman"/>
          <w:szCs w:val="24"/>
          <w:lang w:val="en-GB"/>
        </w:rPr>
        <w:t xml:space="preserve"> to </w:t>
      </w:r>
      <w:r w:rsidRPr="00E97FC1">
        <w:rPr>
          <w:rFonts w:cs="Times New Roman"/>
          <w:szCs w:val="24"/>
          <w:vertAlign w:val="subscript"/>
          <w:lang w:val="en-GB"/>
        </w:rPr>
        <w:t>L</w:t>
      </w:r>
      <w:r w:rsidRPr="00E97FC1">
        <w:rPr>
          <w:rFonts w:cs="Times New Roman"/>
          <w:i/>
          <w:szCs w:val="24"/>
          <w:lang w:val="en-GB"/>
        </w:rPr>
        <w:t>TM7</w:t>
      </w:r>
      <w:r w:rsidRPr="00E97FC1">
        <w:rPr>
          <w:rFonts w:cs="Times New Roman"/>
          <w:szCs w:val="24"/>
          <w:lang w:val="en-GB"/>
        </w:rPr>
        <w:t xml:space="preserve"> hops. De-wetting of the </w:t>
      </w:r>
      <w:r w:rsidRPr="00E97FC1">
        <w:rPr>
          <w:rFonts w:cs="Times New Roman"/>
          <w:i/>
          <w:szCs w:val="24"/>
          <w:lang w:val="en-GB"/>
        </w:rPr>
        <w:t xml:space="preserve">TM8 </w:t>
      </w:r>
      <w:r w:rsidRPr="00E97FC1">
        <w:rPr>
          <w:rFonts w:cs="Times New Roman"/>
          <w:szCs w:val="24"/>
          <w:lang w:val="en-GB"/>
        </w:rPr>
        <w:t>area due to de-protonation, as observed in MD simulations</w:t>
      </w:r>
      <w:r w:rsidR="00061E8F" w:rsidRPr="00E97FC1">
        <w:rPr>
          <w:rFonts w:cs="Times New Roman"/>
          <w:szCs w:val="24"/>
          <w:lang w:val="en-GB"/>
        </w:rPr>
        <w:t xml:space="preserve"> </w:t>
      </w:r>
      <w:r w:rsidR="00346DE4" w:rsidRPr="00E97FC1">
        <w:rPr>
          <w:rFonts w:cs="Times New Roman"/>
          <w:szCs w:val="24"/>
          <w:lang w:val="en-GB"/>
        </w:rPr>
        <w:fldChar w:fldCharType="begin" w:fldLock="1"/>
      </w:r>
      <w:r w:rsidR="00776703" w:rsidRPr="00E97FC1">
        <w:rPr>
          <w:rFonts w:cs="Times New Roman"/>
          <w:szCs w:val="24"/>
          <w:lang w:val="en-GB"/>
        </w:rPr>
        <w:instrText>ADDIN CSL_CITATION {"citationItems":[{"id":"ITEM-1","itemData":{"DOI":"10.1021/jacs.0c02789","ISSN":"1520-5126 (Electronic)","PMID":"32643371","abstract":"The respiratory complex I transduces redox energy into an electrochemical proton  gradient in aerobic respiratory chains, powering energy-requiring processes in the cell. However, despite recently resolved molecular structures, the mechanism of this gigantic enzyme remains poorly understood. By combining large-scale quantum and classical simulations with site-directed mutagenesis and biophysical experiments, we show here how the conformational state of buried ion-pairs and water molecules control the protonation dynamics in the membrane domain of complex I and establish evolutionary conserved long-range coupling elements. We suggest that an electrostatic wave propagates in forward and reverse directions across the 200 Å long membrane domain during enzyme turnover, without significant dissipation of energy. Our findings demonstrate molecular principles that enable efficient long-range proton-electron coupling (PCET) and how perturbation of this PCET machinery may lead to development of mitochondrial disease.","author":[{"dropping-particle":"","family":"Mühlbauer","given":"Max E","non-dropping-particle":"","parse-names":false,"suffix":""},{"dropping-particle":"","family":"Saura","given":"Patricia","non-dropping-particle":"","parse-names":false,"suffix":""},{"dropping-particle":"","family":"Nuber","given":"Franziska","non-dropping-particle":"","parse-names":false,"suffix":""},{"dropping-particle":"","family":"Luca","given":"Andrea","non-dropping-particle":"Di","parse-names":false,"suffix":""},{"dropping-particle":"","family":"Friedrich","given":"Thorsten","non-dropping-particle":"","parse-names":false,"suffix":""},{"dropping-particle":"","family":"Kaila","given":"Ville R I","non-dropping-particle":"","parse-names":false,"suffix":""}],"container-title":"Journal of the American Chemical Society","id":"ITEM-1","issue":"32","issued":{"date-parts":[["2020","8"]]},"language":"eng","page":"13718-13728","publisher-place":"United States","title":"Water-Gated Proton Transfer Dynamics in Respiratory Complex I.","type":"article-journal","volume":"142"},"uris":["http://www.mendeley.com/documents/?uuid=956184aa-289f-4d83-85dc-7a47abd53d33"]}],"mendeley":{"formattedCitation":"(Mühlbauer &lt;i&gt;et al&lt;/i&gt;, 2020)","plainTextFormattedCitation":"(Mühlbauer et al, 2020)","previouslyFormattedCitation":"(Mühlbauer &lt;i&gt;et al&lt;/i&gt;, 2020)"},"properties":{"noteIndex":0},"schema":"https://github.com/citation-style-language/schema/raw/master/csl-citation.json"}</w:instrText>
      </w:r>
      <w:r w:rsidR="00346DE4" w:rsidRPr="00E97FC1">
        <w:rPr>
          <w:rFonts w:cs="Times New Roman"/>
          <w:szCs w:val="24"/>
          <w:lang w:val="en-GB"/>
        </w:rPr>
        <w:fldChar w:fldCharType="separate"/>
      </w:r>
      <w:r w:rsidR="00E55873" w:rsidRPr="00E97FC1">
        <w:rPr>
          <w:rFonts w:cs="Times New Roman"/>
          <w:noProof/>
          <w:szCs w:val="24"/>
          <w:lang w:val="en-GB"/>
        </w:rPr>
        <w:t xml:space="preserve">(Mühlbauer </w:t>
      </w:r>
      <w:r w:rsidR="00E55873" w:rsidRPr="00E97FC1">
        <w:rPr>
          <w:rFonts w:cs="Times New Roman"/>
          <w:i/>
          <w:noProof/>
          <w:szCs w:val="24"/>
          <w:lang w:val="en-GB"/>
        </w:rPr>
        <w:t>et al</w:t>
      </w:r>
      <w:r w:rsidR="00E55873" w:rsidRPr="00E97FC1">
        <w:rPr>
          <w:rFonts w:cs="Times New Roman"/>
          <w:noProof/>
          <w:szCs w:val="24"/>
          <w:lang w:val="en-GB"/>
        </w:rPr>
        <w:t>, 2020)</w:t>
      </w:r>
      <w:r w:rsidR="00346DE4" w:rsidRPr="00E97FC1">
        <w:rPr>
          <w:rFonts w:cs="Times New Roman"/>
          <w:szCs w:val="24"/>
          <w:lang w:val="en-GB"/>
        </w:rPr>
        <w:fldChar w:fldCharType="end"/>
      </w:r>
      <w:r w:rsidRPr="00E97FC1">
        <w:rPr>
          <w:rFonts w:cs="Times New Roman"/>
          <w:szCs w:val="24"/>
          <w:lang w:val="en-GB"/>
        </w:rPr>
        <w:t>, would prevent the back-flow of protons.</w:t>
      </w:r>
      <w:r w:rsidRPr="00E97FC1">
        <w:rPr>
          <w:rFonts w:cs="Times New Roman"/>
          <w:b/>
          <w:szCs w:val="24"/>
          <w:lang w:val="en-GB"/>
        </w:rPr>
        <w:t xml:space="preserve"> </w:t>
      </w:r>
      <w:r w:rsidRPr="00E97FC1">
        <w:rPr>
          <w:rFonts w:cs="Times New Roman"/>
          <w:szCs w:val="24"/>
          <w:lang w:val="en-GB"/>
        </w:rPr>
        <w:t xml:space="preserve">Effectively, due to the “forcefully” protonated </w:t>
      </w:r>
      <w:r w:rsidRPr="00E97FC1">
        <w:rPr>
          <w:rFonts w:cs="Times New Roman"/>
          <w:i/>
          <w:szCs w:val="24"/>
          <w:lang w:val="en-GB"/>
        </w:rPr>
        <w:t>TM12</w:t>
      </w:r>
      <w:r w:rsidRPr="00E97FC1">
        <w:rPr>
          <w:rFonts w:cs="Times New Roman"/>
          <w:szCs w:val="24"/>
          <w:lang w:val="en-GB"/>
        </w:rPr>
        <w:t xml:space="preserve"> sites and a shift of proton from </w:t>
      </w:r>
      <w:r w:rsidRPr="00E97FC1">
        <w:rPr>
          <w:rFonts w:cs="Times New Roman"/>
          <w:i/>
          <w:szCs w:val="24"/>
          <w:lang w:val="en-GB"/>
        </w:rPr>
        <w:t>TM5</w:t>
      </w:r>
      <w:r w:rsidRPr="00E97FC1">
        <w:rPr>
          <w:rFonts w:cs="Times New Roman"/>
          <w:szCs w:val="24"/>
          <w:lang w:val="en-GB"/>
        </w:rPr>
        <w:t xml:space="preserve"> to </w:t>
      </w:r>
      <w:r w:rsidRPr="00E97FC1">
        <w:rPr>
          <w:rFonts w:cs="Times New Roman"/>
          <w:i/>
          <w:szCs w:val="24"/>
          <w:lang w:val="en-GB"/>
        </w:rPr>
        <w:t>TM7</w:t>
      </w:r>
      <w:r w:rsidRPr="00E97FC1">
        <w:rPr>
          <w:rFonts w:cs="Times New Roman"/>
          <w:szCs w:val="24"/>
          <w:lang w:val="en-GB"/>
        </w:rPr>
        <w:t xml:space="preserve"> sites the enzyme will now be in a highly energised state, akin to a loaded spring or stacked dominos ready to fall. </w:t>
      </w:r>
      <w:r w:rsidRPr="00E97FC1">
        <w:rPr>
          <w:rFonts w:cs="Times New Roman"/>
          <w:b/>
          <w:szCs w:val="24"/>
          <w:lang w:val="en-GB"/>
        </w:rPr>
        <w:t>(Step 4)</w:t>
      </w:r>
      <w:r w:rsidRPr="00E97FC1">
        <w:rPr>
          <w:rFonts w:cs="Times New Roman"/>
          <w:szCs w:val="24"/>
          <w:lang w:val="en-GB"/>
        </w:rPr>
        <w:t xml:space="preserve"> The presence of the freshly produced quinol in the Q</w:t>
      </w:r>
      <w:r w:rsidRPr="00E97FC1">
        <w:rPr>
          <w:rFonts w:cs="Times New Roman"/>
          <w:szCs w:val="24"/>
          <w:vertAlign w:val="subscript"/>
          <w:lang w:val="en-GB"/>
        </w:rPr>
        <w:t>d</w:t>
      </w:r>
      <w:r w:rsidRPr="00E97FC1">
        <w:rPr>
          <w:rFonts w:cs="Times New Roman"/>
          <w:szCs w:val="24"/>
          <w:lang w:val="en-GB"/>
        </w:rPr>
        <w:t xml:space="preserve"> site along with the re-protonated state of coordinating residues triggers the transition from the closed to the open state, so that the Q cavity widens and the W site opens, allowing waters to come in and help quinol on its way out. The </w:t>
      </w:r>
      <w:r w:rsidRPr="00E97FC1">
        <w:rPr>
          <w:rFonts w:cs="Times New Roman"/>
          <w:i/>
          <w:szCs w:val="24"/>
          <w:lang w:val="en-GB"/>
        </w:rPr>
        <w:t>TM8</w:t>
      </w:r>
      <w:r w:rsidRPr="00E97FC1">
        <w:rPr>
          <w:rFonts w:cs="Times New Roman"/>
          <w:szCs w:val="24"/>
          <w:lang w:val="en-GB"/>
        </w:rPr>
        <w:t xml:space="preserve"> sites (and </w:t>
      </w:r>
      <w:r w:rsidRPr="00E97FC1">
        <w:rPr>
          <w:rFonts w:cs="Times New Roman"/>
          <w:szCs w:val="24"/>
          <w:vertAlign w:val="subscript"/>
          <w:lang w:val="en-GB"/>
        </w:rPr>
        <w:t>K</w:t>
      </w:r>
      <w:r w:rsidRPr="00E97FC1">
        <w:rPr>
          <w:rFonts w:cs="Times New Roman"/>
          <w:szCs w:val="24"/>
          <w:lang w:val="en-GB"/>
        </w:rPr>
        <w:t xml:space="preserve">E72/E36) can be fully </w:t>
      </w:r>
      <w:r w:rsidRPr="00E97FC1">
        <w:rPr>
          <w:rFonts w:cs="Times New Roman"/>
          <w:szCs w:val="24"/>
          <w:lang w:val="en-GB"/>
        </w:rPr>
        <w:lastRenderedPageBreak/>
        <w:t xml:space="preserve">protonated from the cytosol, blocked off from the Q cavity by </w:t>
      </w:r>
      <w:r w:rsidRPr="00E97FC1">
        <w:rPr>
          <w:rFonts w:cs="Times New Roman"/>
          <w:szCs w:val="24"/>
          <w:vertAlign w:val="subscript"/>
          <w:lang w:val="en-GB"/>
        </w:rPr>
        <w:t>J</w:t>
      </w:r>
      <w:r w:rsidRPr="00E97FC1">
        <w:rPr>
          <w:rFonts w:cs="Times New Roman"/>
          <w:szCs w:val="24"/>
          <w:lang w:val="en-GB"/>
        </w:rPr>
        <w:t xml:space="preserve">TM3. In total at this stage six protons (four to be pumped and two substrate) will enter the central axis. Five of them can enter via NuoL/M, re-distributed along the central axis, while </w:t>
      </w:r>
      <w:r w:rsidRPr="00E97FC1">
        <w:rPr>
          <w:rFonts w:cs="Times New Roman"/>
          <w:szCs w:val="24"/>
          <w:vertAlign w:val="subscript"/>
          <w:lang w:val="en-GB"/>
        </w:rPr>
        <w:t>H</w:t>
      </w:r>
      <w:r w:rsidRPr="00E97FC1">
        <w:rPr>
          <w:rFonts w:cs="Times New Roman"/>
          <w:szCs w:val="24"/>
          <w:lang w:val="en-GB"/>
        </w:rPr>
        <w:t xml:space="preserve">D79 can be protonated via open Q cavity. In this scenario the re-protonation of </w:t>
      </w:r>
      <w:r w:rsidRPr="00E97FC1">
        <w:rPr>
          <w:rFonts w:cs="Times New Roman"/>
          <w:i/>
          <w:szCs w:val="24"/>
          <w:lang w:val="en-GB"/>
        </w:rPr>
        <w:t>TM8</w:t>
      </w:r>
      <w:r w:rsidRPr="00E97FC1">
        <w:rPr>
          <w:rFonts w:cs="Times New Roman"/>
          <w:szCs w:val="24"/>
          <w:lang w:val="en-GB"/>
        </w:rPr>
        <w:t xml:space="preserve"> sites (and </w:t>
      </w:r>
      <w:r w:rsidRPr="00E97FC1">
        <w:rPr>
          <w:rFonts w:cs="Times New Roman"/>
          <w:szCs w:val="24"/>
          <w:vertAlign w:val="subscript"/>
          <w:lang w:val="en-GB"/>
        </w:rPr>
        <w:t>K</w:t>
      </w:r>
      <w:r w:rsidRPr="00E97FC1">
        <w:rPr>
          <w:rFonts w:cs="Times New Roman"/>
          <w:szCs w:val="24"/>
          <w:lang w:val="en-GB"/>
        </w:rPr>
        <w:t xml:space="preserve">E72/E36) is rather “passive”, the key to coupling being that </w:t>
      </w:r>
      <w:r w:rsidRPr="00E97FC1">
        <w:rPr>
          <w:rFonts w:cs="Times New Roman"/>
          <w:i/>
          <w:szCs w:val="24"/>
          <w:lang w:val="en-GB"/>
        </w:rPr>
        <w:t xml:space="preserve">TM12 </w:t>
      </w:r>
      <w:r w:rsidRPr="00E97FC1">
        <w:rPr>
          <w:rFonts w:cs="Times New Roman"/>
          <w:szCs w:val="24"/>
          <w:lang w:val="en-GB"/>
        </w:rPr>
        <w:t xml:space="preserve">and </w:t>
      </w:r>
      <w:r w:rsidRPr="00E97FC1">
        <w:rPr>
          <w:rFonts w:cs="Times New Roman"/>
          <w:i/>
          <w:szCs w:val="24"/>
          <w:lang w:val="en-GB"/>
        </w:rPr>
        <w:t>TM7/TM5</w:t>
      </w:r>
      <w:r w:rsidRPr="00E97FC1">
        <w:rPr>
          <w:rFonts w:cs="Times New Roman"/>
          <w:szCs w:val="24"/>
          <w:lang w:val="en-GB"/>
        </w:rPr>
        <w:t xml:space="preserve"> sites state is fully controlled by quinone reactions. </w:t>
      </w:r>
      <w:r w:rsidRPr="00E97FC1">
        <w:rPr>
          <w:rFonts w:cs="Times New Roman"/>
          <w:b/>
          <w:szCs w:val="24"/>
          <w:lang w:val="en-GB"/>
        </w:rPr>
        <w:t>(Step 5)</w:t>
      </w:r>
      <w:r w:rsidRPr="00E97FC1">
        <w:rPr>
          <w:rFonts w:cs="Times New Roman"/>
          <w:szCs w:val="24"/>
          <w:lang w:val="en-GB"/>
        </w:rPr>
        <w:t xml:space="preserve"> Electrostatic interactions with the protonated </w:t>
      </w:r>
      <w:r w:rsidRPr="00E97FC1">
        <w:rPr>
          <w:rFonts w:cs="Times New Roman"/>
          <w:i/>
          <w:szCs w:val="24"/>
          <w:lang w:val="en-GB"/>
        </w:rPr>
        <w:t>TM8</w:t>
      </w:r>
      <w:r w:rsidRPr="00E97FC1">
        <w:rPr>
          <w:rFonts w:cs="Times New Roman"/>
          <w:szCs w:val="24"/>
          <w:lang w:val="en-GB"/>
        </w:rPr>
        <w:t xml:space="preserve"> and </w:t>
      </w:r>
      <w:r w:rsidRPr="00E97FC1">
        <w:rPr>
          <w:rFonts w:cs="Times New Roman"/>
          <w:i/>
          <w:szCs w:val="24"/>
          <w:lang w:val="en-GB"/>
        </w:rPr>
        <w:t xml:space="preserve">TM7 </w:t>
      </w:r>
      <w:r w:rsidRPr="00E97FC1">
        <w:rPr>
          <w:rFonts w:cs="Times New Roman"/>
          <w:szCs w:val="24"/>
          <w:lang w:val="en-GB"/>
        </w:rPr>
        <w:t>sites</w:t>
      </w:r>
      <w:r w:rsidRPr="00E97FC1">
        <w:rPr>
          <w:rFonts w:cs="Times New Roman"/>
          <w:i/>
          <w:szCs w:val="24"/>
          <w:lang w:val="en-GB"/>
        </w:rPr>
        <w:t xml:space="preserve"> </w:t>
      </w:r>
      <w:r w:rsidRPr="00E97FC1">
        <w:rPr>
          <w:rFonts w:cs="Times New Roman"/>
          <w:szCs w:val="24"/>
          <w:lang w:val="en-GB"/>
        </w:rPr>
        <w:t xml:space="preserve">(red dashes in Step 4) lead to a large decrease of </w:t>
      </w:r>
      <w:r w:rsidRPr="00E97FC1">
        <w:rPr>
          <w:rFonts w:cs="Times New Roman"/>
          <w:i/>
          <w:szCs w:val="24"/>
          <w:lang w:val="en-GB"/>
        </w:rPr>
        <w:t>pK</w:t>
      </w:r>
      <w:r w:rsidRPr="00E97FC1">
        <w:rPr>
          <w:rFonts w:cs="Times New Roman"/>
          <w:szCs w:val="24"/>
          <w:lang w:val="en-GB"/>
        </w:rPr>
        <w:t>a’s</w:t>
      </w:r>
      <w:r w:rsidRPr="00E97FC1">
        <w:rPr>
          <w:rFonts w:cs="Times New Roman"/>
          <w:i/>
          <w:szCs w:val="24"/>
          <w:lang w:val="en-GB"/>
        </w:rPr>
        <w:t xml:space="preserve"> </w:t>
      </w:r>
      <w:r w:rsidRPr="00E97FC1">
        <w:rPr>
          <w:rFonts w:cs="Times New Roman"/>
          <w:szCs w:val="24"/>
          <w:lang w:val="en-GB"/>
        </w:rPr>
        <w:t xml:space="preserve">of </w:t>
      </w:r>
      <w:r w:rsidRPr="00E97FC1">
        <w:rPr>
          <w:rFonts w:cs="Times New Roman"/>
          <w:i/>
          <w:szCs w:val="24"/>
          <w:lang w:val="en-GB"/>
        </w:rPr>
        <w:t xml:space="preserve">TM12 </w:t>
      </w:r>
      <w:r w:rsidRPr="00E97FC1">
        <w:rPr>
          <w:rFonts w:cs="Times New Roman"/>
          <w:szCs w:val="24"/>
          <w:lang w:val="en-GB"/>
        </w:rPr>
        <w:t xml:space="preserve">residues, forcing them to lose their protons. In NuoL the </w:t>
      </w:r>
      <w:r w:rsidRPr="00E97FC1">
        <w:rPr>
          <w:rFonts w:cs="Times New Roman"/>
          <w:i/>
          <w:szCs w:val="24"/>
          <w:lang w:val="en-GB"/>
        </w:rPr>
        <w:t>TM12</w:t>
      </w:r>
      <w:r w:rsidRPr="00E97FC1">
        <w:rPr>
          <w:rFonts w:cs="Times New Roman"/>
          <w:szCs w:val="24"/>
          <w:lang w:val="en-GB"/>
        </w:rPr>
        <w:t xml:space="preserve"> proton would be ejected directly into the periplasm (or mitochondrial IMS). In the reverse wave of the “domino effect” (exact sequence of events is given at the end of this paragraph) this will initiate a sequence of proton hops from </w:t>
      </w:r>
      <w:r w:rsidRPr="00E97FC1">
        <w:rPr>
          <w:rFonts w:cs="Times New Roman"/>
          <w:szCs w:val="24"/>
          <w:vertAlign w:val="subscript"/>
          <w:lang w:val="en-GB"/>
        </w:rPr>
        <w:t>L</w:t>
      </w:r>
      <w:r w:rsidRPr="00E97FC1">
        <w:rPr>
          <w:rFonts w:cs="Times New Roman"/>
          <w:i/>
          <w:szCs w:val="24"/>
          <w:lang w:val="en-GB"/>
        </w:rPr>
        <w:t>TM8</w:t>
      </w:r>
      <w:r w:rsidRPr="00E97FC1">
        <w:rPr>
          <w:rFonts w:cs="Times New Roman"/>
          <w:szCs w:val="24"/>
          <w:lang w:val="en-GB"/>
        </w:rPr>
        <w:t xml:space="preserve"> to </w:t>
      </w:r>
      <w:r w:rsidRPr="00E97FC1">
        <w:rPr>
          <w:rFonts w:cs="Times New Roman"/>
          <w:szCs w:val="24"/>
          <w:vertAlign w:val="subscript"/>
          <w:lang w:val="en-GB"/>
        </w:rPr>
        <w:t>L</w:t>
      </w:r>
      <w:r w:rsidRPr="00E97FC1">
        <w:rPr>
          <w:rFonts w:cs="Times New Roman"/>
          <w:i/>
          <w:szCs w:val="24"/>
          <w:lang w:val="en-GB"/>
        </w:rPr>
        <w:t>TM12</w:t>
      </w:r>
      <w:r w:rsidRPr="00E97FC1">
        <w:rPr>
          <w:rFonts w:cs="Times New Roman"/>
          <w:szCs w:val="24"/>
          <w:lang w:val="en-GB"/>
        </w:rPr>
        <w:t xml:space="preserve">, </w:t>
      </w:r>
      <w:r w:rsidRPr="00E97FC1">
        <w:rPr>
          <w:rFonts w:cs="Times New Roman"/>
          <w:szCs w:val="24"/>
          <w:vertAlign w:val="subscript"/>
          <w:lang w:val="en-GB"/>
        </w:rPr>
        <w:t>L</w:t>
      </w:r>
      <w:r w:rsidRPr="00E97FC1">
        <w:rPr>
          <w:rFonts w:cs="Times New Roman"/>
          <w:i/>
          <w:szCs w:val="24"/>
          <w:lang w:val="en-GB"/>
        </w:rPr>
        <w:t xml:space="preserve">TM7 </w:t>
      </w:r>
      <w:r w:rsidRPr="00E97FC1">
        <w:rPr>
          <w:rFonts w:cs="Times New Roman"/>
          <w:szCs w:val="24"/>
          <w:lang w:val="en-GB"/>
        </w:rPr>
        <w:t>to</w:t>
      </w:r>
      <w:r w:rsidRPr="00E97FC1">
        <w:rPr>
          <w:rFonts w:cs="Times New Roman"/>
          <w:i/>
          <w:szCs w:val="24"/>
          <w:lang w:val="en-GB"/>
        </w:rPr>
        <w:t xml:space="preserve"> </w:t>
      </w:r>
      <w:r w:rsidRPr="00E97FC1">
        <w:rPr>
          <w:rFonts w:cs="Times New Roman"/>
          <w:szCs w:val="24"/>
          <w:vertAlign w:val="subscript"/>
          <w:lang w:val="en-GB"/>
        </w:rPr>
        <w:t>L</w:t>
      </w:r>
      <w:r w:rsidRPr="00E97FC1">
        <w:rPr>
          <w:rFonts w:cs="Times New Roman"/>
          <w:i/>
          <w:szCs w:val="24"/>
          <w:lang w:val="en-GB"/>
        </w:rPr>
        <w:t>TM8</w:t>
      </w:r>
      <w:r w:rsidRPr="00E97FC1">
        <w:rPr>
          <w:rFonts w:cs="Times New Roman"/>
          <w:szCs w:val="24"/>
          <w:lang w:val="en-GB"/>
        </w:rPr>
        <w:t xml:space="preserve"> and </w:t>
      </w:r>
      <w:r w:rsidRPr="00E97FC1">
        <w:rPr>
          <w:rFonts w:cs="Times New Roman"/>
          <w:szCs w:val="24"/>
          <w:vertAlign w:val="subscript"/>
          <w:lang w:val="en-GB"/>
        </w:rPr>
        <w:t>M</w:t>
      </w:r>
      <w:r w:rsidRPr="00E97FC1">
        <w:rPr>
          <w:rFonts w:cs="Times New Roman"/>
          <w:i/>
          <w:szCs w:val="24"/>
          <w:lang w:val="en-GB"/>
        </w:rPr>
        <w:t xml:space="preserve">TM12 </w:t>
      </w:r>
      <w:r w:rsidRPr="00E97FC1">
        <w:rPr>
          <w:rFonts w:cs="Times New Roman"/>
          <w:szCs w:val="24"/>
          <w:lang w:val="en-GB"/>
        </w:rPr>
        <w:t>to</w:t>
      </w:r>
      <w:r w:rsidRPr="00E97FC1">
        <w:rPr>
          <w:rFonts w:cs="Times New Roman"/>
          <w:i/>
          <w:szCs w:val="24"/>
          <w:lang w:val="en-GB"/>
        </w:rPr>
        <w:t xml:space="preserve"> </w:t>
      </w:r>
      <w:r w:rsidRPr="00E97FC1">
        <w:rPr>
          <w:rFonts w:cs="Times New Roman"/>
          <w:szCs w:val="24"/>
          <w:vertAlign w:val="subscript"/>
          <w:lang w:val="en-GB"/>
        </w:rPr>
        <w:t>L</w:t>
      </w:r>
      <w:r w:rsidRPr="00E97FC1">
        <w:rPr>
          <w:rFonts w:cs="Times New Roman"/>
          <w:i/>
          <w:szCs w:val="24"/>
          <w:lang w:val="en-GB"/>
        </w:rPr>
        <w:t>TM5</w:t>
      </w:r>
      <w:r w:rsidRPr="00E97FC1">
        <w:rPr>
          <w:rFonts w:cs="Times New Roman"/>
          <w:szCs w:val="24"/>
          <w:lang w:val="en-GB"/>
        </w:rPr>
        <w:t xml:space="preserve">, repeating twice more in NuoM/N and ending with </w:t>
      </w:r>
      <w:r w:rsidRPr="00E97FC1">
        <w:rPr>
          <w:rFonts w:cs="Times New Roman"/>
          <w:szCs w:val="24"/>
          <w:vertAlign w:val="subscript"/>
          <w:lang w:val="en-GB"/>
        </w:rPr>
        <w:t>K</w:t>
      </w:r>
      <w:r w:rsidRPr="00E97FC1">
        <w:rPr>
          <w:rFonts w:cs="Times New Roman"/>
          <w:szCs w:val="24"/>
          <w:lang w:val="en-GB"/>
        </w:rPr>
        <w:t xml:space="preserve">E72 donating proton to </w:t>
      </w:r>
      <w:r w:rsidRPr="00E97FC1">
        <w:rPr>
          <w:rFonts w:cs="Times New Roman"/>
          <w:szCs w:val="24"/>
          <w:vertAlign w:val="subscript"/>
          <w:lang w:val="en-GB"/>
        </w:rPr>
        <w:t>N</w:t>
      </w:r>
      <w:r w:rsidRPr="00E97FC1">
        <w:rPr>
          <w:rFonts w:cs="Times New Roman"/>
          <w:i/>
          <w:szCs w:val="24"/>
          <w:lang w:val="en-GB"/>
        </w:rPr>
        <w:t>TM5</w:t>
      </w:r>
      <w:r w:rsidRPr="00E97FC1">
        <w:rPr>
          <w:rFonts w:cs="Times New Roman"/>
          <w:szCs w:val="24"/>
          <w:lang w:val="en-GB"/>
        </w:rPr>
        <w:t xml:space="preserve">. The simple natural basis for this transfer of protons along the central axis is the appearance of a “vacancy” on the “left” of the chain and the electrostatic “pressure” of the incoming proton from the “right” (or reverse in Step 3). Effectively, after the cycle is repeated three times, each time ending closer to NuoL, in the end the </w:t>
      </w:r>
      <w:r w:rsidRPr="00E97FC1">
        <w:rPr>
          <w:rFonts w:cs="Times New Roman"/>
          <w:szCs w:val="24"/>
          <w:vertAlign w:val="subscript"/>
          <w:lang w:val="en-GB"/>
        </w:rPr>
        <w:t>M</w:t>
      </w:r>
      <w:r w:rsidRPr="00E97FC1">
        <w:rPr>
          <w:rFonts w:cs="Times New Roman"/>
          <w:i/>
          <w:szCs w:val="24"/>
          <w:lang w:val="en-GB"/>
        </w:rPr>
        <w:t>TM12</w:t>
      </w:r>
      <w:r w:rsidRPr="00E97FC1">
        <w:rPr>
          <w:rFonts w:cs="Times New Roman"/>
          <w:szCs w:val="24"/>
          <w:lang w:val="en-GB"/>
        </w:rPr>
        <w:t xml:space="preserve">, </w:t>
      </w:r>
      <w:r w:rsidRPr="00E97FC1">
        <w:rPr>
          <w:rFonts w:cs="Times New Roman"/>
          <w:szCs w:val="24"/>
          <w:vertAlign w:val="subscript"/>
          <w:lang w:val="en-GB"/>
        </w:rPr>
        <w:t>N</w:t>
      </w:r>
      <w:r w:rsidRPr="00E97FC1">
        <w:rPr>
          <w:rFonts w:cs="Times New Roman"/>
          <w:i/>
          <w:szCs w:val="24"/>
          <w:lang w:val="en-GB"/>
        </w:rPr>
        <w:t>TM12</w:t>
      </w:r>
      <w:r w:rsidRPr="00E97FC1">
        <w:rPr>
          <w:rFonts w:cs="Times New Roman"/>
          <w:szCs w:val="24"/>
          <w:lang w:val="en-GB"/>
        </w:rPr>
        <w:t xml:space="preserve"> and </w:t>
      </w:r>
      <w:r w:rsidRPr="00E97FC1">
        <w:rPr>
          <w:rFonts w:cs="Times New Roman"/>
          <w:szCs w:val="24"/>
          <w:vertAlign w:val="subscript"/>
          <w:lang w:val="en-GB"/>
        </w:rPr>
        <w:t>K</w:t>
      </w:r>
      <w:r w:rsidRPr="00E97FC1">
        <w:rPr>
          <w:rFonts w:cs="Times New Roman"/>
          <w:szCs w:val="24"/>
          <w:lang w:val="en-GB"/>
        </w:rPr>
        <w:t xml:space="preserve">E72 sites would transfer their protons along the central axis towards NuoL, adding up with the initial </w:t>
      </w:r>
      <w:r w:rsidRPr="00E97FC1">
        <w:rPr>
          <w:rFonts w:cs="Times New Roman"/>
          <w:szCs w:val="24"/>
          <w:vertAlign w:val="subscript"/>
          <w:lang w:val="en-GB"/>
        </w:rPr>
        <w:t>L</w:t>
      </w:r>
      <w:r w:rsidRPr="00E97FC1">
        <w:rPr>
          <w:rFonts w:cs="Times New Roman"/>
          <w:i/>
          <w:szCs w:val="24"/>
          <w:lang w:val="en-GB"/>
        </w:rPr>
        <w:t>TM12</w:t>
      </w:r>
      <w:r w:rsidRPr="00E97FC1">
        <w:rPr>
          <w:rFonts w:cs="Times New Roman"/>
          <w:szCs w:val="24"/>
          <w:lang w:val="en-GB"/>
        </w:rPr>
        <w:t xml:space="preserve"> to the four protons ejected into the periplasm. This brings the system back to Step 1, with </w:t>
      </w:r>
      <w:r w:rsidRPr="00E97FC1">
        <w:rPr>
          <w:rFonts w:cs="Times New Roman"/>
          <w:i/>
          <w:szCs w:val="24"/>
          <w:lang w:val="en-GB"/>
        </w:rPr>
        <w:t>TM8</w:t>
      </w:r>
      <w:r w:rsidRPr="00E97FC1">
        <w:rPr>
          <w:rFonts w:cs="Times New Roman"/>
          <w:szCs w:val="24"/>
          <w:lang w:val="en-GB"/>
        </w:rPr>
        <w:t xml:space="preserve"> protonated and a proton in </w:t>
      </w:r>
      <w:r w:rsidRPr="00E97FC1">
        <w:rPr>
          <w:rFonts w:cs="Times New Roman"/>
          <w:i/>
          <w:szCs w:val="24"/>
          <w:lang w:val="en-GB"/>
        </w:rPr>
        <w:t>TM7/TM5</w:t>
      </w:r>
      <w:r w:rsidRPr="00E97FC1">
        <w:rPr>
          <w:rFonts w:cs="Times New Roman"/>
          <w:szCs w:val="24"/>
          <w:lang w:val="en-GB"/>
        </w:rPr>
        <w:t xml:space="preserve"> “switch” sitting again on </w:t>
      </w:r>
      <w:r w:rsidRPr="00E97FC1">
        <w:rPr>
          <w:rFonts w:cs="Times New Roman"/>
          <w:i/>
          <w:szCs w:val="24"/>
          <w:lang w:val="en-GB"/>
        </w:rPr>
        <w:t>TM5</w:t>
      </w:r>
      <w:r w:rsidRPr="00E97FC1">
        <w:rPr>
          <w:rFonts w:cs="Times New Roman"/>
          <w:szCs w:val="24"/>
          <w:lang w:val="en-GB"/>
        </w:rPr>
        <w:t xml:space="preserve">, thus the cycle re-starts. </w:t>
      </w:r>
      <w:r w:rsidR="005E0A54" w:rsidRPr="000B1BC7">
        <w:rPr>
          <w:rFonts w:cs="Times New Roman"/>
          <w:szCs w:val="24"/>
          <w:lang w:val="en-GB"/>
        </w:rPr>
        <w:t xml:space="preserve">Crucially, for the mechanism to work, a </w:t>
      </w:r>
      <w:r w:rsidR="005E0A54" w:rsidRPr="000B1BC7">
        <w:rPr>
          <w:rFonts w:cs="Times New Roman"/>
          <w:i/>
          <w:szCs w:val="24"/>
          <w:lang w:val="en-GB"/>
        </w:rPr>
        <w:t>TM12</w:t>
      </w:r>
      <w:r w:rsidR="005E0A54" w:rsidRPr="000B1BC7">
        <w:rPr>
          <w:rFonts w:cs="Times New Roman"/>
          <w:szCs w:val="24"/>
          <w:lang w:val="en-GB"/>
        </w:rPr>
        <w:t xml:space="preserve"> proton from NuoN/M must be transferred to the neighbouring NuoM/L </w:t>
      </w:r>
      <w:r w:rsidR="005E0A54" w:rsidRPr="000B1BC7">
        <w:rPr>
          <w:rFonts w:cs="Times New Roman"/>
          <w:i/>
          <w:szCs w:val="24"/>
          <w:lang w:val="en-GB"/>
        </w:rPr>
        <w:t>TM5</w:t>
      </w:r>
      <w:r w:rsidR="005E0A54" w:rsidRPr="000B1BC7">
        <w:rPr>
          <w:rFonts w:cs="Times New Roman"/>
          <w:szCs w:val="24"/>
          <w:lang w:val="en-GB"/>
        </w:rPr>
        <w:t xml:space="preserve"> and not directly to the periplasm, as otherwise the process will not be initiated in the next subunit (i.e. a domino will fall without tripping the next one). Similarly, in Step 3 it is essential for protons to hop across subunit interfaces from </w:t>
      </w:r>
      <w:r w:rsidR="005E0A54" w:rsidRPr="000B1BC7">
        <w:rPr>
          <w:rFonts w:cs="Times New Roman"/>
          <w:i/>
          <w:szCs w:val="24"/>
          <w:lang w:val="en-GB"/>
        </w:rPr>
        <w:t>TM5</w:t>
      </w:r>
      <w:r w:rsidR="005E0A54" w:rsidRPr="000B1BC7">
        <w:rPr>
          <w:rFonts w:cs="Times New Roman"/>
          <w:szCs w:val="24"/>
          <w:lang w:val="en-GB"/>
        </w:rPr>
        <w:t xml:space="preserve"> to </w:t>
      </w:r>
      <w:r w:rsidR="005E0A54" w:rsidRPr="000B1BC7">
        <w:rPr>
          <w:rFonts w:cs="Times New Roman"/>
          <w:i/>
          <w:szCs w:val="24"/>
          <w:lang w:val="en-GB"/>
        </w:rPr>
        <w:t>TM12</w:t>
      </w:r>
      <w:r w:rsidR="005E0A54" w:rsidRPr="000B1BC7">
        <w:rPr>
          <w:rFonts w:cs="Times New Roman"/>
          <w:szCs w:val="24"/>
          <w:lang w:val="en-GB"/>
        </w:rPr>
        <w:t xml:space="preserve"> sites. Therefore, our mechanism naturally explains initially counter-intuitive NuoL-only exit. The pump works with protons moving along the entire central axis either towards Q cavity (Steps 2-3) or in the reverse wave (Step 5), thus the periplasm/IMS side must be shielded from the solvent everywhere except the NuoL exit.</w:t>
      </w:r>
    </w:p>
    <w:p w14:paraId="063DD6D7" w14:textId="45BCE598" w:rsidR="00E00AD5" w:rsidRPr="00E97FC1" w:rsidRDefault="00E00AD5" w:rsidP="00CE3E6F">
      <w:pPr>
        <w:ind w:firstLine="720"/>
        <w:rPr>
          <w:rFonts w:cs="Times New Roman"/>
          <w:szCs w:val="24"/>
          <w:lang w:val="en-GB"/>
        </w:rPr>
      </w:pPr>
      <w:r w:rsidRPr="00E97FC1">
        <w:rPr>
          <w:rFonts w:cs="Times New Roman"/>
          <w:szCs w:val="24"/>
          <w:lang w:val="en-GB"/>
        </w:rPr>
        <w:t xml:space="preserve">After a prolonged absence of turnover the enzyme enters a resting (bacterial) or a deactive (mammalian) state, which may help to prevent ROS production, occurring </w:t>
      </w:r>
      <w:r w:rsidRPr="00E97FC1">
        <w:rPr>
          <w:rFonts w:cs="Times New Roman"/>
          <w:i/>
          <w:szCs w:val="24"/>
          <w:lang w:val="en-GB"/>
        </w:rPr>
        <w:t>via</w:t>
      </w:r>
      <w:r w:rsidRPr="00E97FC1">
        <w:rPr>
          <w:rFonts w:cs="Times New Roman"/>
          <w:szCs w:val="24"/>
          <w:lang w:val="en-GB"/>
        </w:rPr>
        <w:t xml:space="preserve"> reverse electron transport in specific conditions, such as ischaemia-reperfusion injury</w:t>
      </w:r>
      <w:r w:rsidR="000B0BEA" w:rsidRPr="00E97FC1">
        <w:rPr>
          <w:rFonts w:cs="Times New Roman"/>
          <w:szCs w:val="24"/>
          <w:lang w:val="en-GB"/>
        </w:rPr>
        <w:t xml:space="preserve"> </w:t>
      </w:r>
      <w:r w:rsidR="00346DE4" w:rsidRPr="00E97FC1">
        <w:rPr>
          <w:rFonts w:cs="Times New Roman"/>
          <w:szCs w:val="24"/>
          <w:lang w:val="en-GB"/>
        </w:rPr>
        <w:fldChar w:fldCharType="begin" w:fldLock="1"/>
      </w:r>
      <w:r w:rsidR="00776703" w:rsidRPr="00E97FC1">
        <w:rPr>
          <w:rFonts w:cs="Times New Roman"/>
          <w:szCs w:val="24"/>
          <w:lang w:val="en-GB"/>
        </w:rPr>
        <w:instrText>ADDIN CSL_CITATION {"citationItems":[{"id":"ITEM-1","itemData":{"DOI":"10.1038/nature13909","ISSN":"1476-4687 (Electronic)","PMID":"25383517","abstract":"Ischaemia-reperfusion injury occurs when the blood supply to an organ is  disrupted and then restored, and underlies many disorders, notably heart attack and stroke. While reperfusion of ischaemic tissue is essential for survival, it also initiates oxidative damage, cell death and aberrant immune responses through the generation of mitochondrial reactive oxygen species (ROS). Although mitochondrial ROS production in ischaemia reperfusion is established, it has generally been considered a nonspecific response to reperfusion. Here we develop a comparative in vivo metabolomic analysis, and unexpectedly identify widely conserved metabolic pathways responsible for mitochondrial ROS production during ischaemia reperfusion. We show that selective accumulation of the citric acid cycle intermediate succinate is a universal metabolic signature of ischaemia in a range of tissues and is responsible for mitochondrial ROS production during reperfusion. Ischaemic succinate accumulation arises from reversal of succinate dehydrogenase, which in turn is driven by fumarate overflow from purine nucleotide breakdown and partial reversal of the malate/aspartate shuttle. After reperfusion, the accumulated succinate is rapidly re-oxidized by succinate dehydrogenase, driving extensive ROS generation by reverse electron transport at mitochondrial complex I. Decreasing ischaemic succinate accumulation by pharmacological inhibition is sufficient to ameliorate in vivo ischaemia-reperfusion injury in murine models of heart attack and stroke. Thus, we have identified a conserved metabolic response of tissues to ischaemia and reperfusion that unifies many hitherto unconnected aspects of ischaemia-reperfusion injury. Furthermore, these findings reveal a new pathway for metabolic control of ROS production in vivo, while demonstrating that inhibition of ischaemic succinate accumulation and its oxidation after subsequent reperfusion is a potential therapeutic target to decrease ischaemia-reperfusion injury in a range of pathologies.","author":[{"dropping-particle":"","family":"Chouchani","given":"Edward T","non-dropping-particle":"","parse-names":false,"suffix":""},{"dropping-particle":"","family":"Pell","given":"Victoria R","non-dropping-particle":"","parse-names":false,"suffix":""},{"dropping-particle":"","family":"Gaude","given":"Edoardo","non-dropping-particle":"","parse-names":false,"suffix":""},{"dropping-particle":"","family":"Aksentijević","given":"Dunja","non-dropping-particle":"","parse-names":false,"suffix":""},{"dropping-particle":"","family":"Sundier","given":"Stephanie Y","non-dropping-particle":"","parse-names":false,"suffix":""},{"dropping-particle":"","family":"Robb","given":"Ellen L","non-dropping-particle":"","parse-names":false,"suffix":""},{"dropping-particle":"","family":"Logan","given":"Angela","non-dropping-particle":"","parse-names":false,"suffix":""},{"dropping-particle":"","family":"Nadtochiy","given":"Sergiy M","non-dropping-particle":"","parse-names":false,"suffix":""},{"dropping-particle":"","family":"Ord","given":"Emily N J","non-dropping-particle":"","parse-names":false,"suffix":""},{"dropping-particle":"","family":"Smith","given":"Anthony C","non-dropping-particle":"","parse-names":false,"suffix":""},{"dropping-particle":"","family":"Eyassu","given":"Filmon","non-dropping-particle":"","parse-names":false,"suffix":""},{"dropping-particle":"","family":"Shirley","given":"Rachel","non-dropping-particle":"","parse-names":false,"suffix":""},{"dropping-particle":"","family":"Hu","given":"Chou-Hui","non-dropping-particle":"","parse-names":false,"suffix":""},{"dropping-particle":"","family":"Dare","given":"Anna J","non-dropping-particle":"","parse-names":false,"suffix":""},{"dropping-particle":"","family":"James","given":"Andrew M","non-dropping-particle":"","parse-names":false,"suffix":""},{"dropping-particle":"","family":"Rogatti","given":"Sebastian","non-dropping-particle":"","parse-names":false,"suffix":""},{"dropping-particle":"","family":"Hartley","given":"Richard C","non-dropping-particle":"","parse-names":false,"suffix":""},{"dropping-particle":"","family":"Eaton","given":"Simon","non-dropping-particle":"","parse-names":false,"suffix":""},{"dropping-particle":"","family":"Costa","given":"Ana S H","non-dropping-particle":"","parse-names":false,"suffix":""},{"dropping-particle":"","family":"Brookes","given":"Paul S","non-dropping-particle":"","parse-names":false,"suffix":""},{"dropping-particle":"","family":"Davidson","given":"Sean M","non-dropping-particle":"","parse-names":false,"suffix":""},{"dropping-particle":"","family":"Duchen","given":"Michael R","non-dropping-particle":"","parse-names":false,"suffix":""},{"dropping-particle":"","family":"Saeb-Parsy","given":"Kourosh","non-dropping-particle":"","parse-names":false,"suffix":""},{"dropping-particle":"","family":"Shattock","given":"Michael J","non-dropping-particle":"","parse-names":false,"suffix":""},{"dropping-particle":"","family":"Robinson","given":"Alan J","non-dropping-particle":"","parse-names":false,"suffix":""},{"dropping-particle":"","family":"Work","given":"Lorraine M","non-dropping-particle":"","parse-names":false,"suffix":""},{"dropping-particle":"","family":"Frezza","given":"Christian","non-dropping-particle":"","parse-names":false,"suffix":""},{"dropping-particle":"","family":"Krieg","given":"Thomas","non-dropping-particle":"","parse-names":false,"suffix":""},{"dropping-particle":"","family":"Murphy","given":"Michael P","non-dropping-particle":"","parse-names":false,"suffix":""}],"container-title":"Nature","id":"ITEM-1","issue":"7527","issued":{"date-parts":[["2014","11"]]},"language":"eng","page":"431-435","publisher-place":"England","title":"Ischaemic accumulation of succinate controls reperfusion injury through  mitochondrial ROS.","type":"article-journal","volume":"515"},"uris":["http://www.mendeley.com/documents/?uuid=001ad9d4-029a-4231-901a-1ddfc547f515","http://www.mendeley.com/documents/?uuid=f921ba45-d548-4744-b443-3042d87e7c89"]}],"mendeley":{"formattedCitation":"(Chouchani &lt;i&gt;et al&lt;/i&gt;, 2014)","plainTextFormattedCitation":"(Chouchani et al, 2014)","previouslyFormattedCitation":"(Chouchani &lt;i&gt;et al&lt;/i&gt;, 2014)"},"properties":{"noteIndex":0},"schema":"https://github.com/citation-style-language/schema/raw/master/csl-citation.json"}</w:instrText>
      </w:r>
      <w:r w:rsidR="00346DE4" w:rsidRPr="00E97FC1">
        <w:rPr>
          <w:rFonts w:cs="Times New Roman"/>
          <w:szCs w:val="24"/>
          <w:lang w:val="en-GB"/>
        </w:rPr>
        <w:fldChar w:fldCharType="separate"/>
      </w:r>
      <w:r w:rsidR="00E55873" w:rsidRPr="00E97FC1">
        <w:rPr>
          <w:rFonts w:cs="Times New Roman"/>
          <w:noProof/>
          <w:szCs w:val="24"/>
          <w:lang w:val="en-GB"/>
        </w:rPr>
        <w:t xml:space="preserve">(Chouchani </w:t>
      </w:r>
      <w:r w:rsidR="00E55873" w:rsidRPr="00E97FC1">
        <w:rPr>
          <w:rFonts w:cs="Times New Roman"/>
          <w:i/>
          <w:noProof/>
          <w:szCs w:val="24"/>
          <w:lang w:val="en-GB"/>
        </w:rPr>
        <w:t>et al</w:t>
      </w:r>
      <w:r w:rsidR="00E55873" w:rsidRPr="00E97FC1">
        <w:rPr>
          <w:rFonts w:cs="Times New Roman"/>
          <w:noProof/>
          <w:szCs w:val="24"/>
          <w:lang w:val="en-GB"/>
        </w:rPr>
        <w:t>, 2014)</w:t>
      </w:r>
      <w:r w:rsidR="00346DE4" w:rsidRPr="00E97FC1">
        <w:rPr>
          <w:rFonts w:cs="Times New Roman"/>
          <w:szCs w:val="24"/>
          <w:lang w:val="en-GB"/>
        </w:rPr>
        <w:fldChar w:fldCharType="end"/>
      </w:r>
      <w:r w:rsidRPr="00E97FC1">
        <w:rPr>
          <w:rFonts w:cs="Times New Roman"/>
          <w:szCs w:val="24"/>
          <w:lang w:val="en-GB"/>
        </w:rPr>
        <w:t>. When turnover resumes the enzyme reverts back to the main cycle.</w:t>
      </w:r>
    </w:p>
    <w:p w14:paraId="0D67BB6B" w14:textId="5B2B5BBB" w:rsidR="00E00AD5" w:rsidRPr="00E97FC1" w:rsidRDefault="00E00AD5" w:rsidP="00CE3E6F">
      <w:pPr>
        <w:ind w:firstLine="720"/>
        <w:rPr>
          <w:rFonts w:cs="Times New Roman"/>
          <w:szCs w:val="24"/>
          <w:lang w:val="en-GB"/>
        </w:rPr>
      </w:pPr>
      <w:r w:rsidRPr="00E97FC1">
        <w:rPr>
          <w:rFonts w:cs="Times New Roman"/>
          <w:szCs w:val="24"/>
          <w:lang w:val="en-GB"/>
        </w:rPr>
        <w:t>The mechanism also explains the reverse electron transport in complex I: high pmf would promote reverse reaction by driving charge transitions in ALS in reverse to those in Fig</w:t>
      </w:r>
      <w:r w:rsidR="000F12F2">
        <w:rPr>
          <w:rFonts w:cs="Times New Roman"/>
          <w:szCs w:val="24"/>
          <w:lang w:val="en-GB"/>
        </w:rPr>
        <w:t>ure</w:t>
      </w:r>
      <w:r w:rsidRPr="00E97FC1">
        <w:rPr>
          <w:rFonts w:cs="Times New Roman"/>
          <w:szCs w:val="24"/>
          <w:lang w:val="en-GB"/>
        </w:rPr>
        <w:t xml:space="preserve"> </w:t>
      </w:r>
      <w:r w:rsidR="000F12F2">
        <w:rPr>
          <w:rFonts w:cs="Times New Roman"/>
          <w:szCs w:val="24"/>
          <w:lang w:val="en-GB"/>
        </w:rPr>
        <w:t>3.10</w:t>
      </w:r>
      <w:r w:rsidRPr="00E97FC1">
        <w:rPr>
          <w:rFonts w:cs="Times New Roman"/>
          <w:szCs w:val="24"/>
          <w:lang w:val="en-GB"/>
        </w:rPr>
        <w:t>. Translocation of protons into the matrix would be coupled to transfer of protons from the Q coordinating residues into the central axis, creating a negative charge near Q</w:t>
      </w:r>
      <w:r w:rsidRPr="00E97FC1">
        <w:rPr>
          <w:rFonts w:cs="Times New Roman"/>
          <w:szCs w:val="24"/>
          <w:vertAlign w:val="subscript"/>
          <w:lang w:val="en-GB"/>
        </w:rPr>
        <w:t>d</w:t>
      </w:r>
      <w:r w:rsidRPr="00E97FC1">
        <w:rPr>
          <w:rFonts w:cs="Times New Roman"/>
          <w:szCs w:val="24"/>
          <w:lang w:val="en-GB"/>
        </w:rPr>
        <w:t xml:space="preserve"> site. </w:t>
      </w:r>
      <w:r w:rsidRPr="00E97FC1">
        <w:rPr>
          <w:rFonts w:cs="Times New Roman"/>
          <w:szCs w:val="24"/>
          <w:lang w:val="en-GB"/>
        </w:rPr>
        <w:lastRenderedPageBreak/>
        <w:t>It would promote quinol binding and oxidation, as well as lower the N2 redox potential, enabling reverse electron transfer from N2 to FMN and NAD</w:t>
      </w:r>
      <w:r w:rsidRPr="00E97FC1">
        <w:rPr>
          <w:rFonts w:cs="Times New Roman"/>
          <w:szCs w:val="24"/>
          <w:vertAlign w:val="superscript"/>
          <w:lang w:val="en-GB"/>
        </w:rPr>
        <w:t>+</w:t>
      </w:r>
      <w:r w:rsidRPr="00E97FC1">
        <w:rPr>
          <w:rFonts w:cs="Times New Roman"/>
          <w:szCs w:val="24"/>
          <w:lang w:val="en-GB"/>
        </w:rPr>
        <w:t>.</w:t>
      </w:r>
    </w:p>
    <w:p w14:paraId="1972DC3D" w14:textId="5DAC3917" w:rsidR="005E0A54" w:rsidRDefault="00E00AD5" w:rsidP="005E0A54">
      <w:pPr>
        <w:ind w:firstLine="720"/>
        <w:rPr>
          <w:rFonts w:cs="Times New Roman"/>
          <w:szCs w:val="24"/>
          <w:lang w:val="en-GB"/>
        </w:rPr>
      </w:pPr>
      <w:r w:rsidRPr="00E97FC1">
        <w:rPr>
          <w:rFonts w:cs="Times New Roman"/>
          <w:szCs w:val="24"/>
          <w:lang w:val="en-GB"/>
        </w:rPr>
        <w:t xml:space="preserve">Structurally observed (under turnover) states of </w:t>
      </w:r>
      <w:r w:rsidRPr="00E97FC1">
        <w:rPr>
          <w:rFonts w:cs="Times New Roman"/>
          <w:i/>
          <w:szCs w:val="24"/>
          <w:lang w:val="en-GB"/>
        </w:rPr>
        <w:t>Ec</w:t>
      </w:r>
      <w:r w:rsidRPr="00E97FC1">
        <w:rPr>
          <w:rFonts w:cs="Times New Roman"/>
          <w:szCs w:val="24"/>
          <w:lang w:val="en-GB"/>
        </w:rPr>
        <w:t>CI likely represent, for the open states a mixture of Steps 1, 4 and 5 in Fig</w:t>
      </w:r>
      <w:r w:rsidR="000F12F2">
        <w:rPr>
          <w:rFonts w:cs="Times New Roman"/>
          <w:szCs w:val="24"/>
          <w:lang w:val="en-GB"/>
        </w:rPr>
        <w:t>ure</w:t>
      </w:r>
      <w:r w:rsidRPr="00E97FC1">
        <w:rPr>
          <w:rFonts w:cs="Times New Roman"/>
          <w:szCs w:val="24"/>
          <w:lang w:val="en-GB"/>
        </w:rPr>
        <w:t xml:space="preserve"> </w:t>
      </w:r>
      <w:r w:rsidR="000F12F2">
        <w:rPr>
          <w:rFonts w:cs="Times New Roman"/>
          <w:szCs w:val="24"/>
          <w:lang w:val="en-GB"/>
        </w:rPr>
        <w:t>3.10</w:t>
      </w:r>
      <w:r w:rsidRPr="00E97FC1">
        <w:rPr>
          <w:rFonts w:cs="Times New Roman"/>
          <w:szCs w:val="24"/>
          <w:lang w:val="en-GB"/>
        </w:rPr>
        <w:t xml:space="preserve">; and for the closed state - a mixture of Steps 2-3. The mixtures would be present because apart from protonation state these states do not substantially differ and so cannot be resolved by 3D classification. This probably explains why we do not see a clear change in protonation states of </w:t>
      </w:r>
      <w:r w:rsidRPr="00E97FC1">
        <w:rPr>
          <w:rFonts w:cs="Times New Roman"/>
          <w:szCs w:val="24"/>
          <w:vertAlign w:val="subscript"/>
          <w:lang w:val="en-GB"/>
        </w:rPr>
        <w:t>M</w:t>
      </w:r>
      <w:r w:rsidRPr="00E97FC1">
        <w:rPr>
          <w:rFonts w:cs="Times New Roman"/>
          <w:szCs w:val="24"/>
          <w:lang w:val="en-GB"/>
        </w:rPr>
        <w:t xml:space="preserve">GluTM5, </w:t>
      </w:r>
      <w:r w:rsidRPr="00E97FC1">
        <w:rPr>
          <w:rFonts w:cs="Times New Roman"/>
          <w:szCs w:val="24"/>
          <w:vertAlign w:val="subscript"/>
          <w:lang w:val="en-GB"/>
        </w:rPr>
        <w:t>M</w:t>
      </w:r>
      <w:r w:rsidRPr="00E97FC1">
        <w:rPr>
          <w:rFonts w:cs="Times New Roman"/>
          <w:szCs w:val="24"/>
          <w:lang w:val="en-GB"/>
        </w:rPr>
        <w:t xml:space="preserve">GluTM12 and </w:t>
      </w:r>
      <w:r w:rsidRPr="00E97FC1">
        <w:rPr>
          <w:rFonts w:cs="Times New Roman"/>
          <w:szCs w:val="24"/>
          <w:vertAlign w:val="subscript"/>
          <w:lang w:val="en-GB"/>
        </w:rPr>
        <w:t>L</w:t>
      </w:r>
      <w:r w:rsidRPr="00E97FC1">
        <w:rPr>
          <w:rFonts w:cs="Times New Roman"/>
          <w:szCs w:val="24"/>
          <w:lang w:val="en-GB"/>
        </w:rPr>
        <w:t>GluTM5, in contrast to E-channel residues (which are charged in Steps 2 and 3).</w:t>
      </w:r>
      <w:r w:rsidR="005E0A54" w:rsidRPr="005E0A54">
        <w:rPr>
          <w:rFonts w:cs="Times New Roman"/>
          <w:szCs w:val="24"/>
          <w:lang w:val="en-GB"/>
        </w:rPr>
        <w:t xml:space="preserve"> </w:t>
      </w:r>
    </w:p>
    <w:p w14:paraId="04DF864A" w14:textId="0EB2E5A7" w:rsidR="005E0A54" w:rsidRPr="00E97FC1" w:rsidRDefault="005E0A54" w:rsidP="005E0A54">
      <w:pPr>
        <w:ind w:firstLine="720"/>
        <w:rPr>
          <w:rFonts w:cs="Times New Roman"/>
          <w:szCs w:val="24"/>
          <w:lang w:val="en-GB"/>
        </w:rPr>
      </w:pPr>
      <w:r>
        <w:rPr>
          <w:rFonts w:cs="Times New Roman"/>
          <w:szCs w:val="24"/>
          <w:lang w:val="en-GB"/>
        </w:rPr>
        <w:t>Overall, t</w:t>
      </w:r>
      <w:r w:rsidRPr="00E97FC1">
        <w:rPr>
          <w:rFonts w:cs="Times New Roman"/>
          <w:szCs w:val="24"/>
          <w:lang w:val="en-GB"/>
        </w:rPr>
        <w:t>his mechanism is straightforward, robust and explains with minimal assumptions the tight coupling of the redox processes and proton translocation over large distances. The existence of the open state with blocked access to the Q</w:t>
      </w:r>
      <w:r w:rsidRPr="00E97FC1">
        <w:rPr>
          <w:rFonts w:cs="Times New Roman"/>
          <w:szCs w:val="24"/>
          <w:vertAlign w:val="subscript"/>
          <w:lang w:val="en-GB"/>
        </w:rPr>
        <w:t>d</w:t>
      </w:r>
      <w:r w:rsidRPr="00E97FC1">
        <w:rPr>
          <w:rFonts w:cs="Times New Roman"/>
          <w:szCs w:val="24"/>
          <w:lang w:val="en-GB"/>
        </w:rPr>
        <w:t xml:space="preserve"> site is necessary to facilitate quinone movements and to prevent uncoupling which would happen if quinone were to be reduced in the Q</w:t>
      </w:r>
      <w:r w:rsidRPr="00E97FC1">
        <w:rPr>
          <w:rFonts w:cs="Times New Roman"/>
          <w:szCs w:val="24"/>
          <w:vertAlign w:val="subscript"/>
          <w:lang w:val="en-GB"/>
        </w:rPr>
        <w:t>d</w:t>
      </w:r>
      <w:r w:rsidRPr="00E97FC1">
        <w:rPr>
          <w:rFonts w:cs="Times New Roman"/>
          <w:szCs w:val="24"/>
          <w:lang w:val="en-GB"/>
        </w:rPr>
        <w:t xml:space="preserve"> site with W site open. Therefore, mid/shallow Q sites are used in the open states. The mechanism thus naturally explains the NuoL-only proton exit, why the Q entry site is so narrow, why W site exists and why </w:t>
      </w:r>
      <w:r w:rsidRPr="00E97FC1">
        <w:rPr>
          <w:rFonts w:cs="Times New Roman"/>
          <w:szCs w:val="24"/>
          <w:vertAlign w:val="subscript"/>
          <w:lang w:val="en-GB"/>
        </w:rPr>
        <w:t>J</w:t>
      </w:r>
      <w:r w:rsidRPr="00E97FC1">
        <w:rPr>
          <w:rFonts w:cs="Times New Roman"/>
          <w:szCs w:val="24"/>
          <w:lang w:val="en-GB"/>
        </w:rPr>
        <w:t xml:space="preserve">TM3 rotates. The arrangement of key </w:t>
      </w:r>
      <w:r w:rsidRPr="00E97FC1">
        <w:rPr>
          <w:rFonts w:cs="Times New Roman"/>
          <w:i/>
          <w:szCs w:val="24"/>
          <w:lang w:val="en-GB"/>
        </w:rPr>
        <w:t>TM12</w:t>
      </w:r>
      <w:r w:rsidRPr="00E97FC1">
        <w:rPr>
          <w:rFonts w:cs="Times New Roman"/>
          <w:szCs w:val="24"/>
          <w:lang w:val="en-GB"/>
        </w:rPr>
        <w:t xml:space="preserve">, </w:t>
      </w:r>
      <w:r w:rsidRPr="00E97FC1">
        <w:rPr>
          <w:rFonts w:cs="Times New Roman"/>
          <w:i/>
          <w:szCs w:val="24"/>
          <w:lang w:val="en-GB"/>
        </w:rPr>
        <w:t>TM8</w:t>
      </w:r>
      <w:r w:rsidRPr="00E97FC1">
        <w:rPr>
          <w:rFonts w:cs="Times New Roman"/>
          <w:szCs w:val="24"/>
          <w:lang w:val="en-GB"/>
        </w:rPr>
        <w:t xml:space="preserve"> and </w:t>
      </w:r>
      <w:r w:rsidRPr="00E97FC1">
        <w:rPr>
          <w:rFonts w:cs="Times New Roman"/>
          <w:i/>
          <w:szCs w:val="24"/>
          <w:lang w:val="en-GB"/>
        </w:rPr>
        <w:t>TM7/TM5</w:t>
      </w:r>
      <w:r w:rsidRPr="00E97FC1">
        <w:rPr>
          <w:rFonts w:cs="Times New Roman"/>
          <w:szCs w:val="24"/>
          <w:lang w:val="en-GB"/>
        </w:rPr>
        <w:t xml:space="preserve"> sites appears to be a minimum necessary to allow for “domino effect” mechanism.</w:t>
      </w:r>
    </w:p>
    <w:p w14:paraId="0E2F6927" w14:textId="77777777" w:rsidR="005E0A54" w:rsidRPr="00E97FC1" w:rsidRDefault="005E0A54" w:rsidP="005E0A54">
      <w:pPr>
        <w:ind w:firstLine="720"/>
        <w:rPr>
          <w:rFonts w:cs="Times New Roman"/>
          <w:szCs w:val="24"/>
          <w:lang w:val="en-GB"/>
        </w:rPr>
      </w:pPr>
      <w:r w:rsidRPr="00E97FC1">
        <w:rPr>
          <w:rFonts w:cs="Times New Roman"/>
          <w:szCs w:val="24"/>
          <w:lang w:val="en-GB"/>
        </w:rPr>
        <w:t>Despite NuoL-only exit, all three ALS and the E-channel are essential, being responsible for the eventual transfer of one pumped proton each. Therefore, the varying number of ALS is related to the number of protons pumped per cycle in each of evolutionary-related complexes, such as MRP</w:t>
      </w:r>
      <w:hyperlink w:anchor="_ENREF_10" w:tooltip="Steiner, 2020 #1528" w:history="1"/>
      <w:r w:rsidRPr="00E97FC1">
        <w:rPr>
          <w:rFonts w:cs="Times New Roman"/>
          <w:szCs w:val="24"/>
          <w:lang w:val="en-GB"/>
        </w:rPr>
        <w:t xml:space="preserve"> </w:t>
      </w:r>
      <w:r w:rsidRPr="00E97FC1">
        <w:rPr>
          <w:rFonts w:cs="Times New Roman"/>
          <w:szCs w:val="24"/>
          <w:lang w:val="en-GB"/>
        </w:rPr>
        <w:fldChar w:fldCharType="begin" w:fldLock="1"/>
      </w:r>
      <w:r w:rsidRPr="00E97FC1">
        <w:rPr>
          <w:rFonts w:cs="Times New Roman"/>
          <w:szCs w:val="24"/>
          <w:lang w:val="en-GB"/>
        </w:rPr>
        <w:instrText>ADDIN CSL_CITATION {"citationItems":[{"id":"ITEM-1","itemData":{"DOI":"10.7554/eLife.59407","ISSN":"2050-084X","abstract":"Multiple resistance and pH adaptation (Mrp) antiporters are multi-subunit Na+ (or K+)/H+ exchangers representing an ancestor of many essential redox-driven proton pumps, such as respiratory complex I. The mechanism of coupling between ion or electron transfer and proton translocation in this large protein family is unknown. Here, we present the structure of the Mrp complex from Anoxybacillus flavithermus solved by cryo-EM at 3.0 Å resolution. It is a dimer of seven-subunit protomers with 50 trans-membrane helices each. Surface charge distribution within each monomer is remarkably asymmetric, revealing probable proton and sodium translocation pathways. On the basis of the structure we propose a mechanism where the coupling between sodium and proton translocation is facilitated by a series of electrostatic interactions between a cation and key charged residues. This mechanism is likely to be applicable to the entire family of redox proton pumps, where electron transfer to substrates replaces cation movements.","author":[{"dropping-particle":"","family":"Steiner","given":"Julia","non-dropping-particle":"","parse-names":false,"suffix":""},{"dropping-particle":"","family":"Sazanov","given":"Leonid","non-dropping-particle":"","parse-names":false,"suffix":""}],"container-title":"eLife","editor":[{"dropping-particle":"","family":"Boudker","given":"Olga","non-dropping-particle":"","parse-names":false,"suffix":""},{"dropping-particle":"","family":"Subramaniam","given":"Sriram","non-dropping-particle":"","parse-names":false,"suffix":""},{"dropping-particle":"","family":"Meyerson","given":"Joel","non-dropping-particle":"","parse-names":false,"suffix":""},{"dropping-particle":"","family":"Matthies","given":"Doreen","non-dropping-particle":"","parse-names":false,"suffix":""}],"id":"ITEM-1","issued":{"date-parts":[["2020"]]},"page":"e59407","publisher":"eLife Sciences Publications, Ltd","title":"Structure and mechanism of the Mrp complex, an ancient cation/proton antiporter","type":"article-journal","volume":"9"},"uris":["http://www.mendeley.com/documents/?uuid=ed2bb927-98cf-4282-ae6c-fa24cb9a9ccb"]}],"mendeley":{"formattedCitation":"(Steiner &amp; Sazanov, 2020)","plainTextFormattedCitation":"(Steiner &amp; Sazanov, 2020)","previouslyFormattedCitation":"(Steiner &amp; Sazanov, 2020)"},"properties":{"noteIndex":0},"schema":"https://github.com/citation-style-language/schema/raw/master/csl-citation.json"}</w:instrText>
      </w:r>
      <w:r w:rsidRPr="00E97FC1">
        <w:rPr>
          <w:rFonts w:cs="Times New Roman"/>
          <w:szCs w:val="24"/>
          <w:lang w:val="en-GB"/>
        </w:rPr>
        <w:fldChar w:fldCharType="separate"/>
      </w:r>
      <w:r w:rsidRPr="00E97FC1">
        <w:rPr>
          <w:rFonts w:cs="Times New Roman"/>
          <w:noProof/>
          <w:szCs w:val="24"/>
          <w:lang w:val="en-GB"/>
        </w:rPr>
        <w:t>(Steiner &amp; Sazanov, 2020)</w:t>
      </w:r>
      <w:r w:rsidRPr="00E97FC1">
        <w:rPr>
          <w:rFonts w:cs="Times New Roman"/>
          <w:szCs w:val="24"/>
          <w:lang w:val="en-GB"/>
        </w:rPr>
        <w:fldChar w:fldCharType="end"/>
      </w:r>
      <w:r w:rsidRPr="00E97FC1">
        <w:rPr>
          <w:rFonts w:cs="Times New Roman"/>
          <w:szCs w:val="24"/>
          <w:lang w:val="en-GB"/>
        </w:rPr>
        <w:t xml:space="preserve">, MBH and MBS, according to the available redox energy </w:t>
      </w:r>
      <w:r w:rsidRPr="00E97FC1">
        <w:rPr>
          <w:rFonts w:cs="Times New Roman"/>
          <w:szCs w:val="24"/>
          <w:lang w:val="en-GB"/>
        </w:rPr>
        <w:fldChar w:fldCharType="begin" w:fldLock="1"/>
      </w:r>
      <w:r w:rsidRPr="00E97FC1">
        <w:rPr>
          <w:rFonts w:cs="Times New Roman"/>
          <w:szCs w:val="24"/>
          <w:lang w:val="en-GB"/>
        </w:rPr>
        <w:instrText>ADDIN CSL_CITATION {"citationItems":[{"id":"ITEM-1","itemData":{"DOI":"10.1016/j.jbc.2021.100740","ISSN":"1083-351X (Electronic)","PMID":"33957129","abstract":"The modern-day respiratory complex I shares a common ancestor with the  membrane-bound hydrogenase (MBH) and membrane-bound sulfane sulfur reductase (MBS). MBH and MBS use protons and sulfur as their respective electron sinks, which helped to conserve energy during early life in the Proterozoic era when the Earth's atmosphere was low in oxygen. MBH and MBS likely evolved from an integration of an ancestral, membrane-embedded, multiple resistance and pH antiporter and a soluble redox-active module encompassing a [NiFe] hydrogenase. In this review, we discuss how the structures of MBH, MBS, multiple resistance and pH, photosynthetic NADH dehydrogenase-like complex type-1, and complex I, which have been determined recently, thanks to the advent of high-resolution cryo-EM, have significantly improved our understanding of the catalytic reaction mechanisms and the evolutionary relationships of the respiratory complexes.","author":[{"dropping-particle":"","family":"Yu","given":"Hongjun","non-dropping-particle":"","parse-names":false,"suffix":""},{"dropping-particle":"","family":"Schut","given":"Gerrit J","non-dropping-particle":"","parse-names":false,"suffix":""},{"dropping-particle":"","family":"Haja","given":"Domink K","non-dropping-particle":"","parse-names":false,"suffix":""},{"dropping-particle":"","family":"Adams","given":"Michael W W","non-dropping-particle":"","parse-names":false,"suffix":""},{"dropping-particle":"","family":"Li","given":"Huilin","non-dropping-particle":"","parse-names":false,"suffix":""}],"container-title":"The Journal of biological chemistry","id":"ITEM-1","issued":{"date-parts":[["2021"]]},"language":"eng","page":"100740","publisher-place":"United States","title":"Evolution of complex I-like respiratory complexes.","type":"article-journal","volume":"296"},"uris":["http://www.mendeley.com/documents/?uuid=f84d7bf3-5311-4adb-9aae-7be302a8c2fd","http://www.mendeley.com/documents/?uuid=d80c2fa0-4955-4c79-99d6-b07822ff394e"]}],"mendeley":{"formattedCitation":"(Yu &lt;i&gt;et al&lt;/i&gt;, 2021)","plainTextFormattedCitation":"(Yu et al, 2021)","previouslyFormattedCitation":"(Yu &lt;i&gt;et al&lt;/i&gt;, 2021)"},"properties":{"noteIndex":0},"schema":"https://github.com/citation-style-language/schema/raw/master/csl-citation.json"}</w:instrText>
      </w:r>
      <w:r w:rsidRPr="00E97FC1">
        <w:rPr>
          <w:rFonts w:cs="Times New Roman"/>
          <w:szCs w:val="24"/>
          <w:lang w:val="en-GB"/>
        </w:rPr>
        <w:fldChar w:fldCharType="separate"/>
      </w:r>
      <w:r w:rsidRPr="00E97FC1">
        <w:rPr>
          <w:rFonts w:cs="Times New Roman"/>
          <w:noProof/>
          <w:szCs w:val="24"/>
          <w:lang w:val="en-GB"/>
        </w:rPr>
        <w:t xml:space="preserve">(Yu </w:t>
      </w:r>
      <w:r w:rsidRPr="00E97FC1">
        <w:rPr>
          <w:rFonts w:cs="Times New Roman"/>
          <w:i/>
          <w:noProof/>
          <w:szCs w:val="24"/>
          <w:lang w:val="en-GB"/>
        </w:rPr>
        <w:t>et al</w:t>
      </w:r>
      <w:r w:rsidRPr="00E97FC1">
        <w:rPr>
          <w:rFonts w:cs="Times New Roman"/>
          <w:noProof/>
          <w:szCs w:val="24"/>
          <w:lang w:val="en-GB"/>
        </w:rPr>
        <w:t>, 2021)</w:t>
      </w:r>
      <w:r w:rsidRPr="00E97FC1">
        <w:rPr>
          <w:rFonts w:cs="Times New Roman"/>
          <w:szCs w:val="24"/>
          <w:lang w:val="en-GB"/>
        </w:rPr>
        <w:fldChar w:fldCharType="end"/>
      </w:r>
      <w:r w:rsidRPr="00E97FC1">
        <w:rPr>
          <w:rFonts w:cs="Times New Roman"/>
          <w:szCs w:val="24"/>
          <w:lang w:val="en-GB"/>
        </w:rPr>
        <w:t xml:space="preserve">. The mechanism appears to be conserved: the Q-like cavity encloses different substrates, such as sodium ions, plastoquinone, hydrogen or polysulfide, while the principle of the redox charge action via the lateral proton transfer along the central axis remains fully applicable </w:t>
      </w:r>
      <w:r w:rsidRPr="00E97FC1">
        <w:rPr>
          <w:rFonts w:cs="Times New Roman"/>
          <w:szCs w:val="24"/>
          <w:lang w:val="en-GB"/>
        </w:rPr>
        <w:fldChar w:fldCharType="begin" w:fldLock="1"/>
      </w:r>
      <w:r w:rsidRPr="00E97FC1">
        <w:rPr>
          <w:rFonts w:cs="Times New Roman"/>
          <w:szCs w:val="24"/>
          <w:lang w:val="en-GB"/>
        </w:rPr>
        <w:instrText>ADDIN CSL_CITATION {"citationItems":[{"id":"ITEM-1","itemData":{"DOI":"10.7554/eLife.59407","ISSN":"2050-084X","abstract":"Multiple resistance and pH adaptation (Mrp) antiporters are multi-subunit Na+ (or K+)/H+ exchangers representing an ancestor of many essential redox-driven proton pumps, such as respiratory complex I. The mechanism of coupling between ion or electron transfer and proton translocation in this large protein family is unknown. Here, we present the structure of the Mrp complex from Anoxybacillus flavithermus solved by cryo-EM at 3.0 Å resolution. It is a dimer of seven-subunit protomers with 50 trans-membrane helices each. Surface charge distribution within each monomer is remarkably asymmetric, revealing probable proton and sodium translocation pathways. On the basis of the structure we propose a mechanism where the coupling between sodium and proton translocation is facilitated by a series of electrostatic interactions between a cation and key charged residues. This mechanism is likely to be applicable to the entire family of redox proton pumps, where electron transfer to substrates replaces cation movements.","author":[{"dropping-particle":"","family":"Steiner","given":"Julia","non-dropping-particle":"","parse-names":false,"suffix":""},{"dropping-particle":"","family":"Sazanov","given":"Leonid","non-dropping-particle":"","parse-names":false,"suffix":""}],"container-title":"eLife","editor":[{"dropping-particle":"","family":"Boudker","given":"Olga","non-dropping-particle":"","parse-names":false,"suffix":""},{"dropping-particle":"","family":"Subramaniam","given":"Sriram","non-dropping-particle":"","parse-names":false,"suffix":""},{"dropping-particle":"","family":"Meyerson","given":"Joel","non-dropping-particle":"","parse-names":false,"suffix":""},{"dropping-particle":"","family":"Matthies","given":"Doreen","non-dropping-particle":"","parse-names":false,"suffix":""}],"id":"ITEM-1","issued":{"date-parts":[["2020"]]},"page":"e59407","publisher":"eLife Sciences Publications, Ltd","title":"Structure and mechanism of the Mrp complex, an ancient cation/proton antiporter","type":"article-journal","volume":"9"},"uris":["http://www.mendeley.com/documents/?uuid=ed2bb927-98cf-4282-ae6c-fa24cb9a9ccb"]}],"mendeley":{"formattedCitation":"(Steiner &amp; Sazanov, 2020)","plainTextFormattedCitation":"(Steiner &amp; Sazanov, 2020)","previouslyFormattedCitation":"(Steiner &amp; Sazanov, 2020)"},"properties":{"noteIndex":0},"schema":"https://github.com/citation-style-language/schema/raw/master/csl-citation.json"}</w:instrText>
      </w:r>
      <w:r w:rsidRPr="00E97FC1">
        <w:rPr>
          <w:rFonts w:cs="Times New Roman"/>
          <w:szCs w:val="24"/>
          <w:lang w:val="en-GB"/>
        </w:rPr>
        <w:fldChar w:fldCharType="separate"/>
      </w:r>
      <w:r w:rsidRPr="00E97FC1">
        <w:rPr>
          <w:rFonts w:cs="Times New Roman"/>
          <w:noProof/>
          <w:szCs w:val="24"/>
          <w:lang w:val="en-GB"/>
        </w:rPr>
        <w:t>(Steiner &amp; Sazanov, 2020)</w:t>
      </w:r>
      <w:r w:rsidRPr="00E97FC1">
        <w:rPr>
          <w:rFonts w:cs="Times New Roman"/>
          <w:szCs w:val="24"/>
          <w:lang w:val="en-GB"/>
        </w:rPr>
        <w:fldChar w:fldCharType="end"/>
      </w:r>
      <w:r w:rsidRPr="00E97FC1">
        <w:rPr>
          <w:rFonts w:cs="Times New Roman"/>
          <w:szCs w:val="24"/>
          <w:lang w:val="en-GB"/>
        </w:rPr>
        <w:t xml:space="preserve">. </w:t>
      </w:r>
    </w:p>
    <w:p w14:paraId="5F8DAC05" w14:textId="77777777" w:rsidR="00E00AD5" w:rsidRPr="00E97FC1" w:rsidRDefault="00E00AD5" w:rsidP="00CE3E6F">
      <w:pPr>
        <w:ind w:firstLine="720"/>
        <w:rPr>
          <w:rFonts w:cs="Times New Roman"/>
          <w:szCs w:val="24"/>
          <w:lang w:val="en-GB"/>
        </w:rPr>
      </w:pPr>
    </w:p>
    <w:p w14:paraId="590D25D7" w14:textId="77777777" w:rsidR="00E00AD5" w:rsidRPr="00E97FC1" w:rsidRDefault="00E00AD5" w:rsidP="00CE3E6F">
      <w:pPr>
        <w:ind w:firstLine="720"/>
        <w:rPr>
          <w:rFonts w:cs="Times New Roman"/>
          <w:szCs w:val="24"/>
          <w:lang w:val="en-GB"/>
        </w:rPr>
      </w:pPr>
    </w:p>
    <w:p w14:paraId="687183C4" w14:textId="77777777" w:rsidR="00E00AD5" w:rsidRPr="00E97FC1" w:rsidRDefault="00E00AD5" w:rsidP="00CE3E6F">
      <w:pPr>
        <w:ind w:firstLine="720"/>
        <w:rPr>
          <w:rFonts w:cs="Times New Roman"/>
          <w:i/>
          <w:szCs w:val="24"/>
          <w:lang w:val="en-GB"/>
        </w:rPr>
      </w:pPr>
      <w:r w:rsidRPr="00E97FC1">
        <w:rPr>
          <w:rFonts w:cs="Times New Roman"/>
          <w:i/>
          <w:szCs w:val="24"/>
          <w:lang w:val="en-GB"/>
        </w:rPr>
        <w:t>For clarity and to help understanding, below we provide a full sequence of events during proton ejection (Step 5).</w:t>
      </w:r>
    </w:p>
    <w:p w14:paraId="65D8EE29" w14:textId="77777777" w:rsidR="00E00AD5" w:rsidRPr="00E97FC1" w:rsidRDefault="00E00AD5" w:rsidP="00CE3E6F">
      <w:pPr>
        <w:ind w:firstLine="720"/>
        <w:rPr>
          <w:rFonts w:cs="Times New Roman"/>
          <w:szCs w:val="24"/>
          <w:lang w:val="en-GB"/>
        </w:rPr>
      </w:pPr>
    </w:p>
    <w:p w14:paraId="4E3593AE" w14:textId="77777777" w:rsidR="00E00AD5" w:rsidRPr="00E97FC1" w:rsidRDefault="00E00AD5" w:rsidP="00CE3E6F">
      <w:pPr>
        <w:ind w:firstLine="720"/>
        <w:rPr>
          <w:rFonts w:cs="Times New Roman"/>
          <w:szCs w:val="24"/>
          <w:lang w:val="en-GB"/>
        </w:rPr>
      </w:pPr>
      <w:r w:rsidRPr="00E97FC1">
        <w:rPr>
          <w:rFonts w:cs="Times New Roman"/>
          <w:szCs w:val="24"/>
          <w:lang w:val="en-GB"/>
        </w:rPr>
        <w:t xml:space="preserve">After the first proton from </w:t>
      </w:r>
      <w:r w:rsidRPr="00E97FC1">
        <w:rPr>
          <w:rFonts w:cs="Times New Roman"/>
          <w:szCs w:val="24"/>
          <w:vertAlign w:val="subscript"/>
          <w:lang w:val="en-GB"/>
        </w:rPr>
        <w:t>L</w:t>
      </w:r>
      <w:r w:rsidRPr="00E97FC1">
        <w:rPr>
          <w:rFonts w:cs="Times New Roman"/>
          <w:i/>
          <w:szCs w:val="24"/>
          <w:lang w:val="en-GB"/>
        </w:rPr>
        <w:t>TM12</w:t>
      </w:r>
      <w:r w:rsidRPr="00E97FC1">
        <w:rPr>
          <w:rFonts w:cs="Times New Roman"/>
          <w:szCs w:val="24"/>
          <w:lang w:val="en-GB"/>
        </w:rPr>
        <w:t xml:space="preserve"> is released into IMS/periplasm (1 H</w:t>
      </w:r>
      <w:r w:rsidRPr="00E97FC1">
        <w:rPr>
          <w:rFonts w:cs="Times New Roman"/>
          <w:szCs w:val="24"/>
          <w:vertAlign w:val="superscript"/>
          <w:lang w:val="en-GB"/>
        </w:rPr>
        <w:t>+</w:t>
      </w:r>
      <w:r w:rsidRPr="00E97FC1">
        <w:rPr>
          <w:rFonts w:cs="Times New Roman"/>
          <w:szCs w:val="24"/>
          <w:lang w:val="en-GB"/>
        </w:rPr>
        <w:t xml:space="preserve"> pumped so far), and a sequence of proton hops from </w:t>
      </w:r>
      <w:r w:rsidRPr="00E97FC1">
        <w:rPr>
          <w:rFonts w:cs="Times New Roman"/>
          <w:szCs w:val="24"/>
          <w:vertAlign w:val="subscript"/>
          <w:lang w:val="en-GB"/>
        </w:rPr>
        <w:t>L</w:t>
      </w:r>
      <w:r w:rsidRPr="00E97FC1">
        <w:rPr>
          <w:rFonts w:cs="Times New Roman"/>
          <w:i/>
          <w:szCs w:val="24"/>
          <w:lang w:val="en-GB"/>
        </w:rPr>
        <w:t>TM8</w:t>
      </w:r>
      <w:r w:rsidRPr="00E97FC1">
        <w:rPr>
          <w:rFonts w:cs="Times New Roman"/>
          <w:szCs w:val="24"/>
          <w:lang w:val="en-GB"/>
        </w:rPr>
        <w:t xml:space="preserve"> to </w:t>
      </w:r>
      <w:r w:rsidRPr="00E97FC1">
        <w:rPr>
          <w:rFonts w:cs="Times New Roman"/>
          <w:szCs w:val="24"/>
          <w:vertAlign w:val="subscript"/>
          <w:lang w:val="en-GB"/>
        </w:rPr>
        <w:t>L</w:t>
      </w:r>
      <w:r w:rsidRPr="00E97FC1">
        <w:rPr>
          <w:rFonts w:cs="Times New Roman"/>
          <w:i/>
          <w:szCs w:val="24"/>
          <w:lang w:val="en-GB"/>
        </w:rPr>
        <w:t>TM12</w:t>
      </w:r>
      <w:r w:rsidRPr="00E97FC1">
        <w:rPr>
          <w:rFonts w:cs="Times New Roman"/>
          <w:szCs w:val="24"/>
          <w:lang w:val="en-GB"/>
        </w:rPr>
        <w:t xml:space="preserve">, </w:t>
      </w:r>
      <w:r w:rsidRPr="00E97FC1">
        <w:rPr>
          <w:rFonts w:cs="Times New Roman"/>
          <w:szCs w:val="24"/>
          <w:vertAlign w:val="subscript"/>
          <w:lang w:val="en-GB"/>
        </w:rPr>
        <w:t>L</w:t>
      </w:r>
      <w:r w:rsidRPr="00E97FC1">
        <w:rPr>
          <w:rFonts w:cs="Times New Roman"/>
          <w:i/>
          <w:szCs w:val="24"/>
          <w:lang w:val="en-GB"/>
        </w:rPr>
        <w:t>TM7</w:t>
      </w:r>
      <w:r w:rsidRPr="00E97FC1">
        <w:rPr>
          <w:rFonts w:cs="Times New Roman"/>
          <w:szCs w:val="24"/>
          <w:lang w:val="en-GB"/>
        </w:rPr>
        <w:t xml:space="preserve"> to </w:t>
      </w:r>
      <w:r w:rsidRPr="00E97FC1">
        <w:rPr>
          <w:rFonts w:cs="Times New Roman"/>
          <w:szCs w:val="24"/>
          <w:vertAlign w:val="subscript"/>
          <w:lang w:val="en-GB"/>
        </w:rPr>
        <w:t>L</w:t>
      </w:r>
      <w:r w:rsidRPr="00E97FC1">
        <w:rPr>
          <w:rFonts w:cs="Times New Roman"/>
          <w:i/>
          <w:szCs w:val="24"/>
          <w:lang w:val="en-GB"/>
        </w:rPr>
        <w:t>TM8</w:t>
      </w:r>
      <w:r w:rsidRPr="00E97FC1">
        <w:rPr>
          <w:rFonts w:cs="Times New Roman"/>
          <w:szCs w:val="24"/>
          <w:lang w:val="en-GB"/>
        </w:rPr>
        <w:t xml:space="preserve"> and </w:t>
      </w:r>
      <w:r w:rsidRPr="00E97FC1">
        <w:rPr>
          <w:rFonts w:cs="Times New Roman"/>
          <w:szCs w:val="24"/>
          <w:vertAlign w:val="subscript"/>
          <w:lang w:val="en-GB"/>
        </w:rPr>
        <w:t>M</w:t>
      </w:r>
      <w:r w:rsidRPr="00E97FC1">
        <w:rPr>
          <w:rFonts w:cs="Times New Roman"/>
          <w:i/>
          <w:szCs w:val="24"/>
          <w:lang w:val="en-GB"/>
        </w:rPr>
        <w:t>TM12</w:t>
      </w:r>
      <w:r w:rsidRPr="00E97FC1">
        <w:rPr>
          <w:rFonts w:cs="Times New Roman"/>
          <w:szCs w:val="24"/>
          <w:lang w:val="en-GB"/>
        </w:rPr>
        <w:t xml:space="preserve"> to </w:t>
      </w:r>
      <w:r w:rsidRPr="00E97FC1">
        <w:rPr>
          <w:rFonts w:cs="Times New Roman"/>
          <w:szCs w:val="24"/>
          <w:vertAlign w:val="subscript"/>
          <w:lang w:val="en-GB"/>
        </w:rPr>
        <w:t>L</w:t>
      </w:r>
      <w:r w:rsidRPr="00E97FC1">
        <w:rPr>
          <w:rFonts w:cs="Times New Roman"/>
          <w:i/>
          <w:szCs w:val="24"/>
          <w:lang w:val="en-GB"/>
        </w:rPr>
        <w:t>TM5</w:t>
      </w:r>
      <w:r w:rsidRPr="00E97FC1">
        <w:rPr>
          <w:rFonts w:cs="Times New Roman"/>
          <w:szCs w:val="24"/>
          <w:lang w:val="en-GB"/>
        </w:rPr>
        <w:t>, repeating twice more in NuoM/N</w:t>
      </w:r>
      <w:r w:rsidRPr="00E97FC1">
        <w:rPr>
          <w:rFonts w:cs="Times New Roman"/>
          <w:i/>
          <w:szCs w:val="24"/>
          <w:lang w:val="en-GB"/>
        </w:rPr>
        <w:t xml:space="preserve"> </w:t>
      </w:r>
      <w:r w:rsidRPr="00E97FC1">
        <w:rPr>
          <w:rFonts w:cs="Times New Roman"/>
          <w:szCs w:val="24"/>
          <w:lang w:val="en-GB"/>
        </w:rPr>
        <w:t xml:space="preserve">and ending with </w:t>
      </w:r>
      <w:r w:rsidRPr="00E97FC1">
        <w:rPr>
          <w:rFonts w:cs="Times New Roman"/>
          <w:szCs w:val="24"/>
          <w:vertAlign w:val="subscript"/>
          <w:lang w:val="en-GB"/>
        </w:rPr>
        <w:t>K</w:t>
      </w:r>
      <w:r w:rsidRPr="00E97FC1">
        <w:rPr>
          <w:rFonts w:cs="Times New Roman"/>
          <w:szCs w:val="24"/>
          <w:lang w:val="en-GB"/>
        </w:rPr>
        <w:t xml:space="preserve">E72 donating proton to </w:t>
      </w:r>
      <w:r w:rsidRPr="00E97FC1">
        <w:rPr>
          <w:rFonts w:cs="Times New Roman"/>
          <w:szCs w:val="24"/>
          <w:vertAlign w:val="subscript"/>
          <w:lang w:val="en-GB"/>
        </w:rPr>
        <w:t>N</w:t>
      </w:r>
      <w:r w:rsidRPr="00E97FC1">
        <w:rPr>
          <w:rFonts w:cs="Times New Roman"/>
          <w:i/>
          <w:szCs w:val="24"/>
          <w:lang w:val="en-GB"/>
        </w:rPr>
        <w:t>TM5</w:t>
      </w:r>
      <w:r w:rsidRPr="00E97FC1">
        <w:rPr>
          <w:rFonts w:cs="Times New Roman"/>
          <w:szCs w:val="24"/>
          <w:lang w:val="en-GB"/>
        </w:rPr>
        <w:t xml:space="preserve">, the situation </w:t>
      </w:r>
      <w:r w:rsidRPr="00E97FC1">
        <w:rPr>
          <w:rFonts w:cs="Times New Roman"/>
          <w:szCs w:val="24"/>
          <w:lang w:val="en-GB"/>
        </w:rPr>
        <w:lastRenderedPageBreak/>
        <w:t xml:space="preserve">will be as follows, with signs indicating the protonation state (0 or +) of key TM12, TM8, TM7, TM5 residues in antiporters and </w:t>
      </w:r>
      <w:r w:rsidRPr="00E97FC1">
        <w:rPr>
          <w:rFonts w:cs="Times New Roman"/>
          <w:szCs w:val="24"/>
          <w:vertAlign w:val="subscript"/>
          <w:lang w:val="en-GB"/>
        </w:rPr>
        <w:t>K</w:t>
      </w:r>
      <w:r w:rsidRPr="00E97FC1">
        <w:rPr>
          <w:rFonts w:cs="Times New Roman"/>
          <w:szCs w:val="24"/>
          <w:lang w:val="en-GB"/>
        </w:rPr>
        <w:t>E72/E36 in the E-channel, respectively:</w:t>
      </w:r>
    </w:p>
    <w:p w14:paraId="786F4C8E" w14:textId="77777777" w:rsidR="00E00AD5" w:rsidRPr="00E97FC1" w:rsidRDefault="00E00AD5" w:rsidP="00CE3E6F">
      <w:pPr>
        <w:ind w:firstLine="720"/>
        <w:rPr>
          <w:rFonts w:cs="Times New Roman"/>
          <w:szCs w:val="24"/>
          <w:lang w:val="en-GB"/>
        </w:rPr>
      </w:pPr>
      <w:r w:rsidRPr="00E97FC1">
        <w:rPr>
          <w:rFonts w:cs="Times New Roman"/>
          <w:szCs w:val="24"/>
          <w:lang w:val="en-GB"/>
        </w:rPr>
        <w:t xml:space="preserve">L (++0+), M (++0+), N(++0+), E-channel (0+). </w:t>
      </w:r>
    </w:p>
    <w:p w14:paraId="60D8D553" w14:textId="77777777" w:rsidR="00E00AD5" w:rsidRPr="00E97FC1" w:rsidRDefault="00E00AD5" w:rsidP="00CE3E6F">
      <w:pPr>
        <w:ind w:firstLine="720"/>
        <w:rPr>
          <w:rFonts w:cs="Times New Roman"/>
          <w:szCs w:val="24"/>
          <w:lang w:val="en-GB"/>
        </w:rPr>
      </w:pPr>
      <w:r w:rsidRPr="00E97FC1">
        <w:rPr>
          <w:rFonts w:cs="Times New Roman"/>
          <w:szCs w:val="24"/>
          <w:lang w:val="en-GB"/>
        </w:rPr>
        <w:t xml:space="preserve">At this stage the freshly arrived </w:t>
      </w:r>
      <w:r w:rsidRPr="00E97FC1">
        <w:rPr>
          <w:rFonts w:cs="Times New Roman"/>
          <w:szCs w:val="24"/>
          <w:vertAlign w:val="subscript"/>
          <w:lang w:val="en-GB"/>
        </w:rPr>
        <w:t>M/N</w:t>
      </w:r>
      <w:r w:rsidRPr="00E97FC1">
        <w:rPr>
          <w:rFonts w:cs="Times New Roman"/>
          <w:i/>
          <w:szCs w:val="24"/>
          <w:lang w:val="en-GB"/>
        </w:rPr>
        <w:t>TM12</w:t>
      </w:r>
      <w:r w:rsidRPr="00E97FC1">
        <w:rPr>
          <w:rFonts w:cs="Times New Roman"/>
          <w:szCs w:val="24"/>
          <w:lang w:val="en-GB"/>
        </w:rPr>
        <w:t xml:space="preserve"> protons will push </w:t>
      </w:r>
      <w:r w:rsidRPr="00E97FC1">
        <w:rPr>
          <w:rFonts w:cs="Times New Roman"/>
          <w:szCs w:val="24"/>
          <w:vertAlign w:val="subscript"/>
          <w:lang w:val="en-GB"/>
        </w:rPr>
        <w:t>L/M</w:t>
      </w:r>
      <w:r w:rsidRPr="00E97FC1">
        <w:rPr>
          <w:rFonts w:cs="Times New Roman"/>
          <w:i/>
          <w:szCs w:val="24"/>
          <w:lang w:val="en-GB"/>
        </w:rPr>
        <w:t>TM5</w:t>
      </w:r>
      <w:r w:rsidRPr="00E97FC1">
        <w:rPr>
          <w:rFonts w:cs="Times New Roman"/>
          <w:szCs w:val="24"/>
          <w:lang w:val="en-GB"/>
        </w:rPr>
        <w:t xml:space="preserve"> protons onto </w:t>
      </w:r>
      <w:r w:rsidRPr="00E97FC1">
        <w:rPr>
          <w:rFonts w:cs="Times New Roman"/>
          <w:szCs w:val="24"/>
          <w:vertAlign w:val="subscript"/>
          <w:lang w:val="en-GB"/>
        </w:rPr>
        <w:t>L/M</w:t>
      </w:r>
      <w:r w:rsidRPr="00E97FC1">
        <w:rPr>
          <w:rFonts w:cs="Times New Roman"/>
          <w:i/>
          <w:szCs w:val="24"/>
          <w:lang w:val="en-GB"/>
        </w:rPr>
        <w:t>TM7</w:t>
      </w:r>
      <w:r w:rsidRPr="00E97FC1">
        <w:rPr>
          <w:rFonts w:cs="Times New Roman"/>
          <w:szCs w:val="24"/>
          <w:lang w:val="en-GB"/>
        </w:rPr>
        <w:t xml:space="preserve">. This will re-create the state of NuoL exactly as it was at step 4 and so will push </w:t>
      </w:r>
      <w:r w:rsidRPr="00E97FC1">
        <w:rPr>
          <w:rFonts w:cs="Times New Roman"/>
          <w:szCs w:val="24"/>
          <w:vertAlign w:val="subscript"/>
          <w:lang w:val="en-GB"/>
        </w:rPr>
        <w:t>L</w:t>
      </w:r>
      <w:r w:rsidRPr="00E97FC1">
        <w:rPr>
          <w:rFonts w:cs="Times New Roman"/>
          <w:i/>
          <w:szCs w:val="24"/>
          <w:lang w:val="en-GB"/>
        </w:rPr>
        <w:t>TM12</w:t>
      </w:r>
      <w:r w:rsidRPr="00E97FC1">
        <w:rPr>
          <w:rFonts w:cs="Times New Roman"/>
          <w:szCs w:val="24"/>
          <w:lang w:val="en-GB"/>
        </w:rPr>
        <w:t xml:space="preserve"> proton out (2 H</w:t>
      </w:r>
      <w:r w:rsidRPr="00E97FC1">
        <w:rPr>
          <w:rFonts w:cs="Times New Roman"/>
          <w:szCs w:val="24"/>
          <w:vertAlign w:val="superscript"/>
          <w:lang w:val="en-GB"/>
        </w:rPr>
        <w:t>+</w:t>
      </w:r>
      <w:r w:rsidRPr="00E97FC1">
        <w:rPr>
          <w:rFonts w:cs="Times New Roman"/>
          <w:szCs w:val="24"/>
          <w:lang w:val="en-GB"/>
        </w:rPr>
        <w:t xml:space="preserve"> pumped by now). This again initiates a sequence of proton hops from </w:t>
      </w:r>
      <w:r w:rsidRPr="00E97FC1">
        <w:rPr>
          <w:rFonts w:cs="Times New Roman"/>
          <w:szCs w:val="24"/>
          <w:vertAlign w:val="subscript"/>
          <w:lang w:val="en-GB"/>
        </w:rPr>
        <w:t>L</w:t>
      </w:r>
      <w:r w:rsidRPr="00E97FC1">
        <w:rPr>
          <w:rFonts w:cs="Times New Roman"/>
          <w:i/>
          <w:szCs w:val="24"/>
          <w:lang w:val="en-GB"/>
        </w:rPr>
        <w:t>TM8</w:t>
      </w:r>
      <w:r w:rsidRPr="00E97FC1">
        <w:rPr>
          <w:rFonts w:cs="Times New Roman"/>
          <w:szCs w:val="24"/>
          <w:lang w:val="en-GB"/>
        </w:rPr>
        <w:t xml:space="preserve"> to </w:t>
      </w:r>
      <w:r w:rsidRPr="00E97FC1">
        <w:rPr>
          <w:rFonts w:cs="Times New Roman"/>
          <w:szCs w:val="24"/>
          <w:vertAlign w:val="subscript"/>
          <w:lang w:val="en-GB"/>
        </w:rPr>
        <w:t>L</w:t>
      </w:r>
      <w:r w:rsidRPr="00E97FC1">
        <w:rPr>
          <w:rFonts w:cs="Times New Roman"/>
          <w:i/>
          <w:szCs w:val="24"/>
          <w:lang w:val="en-GB"/>
        </w:rPr>
        <w:t>TM12</w:t>
      </w:r>
      <w:r w:rsidRPr="00E97FC1">
        <w:rPr>
          <w:rFonts w:cs="Times New Roman"/>
          <w:szCs w:val="24"/>
          <w:lang w:val="en-GB"/>
        </w:rPr>
        <w:t xml:space="preserve">, </w:t>
      </w:r>
      <w:r w:rsidRPr="00E97FC1">
        <w:rPr>
          <w:rFonts w:cs="Times New Roman"/>
          <w:szCs w:val="24"/>
          <w:vertAlign w:val="subscript"/>
          <w:lang w:val="en-GB"/>
        </w:rPr>
        <w:t>L</w:t>
      </w:r>
      <w:r w:rsidRPr="00E97FC1">
        <w:rPr>
          <w:rFonts w:cs="Times New Roman"/>
          <w:i/>
          <w:szCs w:val="24"/>
          <w:lang w:val="en-GB"/>
        </w:rPr>
        <w:t>TM7</w:t>
      </w:r>
      <w:r w:rsidRPr="00E97FC1">
        <w:rPr>
          <w:rFonts w:cs="Times New Roman"/>
          <w:szCs w:val="24"/>
          <w:lang w:val="en-GB"/>
        </w:rPr>
        <w:t xml:space="preserve"> to </w:t>
      </w:r>
      <w:r w:rsidRPr="00E97FC1">
        <w:rPr>
          <w:rFonts w:cs="Times New Roman"/>
          <w:szCs w:val="24"/>
          <w:vertAlign w:val="subscript"/>
          <w:lang w:val="en-GB"/>
        </w:rPr>
        <w:t>L</w:t>
      </w:r>
      <w:r w:rsidRPr="00E97FC1">
        <w:rPr>
          <w:rFonts w:cs="Times New Roman"/>
          <w:i/>
          <w:szCs w:val="24"/>
          <w:lang w:val="en-GB"/>
        </w:rPr>
        <w:t>TM8</w:t>
      </w:r>
      <w:r w:rsidRPr="00E97FC1">
        <w:rPr>
          <w:rFonts w:cs="Times New Roman"/>
          <w:szCs w:val="24"/>
          <w:lang w:val="en-GB"/>
        </w:rPr>
        <w:t xml:space="preserve"> and </w:t>
      </w:r>
      <w:r w:rsidRPr="00E97FC1">
        <w:rPr>
          <w:rFonts w:cs="Times New Roman"/>
          <w:szCs w:val="24"/>
          <w:vertAlign w:val="subscript"/>
          <w:lang w:val="en-GB"/>
        </w:rPr>
        <w:t>M</w:t>
      </w:r>
      <w:r w:rsidRPr="00E97FC1">
        <w:rPr>
          <w:rFonts w:cs="Times New Roman"/>
          <w:i/>
          <w:szCs w:val="24"/>
          <w:lang w:val="en-GB"/>
        </w:rPr>
        <w:t>TM12</w:t>
      </w:r>
      <w:r w:rsidRPr="00E97FC1">
        <w:rPr>
          <w:rFonts w:cs="Times New Roman"/>
          <w:szCs w:val="24"/>
          <w:lang w:val="en-GB"/>
        </w:rPr>
        <w:t xml:space="preserve"> to </w:t>
      </w:r>
      <w:r w:rsidRPr="00E97FC1">
        <w:rPr>
          <w:rFonts w:cs="Times New Roman"/>
          <w:szCs w:val="24"/>
          <w:vertAlign w:val="subscript"/>
          <w:lang w:val="en-GB"/>
        </w:rPr>
        <w:t>L</w:t>
      </w:r>
      <w:r w:rsidRPr="00E97FC1">
        <w:rPr>
          <w:rFonts w:cs="Times New Roman"/>
          <w:i/>
          <w:szCs w:val="24"/>
          <w:lang w:val="en-GB"/>
        </w:rPr>
        <w:t>TM5</w:t>
      </w:r>
      <w:r w:rsidRPr="00E97FC1">
        <w:rPr>
          <w:rFonts w:cs="Times New Roman"/>
          <w:szCs w:val="24"/>
          <w:lang w:val="en-GB"/>
        </w:rPr>
        <w:t xml:space="preserve">, repeating twice more in NuoM/N, and ending now with </w:t>
      </w:r>
      <w:r w:rsidRPr="00E97FC1">
        <w:rPr>
          <w:rFonts w:cs="Times New Roman"/>
          <w:szCs w:val="24"/>
          <w:vertAlign w:val="subscript"/>
          <w:lang w:val="en-GB"/>
        </w:rPr>
        <w:t>K</w:t>
      </w:r>
      <w:r w:rsidRPr="00E97FC1">
        <w:rPr>
          <w:rFonts w:cs="Times New Roman"/>
          <w:szCs w:val="24"/>
          <w:lang w:val="en-GB"/>
        </w:rPr>
        <w:t xml:space="preserve">E36 donating proton to </w:t>
      </w:r>
      <w:r w:rsidRPr="00E97FC1">
        <w:rPr>
          <w:rFonts w:cs="Times New Roman"/>
          <w:szCs w:val="24"/>
          <w:vertAlign w:val="subscript"/>
          <w:lang w:val="en-GB"/>
        </w:rPr>
        <w:t>N</w:t>
      </w:r>
      <w:r w:rsidRPr="00E97FC1">
        <w:rPr>
          <w:rFonts w:cs="Times New Roman"/>
          <w:i/>
          <w:szCs w:val="24"/>
          <w:lang w:val="en-GB"/>
        </w:rPr>
        <w:t>TM5</w:t>
      </w:r>
      <w:r w:rsidRPr="00E97FC1">
        <w:rPr>
          <w:rFonts w:cs="Times New Roman"/>
          <w:szCs w:val="24"/>
          <w:lang w:val="en-GB"/>
        </w:rPr>
        <w:t>, which will create the following distribution:</w:t>
      </w:r>
    </w:p>
    <w:p w14:paraId="797CC729" w14:textId="77777777" w:rsidR="00E00AD5" w:rsidRPr="00E97FC1" w:rsidRDefault="00E00AD5" w:rsidP="00CE3E6F">
      <w:pPr>
        <w:ind w:firstLine="720"/>
        <w:rPr>
          <w:rFonts w:cs="Times New Roman"/>
          <w:szCs w:val="24"/>
          <w:lang w:val="en-GB"/>
        </w:rPr>
      </w:pPr>
      <w:r w:rsidRPr="00E97FC1">
        <w:rPr>
          <w:rFonts w:cs="Times New Roman"/>
          <w:szCs w:val="24"/>
          <w:lang w:val="en-GB"/>
        </w:rPr>
        <w:t xml:space="preserve"> L (++0+), M (++0+), N(++0+), E-channel (00). </w:t>
      </w:r>
    </w:p>
    <w:p w14:paraId="42F17352" w14:textId="77777777" w:rsidR="00E00AD5" w:rsidRPr="00E97FC1" w:rsidRDefault="00E00AD5" w:rsidP="00CE3E6F">
      <w:pPr>
        <w:ind w:firstLine="720"/>
        <w:rPr>
          <w:rFonts w:cs="Times New Roman"/>
          <w:szCs w:val="24"/>
          <w:lang w:val="en-GB"/>
        </w:rPr>
      </w:pPr>
      <w:r w:rsidRPr="00E97FC1">
        <w:rPr>
          <w:rFonts w:cs="Times New Roman"/>
          <w:szCs w:val="24"/>
          <w:lang w:val="en-GB"/>
        </w:rPr>
        <w:t>Another repeat of the steps just above (3 H</w:t>
      </w:r>
      <w:r w:rsidRPr="00E97FC1">
        <w:rPr>
          <w:rFonts w:cs="Times New Roman"/>
          <w:szCs w:val="24"/>
          <w:vertAlign w:val="superscript"/>
          <w:lang w:val="en-GB"/>
        </w:rPr>
        <w:t>+</w:t>
      </w:r>
      <w:r w:rsidRPr="00E97FC1">
        <w:rPr>
          <w:rFonts w:cs="Times New Roman"/>
          <w:szCs w:val="24"/>
          <w:lang w:val="en-GB"/>
        </w:rPr>
        <w:t xml:space="preserve"> pumped by now), but now ending with </w:t>
      </w:r>
      <w:r w:rsidRPr="00E97FC1">
        <w:rPr>
          <w:rFonts w:cs="Times New Roman"/>
          <w:szCs w:val="24"/>
          <w:vertAlign w:val="subscript"/>
          <w:lang w:val="en-GB"/>
        </w:rPr>
        <w:t>N</w:t>
      </w:r>
      <w:r w:rsidRPr="00E97FC1">
        <w:rPr>
          <w:rFonts w:cs="Times New Roman"/>
          <w:i/>
          <w:szCs w:val="24"/>
          <w:lang w:val="en-GB"/>
        </w:rPr>
        <w:t>TM12</w:t>
      </w:r>
      <w:r w:rsidRPr="00E97FC1">
        <w:rPr>
          <w:rFonts w:cs="Times New Roman"/>
          <w:szCs w:val="24"/>
          <w:lang w:val="en-GB"/>
        </w:rPr>
        <w:t xml:space="preserve"> donating proton to </w:t>
      </w:r>
      <w:r w:rsidRPr="00E97FC1">
        <w:rPr>
          <w:rFonts w:cs="Times New Roman"/>
          <w:szCs w:val="24"/>
          <w:vertAlign w:val="subscript"/>
          <w:lang w:val="en-GB"/>
        </w:rPr>
        <w:t>M</w:t>
      </w:r>
      <w:r w:rsidRPr="00E97FC1">
        <w:rPr>
          <w:rFonts w:cs="Times New Roman"/>
          <w:i/>
          <w:szCs w:val="24"/>
          <w:lang w:val="en-GB"/>
        </w:rPr>
        <w:t>TM5</w:t>
      </w:r>
      <w:r w:rsidRPr="00E97FC1">
        <w:rPr>
          <w:rFonts w:cs="Times New Roman"/>
          <w:szCs w:val="24"/>
          <w:lang w:val="en-GB"/>
        </w:rPr>
        <w:t>, will result in the following distribution:</w:t>
      </w:r>
    </w:p>
    <w:p w14:paraId="43E1DB58" w14:textId="77777777" w:rsidR="00E00AD5" w:rsidRPr="00E97FC1" w:rsidRDefault="00E00AD5" w:rsidP="00CE3E6F">
      <w:pPr>
        <w:ind w:firstLine="720"/>
        <w:rPr>
          <w:rFonts w:cs="Times New Roman"/>
          <w:szCs w:val="24"/>
          <w:lang w:val="en-GB"/>
        </w:rPr>
      </w:pPr>
      <w:r w:rsidRPr="00E97FC1">
        <w:rPr>
          <w:rFonts w:cs="Times New Roman"/>
          <w:szCs w:val="24"/>
          <w:lang w:val="en-GB"/>
        </w:rPr>
        <w:t xml:space="preserve">L (++0+), M (++0+), N(0+0+), E-channel (00). </w:t>
      </w:r>
    </w:p>
    <w:p w14:paraId="4AA88E8B" w14:textId="77777777" w:rsidR="00E00AD5" w:rsidRPr="00E97FC1" w:rsidRDefault="00E00AD5" w:rsidP="00CE3E6F">
      <w:pPr>
        <w:ind w:firstLine="720"/>
        <w:rPr>
          <w:rFonts w:cs="Times New Roman"/>
          <w:szCs w:val="24"/>
          <w:lang w:val="en-GB"/>
        </w:rPr>
      </w:pPr>
      <w:r w:rsidRPr="00E97FC1">
        <w:rPr>
          <w:rFonts w:cs="Times New Roman"/>
          <w:szCs w:val="24"/>
          <w:lang w:val="en-GB"/>
        </w:rPr>
        <w:t>Finally, another repeat of the steps above (4 H</w:t>
      </w:r>
      <w:r w:rsidRPr="00E97FC1">
        <w:rPr>
          <w:rFonts w:cs="Times New Roman"/>
          <w:szCs w:val="24"/>
          <w:vertAlign w:val="superscript"/>
          <w:lang w:val="en-GB"/>
        </w:rPr>
        <w:t>+</w:t>
      </w:r>
      <w:r w:rsidRPr="00E97FC1">
        <w:rPr>
          <w:rFonts w:cs="Times New Roman"/>
          <w:szCs w:val="24"/>
          <w:lang w:val="en-GB"/>
        </w:rPr>
        <w:t xml:space="preserve"> pumped at this stage, accounting for full stoichiometry), but now ending with </w:t>
      </w:r>
      <w:r w:rsidRPr="00E97FC1">
        <w:rPr>
          <w:rFonts w:cs="Times New Roman"/>
          <w:szCs w:val="24"/>
          <w:vertAlign w:val="subscript"/>
          <w:lang w:val="en-GB"/>
        </w:rPr>
        <w:t>M</w:t>
      </w:r>
      <w:r w:rsidRPr="00E97FC1">
        <w:rPr>
          <w:rFonts w:cs="Times New Roman"/>
          <w:i/>
          <w:szCs w:val="24"/>
          <w:lang w:val="en-GB"/>
        </w:rPr>
        <w:t>TM12</w:t>
      </w:r>
      <w:r w:rsidRPr="00E97FC1">
        <w:rPr>
          <w:rFonts w:cs="Times New Roman"/>
          <w:szCs w:val="24"/>
          <w:lang w:val="en-GB"/>
        </w:rPr>
        <w:t xml:space="preserve"> donating proton to </w:t>
      </w:r>
      <w:r w:rsidRPr="00E97FC1">
        <w:rPr>
          <w:rFonts w:cs="Times New Roman"/>
          <w:szCs w:val="24"/>
          <w:vertAlign w:val="subscript"/>
          <w:lang w:val="en-GB"/>
        </w:rPr>
        <w:t>L</w:t>
      </w:r>
      <w:r w:rsidRPr="00E97FC1">
        <w:rPr>
          <w:rFonts w:cs="Times New Roman"/>
          <w:i/>
          <w:szCs w:val="24"/>
          <w:lang w:val="en-GB"/>
        </w:rPr>
        <w:t>TM5</w:t>
      </w:r>
      <w:r w:rsidRPr="00E97FC1">
        <w:rPr>
          <w:rFonts w:cs="Times New Roman"/>
          <w:szCs w:val="24"/>
          <w:lang w:val="en-GB"/>
        </w:rPr>
        <w:t xml:space="preserve">, will result in the following distribution, i.e. the end of Step 5 as depicted in </w:t>
      </w:r>
      <w:r w:rsidR="0084125E" w:rsidRPr="00E97FC1">
        <w:rPr>
          <w:rFonts w:cs="Times New Roman"/>
          <w:szCs w:val="24"/>
          <w:lang w:val="en-GB"/>
        </w:rPr>
        <w:t>Figure 3.10</w:t>
      </w:r>
      <w:r w:rsidRPr="00E97FC1">
        <w:rPr>
          <w:rFonts w:cs="Times New Roman"/>
          <w:szCs w:val="24"/>
          <w:lang w:val="en-GB"/>
        </w:rPr>
        <w:t>:</w:t>
      </w:r>
    </w:p>
    <w:p w14:paraId="3F714097" w14:textId="77777777" w:rsidR="00E00AD5" w:rsidRPr="00E97FC1" w:rsidRDefault="00E00AD5" w:rsidP="00CE3E6F">
      <w:pPr>
        <w:ind w:firstLine="720"/>
        <w:rPr>
          <w:rFonts w:cs="Times New Roman"/>
          <w:szCs w:val="24"/>
          <w:lang w:val="en-GB"/>
        </w:rPr>
      </w:pPr>
      <w:r w:rsidRPr="00E97FC1">
        <w:rPr>
          <w:rFonts w:cs="Times New Roman"/>
          <w:szCs w:val="24"/>
          <w:lang w:val="en-GB"/>
        </w:rPr>
        <w:t xml:space="preserve">L (++0+), M (0+0+), N(0+0+), E-channel (00). </w:t>
      </w:r>
      <w:r w:rsidRPr="00E97FC1">
        <w:rPr>
          <w:rFonts w:cs="Times New Roman"/>
          <w:szCs w:val="24"/>
          <w:lang w:val="en-GB"/>
        </w:rPr>
        <w:tab/>
      </w:r>
    </w:p>
    <w:p w14:paraId="76C7AF61" w14:textId="77777777" w:rsidR="00E00AD5" w:rsidRPr="00E97FC1" w:rsidRDefault="00E00AD5" w:rsidP="00CE3E6F">
      <w:pPr>
        <w:ind w:firstLine="720"/>
        <w:rPr>
          <w:rFonts w:cs="Times New Roman"/>
          <w:szCs w:val="24"/>
          <w:lang w:val="en-GB"/>
        </w:rPr>
      </w:pPr>
      <w:r w:rsidRPr="00E97FC1">
        <w:rPr>
          <w:rFonts w:cs="Times New Roman"/>
          <w:szCs w:val="24"/>
          <w:lang w:val="en-GB"/>
        </w:rPr>
        <w:t xml:space="preserve">Both </w:t>
      </w:r>
      <w:r w:rsidRPr="00E97FC1">
        <w:rPr>
          <w:rFonts w:cs="Times New Roman"/>
          <w:szCs w:val="24"/>
          <w:vertAlign w:val="subscript"/>
          <w:lang w:val="en-GB"/>
        </w:rPr>
        <w:t>K</w:t>
      </w:r>
      <w:r w:rsidRPr="00E97FC1">
        <w:rPr>
          <w:rFonts w:cs="Times New Roman"/>
          <w:szCs w:val="24"/>
          <w:lang w:val="en-GB"/>
        </w:rPr>
        <w:t xml:space="preserve">E36 and </w:t>
      </w:r>
      <w:r w:rsidRPr="00E97FC1">
        <w:rPr>
          <w:rFonts w:cs="Times New Roman"/>
          <w:szCs w:val="24"/>
          <w:vertAlign w:val="subscript"/>
          <w:lang w:val="en-GB"/>
        </w:rPr>
        <w:t>K</w:t>
      </w:r>
      <w:r w:rsidRPr="00E97FC1">
        <w:rPr>
          <w:rFonts w:cs="Times New Roman"/>
          <w:szCs w:val="24"/>
          <w:lang w:val="en-GB"/>
        </w:rPr>
        <w:t xml:space="preserve">E72 can donate protons to </w:t>
      </w:r>
      <w:r w:rsidRPr="00E97FC1">
        <w:rPr>
          <w:rFonts w:cs="Times New Roman"/>
          <w:szCs w:val="24"/>
          <w:vertAlign w:val="subscript"/>
          <w:lang w:val="en-GB"/>
        </w:rPr>
        <w:t>N</w:t>
      </w:r>
      <w:r w:rsidRPr="00E97FC1">
        <w:rPr>
          <w:rFonts w:cs="Times New Roman"/>
          <w:i/>
          <w:szCs w:val="24"/>
          <w:lang w:val="en-GB"/>
        </w:rPr>
        <w:t>TM5</w:t>
      </w:r>
      <w:r w:rsidRPr="00E97FC1">
        <w:rPr>
          <w:rFonts w:cs="Times New Roman"/>
          <w:szCs w:val="24"/>
          <w:lang w:val="en-GB"/>
        </w:rPr>
        <w:t xml:space="preserve"> due to arrival of positive charge to </w:t>
      </w:r>
      <w:r w:rsidRPr="00E97FC1">
        <w:rPr>
          <w:rFonts w:cs="Times New Roman"/>
          <w:szCs w:val="24"/>
          <w:vertAlign w:val="subscript"/>
          <w:lang w:val="en-GB"/>
        </w:rPr>
        <w:t>A</w:t>
      </w:r>
      <w:r w:rsidRPr="00E97FC1">
        <w:rPr>
          <w:rFonts w:cs="Times New Roman"/>
          <w:szCs w:val="24"/>
          <w:lang w:val="en-GB"/>
        </w:rPr>
        <w:t xml:space="preserve">D79 and </w:t>
      </w:r>
      <w:r w:rsidRPr="00E97FC1">
        <w:rPr>
          <w:rFonts w:cs="Times New Roman"/>
          <w:szCs w:val="24"/>
          <w:vertAlign w:val="subscript"/>
          <w:lang w:val="en-GB"/>
        </w:rPr>
        <w:t>H</w:t>
      </w:r>
      <w:r w:rsidRPr="00E97FC1">
        <w:rPr>
          <w:rFonts w:cs="Times New Roman"/>
          <w:szCs w:val="24"/>
          <w:lang w:val="en-GB"/>
        </w:rPr>
        <w:t xml:space="preserve">E157 in the open state – these residues are close enough to interact electrostatically even when </w:t>
      </w:r>
      <w:r w:rsidRPr="00E97FC1">
        <w:rPr>
          <w:rFonts w:cs="Times New Roman"/>
          <w:szCs w:val="24"/>
          <w:vertAlign w:val="subscript"/>
          <w:lang w:val="en-GB"/>
        </w:rPr>
        <w:t>J</w:t>
      </w:r>
      <w:r w:rsidRPr="00E97FC1">
        <w:rPr>
          <w:rFonts w:cs="Times New Roman"/>
          <w:szCs w:val="24"/>
          <w:lang w:val="en-GB"/>
        </w:rPr>
        <w:t xml:space="preserve">TM3 bridge is blocked (as in the open state). </w:t>
      </w:r>
    </w:p>
    <w:p w14:paraId="65A003DD" w14:textId="77777777" w:rsidR="003C3D28" w:rsidRPr="00E97FC1" w:rsidRDefault="003C3D28" w:rsidP="00CE3E6F">
      <w:pPr>
        <w:pStyle w:val="Heading3"/>
      </w:pPr>
      <w:bookmarkStart w:id="131" w:name="_Toc132640019"/>
      <w:r w:rsidRPr="00E97FC1">
        <w:t>Discussion of the mechanism and alternative proposals</w:t>
      </w:r>
      <w:bookmarkEnd w:id="131"/>
    </w:p>
    <w:p w14:paraId="46C11737" w14:textId="4CACCD37" w:rsidR="00E00AD5" w:rsidRPr="00E97FC1" w:rsidRDefault="00E00AD5" w:rsidP="00CE3E6F">
      <w:pPr>
        <w:ind w:firstLine="720"/>
        <w:rPr>
          <w:rFonts w:cs="Times New Roman"/>
          <w:szCs w:val="24"/>
          <w:lang w:val="en-GB"/>
        </w:rPr>
      </w:pPr>
      <w:r w:rsidRPr="00E97FC1">
        <w:rPr>
          <w:rFonts w:cs="Times New Roman"/>
          <w:szCs w:val="24"/>
          <w:lang w:val="en-GB"/>
        </w:rPr>
        <w:t>In some recent publications, an alternative path for substrate protons from the cytosol to the Q site was proposed at or near the W site discussed here. It involved either the transfer via specific residues in this area</w:t>
      </w:r>
      <w:r w:rsidR="00061E8F" w:rsidRPr="00E97FC1">
        <w:rPr>
          <w:rFonts w:cs="Times New Roman"/>
          <w:szCs w:val="24"/>
          <w:lang w:val="en-GB"/>
        </w:rPr>
        <w:t xml:space="preserve"> </w:t>
      </w:r>
      <w:r w:rsidR="00346DE4" w:rsidRPr="00E97FC1">
        <w:rPr>
          <w:rFonts w:cs="Times New Roman"/>
          <w:szCs w:val="24"/>
          <w:lang w:val="en-GB"/>
        </w:rPr>
        <w:fldChar w:fldCharType="begin" w:fldLock="1"/>
      </w:r>
      <w:r w:rsidR="00E55873" w:rsidRPr="00E97FC1">
        <w:rPr>
          <w:rFonts w:cs="Times New Roman"/>
          <w:szCs w:val="24"/>
          <w:lang w:val="en-GB"/>
        </w:rPr>
        <w:instrText>ADDIN CSL_CITATION {"citationItems":[{"id":"ITEM-1","itemData":{"DOI":"10.1038/s41594-020-0473-x","ISSN":"1545-9985 (Electronic)","PMID":"32747785","abstract":"Mitochondrial complex I powers ATP synthesis by oxidative phosphorylation,  exploiting the energy from ubiquinone reduction by NADH to drive protons across the energy-transducing inner membrane. Recent cryo-EM analyses of mammalian and yeast complex I have revolutionized structural and mechanistic knowledge and defined structures in different functional states. Here, we describe a 2.7-Å-resolution structure of the 42-subunit complex I from the yeast Yarrowia lipolytica containing 275 structured water molecules. We identify a proton-relay pathway for ubiquinone reduction and water molecules that connect mechanistically crucial elements and constitute proton-translocation pathways through the membrane. By comparison with known structures, we deconvolute structural changes governing the mammalian 'deactive transition' (relevant to ischemia-reperfusion injury) and their effects on the ubiquinone-binding site and a connected cavity in ND1. Our structure thus provides important insights into catalysis by this enigmatic respiratory machine.","author":[{"dropping-particle":"","family":"Grba","given":"Daniel N","non-dropping-particle":"","parse-names":false,"suffix":""},{"dropping-particle":"","family":"Hirst","given":"Judy","non-dropping-particle":"","parse-names":false,"suffix":""}],"container-title":"Nature structural &amp; molecular biology","id":"ITEM-1","issued":{"date-parts":[["2020","8"]]},"language":"eng","publisher-place":"United States","title":"Mitochondrial complex I structure reveals ordered water molecules for catalysis and  proton translocation.","type":"article-journal"},"uris":["http://www.mendeley.com/documents/?uuid=408ff879-464e-4956-a74e-90e080520fd2"]}],"mendeley":{"formattedCitation":"(Grba &amp; Hirst, 2020)","plainTextFormattedCitation":"(Grba &amp; Hirst, 2020)","previouslyFormattedCitation":"(Grba &amp; Hirst, 2020)"},"properties":{"noteIndex":0},"schema":"https://github.com/citation-style-language/schema/raw/master/csl-citation.json"}</w:instrText>
      </w:r>
      <w:r w:rsidR="00346DE4" w:rsidRPr="00E97FC1">
        <w:rPr>
          <w:rFonts w:cs="Times New Roman"/>
          <w:szCs w:val="24"/>
          <w:lang w:val="en-GB"/>
        </w:rPr>
        <w:fldChar w:fldCharType="separate"/>
      </w:r>
      <w:r w:rsidR="00E55873" w:rsidRPr="00E97FC1">
        <w:rPr>
          <w:rFonts w:cs="Times New Roman"/>
          <w:noProof/>
          <w:szCs w:val="24"/>
          <w:lang w:val="en-GB"/>
        </w:rPr>
        <w:t>(Grba &amp; Hirst, 2020)</w:t>
      </w:r>
      <w:r w:rsidR="00346DE4" w:rsidRPr="00E97FC1">
        <w:rPr>
          <w:rFonts w:cs="Times New Roman"/>
          <w:szCs w:val="24"/>
          <w:lang w:val="en-GB"/>
        </w:rPr>
        <w:fldChar w:fldCharType="end"/>
      </w:r>
      <w:r w:rsidRPr="00E97FC1">
        <w:rPr>
          <w:rFonts w:cs="Times New Roman"/>
          <w:szCs w:val="24"/>
          <w:lang w:val="en-GB"/>
        </w:rPr>
        <w:t xml:space="preserve"> or via the branching cavity (similar to cavity leading towards W site) in a gated fashion to allow access of substrate protons instead of waters</w:t>
      </w:r>
      <w:r w:rsidR="00061E8F" w:rsidRPr="00E97FC1">
        <w:rPr>
          <w:rFonts w:cs="Times New Roman"/>
          <w:szCs w:val="24"/>
          <w:lang w:val="en-GB"/>
        </w:rPr>
        <w:t xml:space="preserve"> </w:t>
      </w:r>
      <w:r w:rsidR="00346DE4" w:rsidRPr="00E97FC1">
        <w:rPr>
          <w:rFonts w:cs="Times New Roman"/>
          <w:szCs w:val="24"/>
          <w:lang w:val="en-GB"/>
        </w:rPr>
        <w:fldChar w:fldCharType="begin" w:fldLock="1"/>
      </w:r>
      <w:r w:rsidR="00776703" w:rsidRPr="00E97FC1">
        <w:rPr>
          <w:rFonts w:cs="Times New Roman"/>
          <w:szCs w:val="24"/>
          <w:lang w:val="en-GB"/>
        </w:rPr>
        <w:instrText>ADDIN CSL_CITATION {"citationItems":[{"id":"ITEM-1","itemData":{"DOI":"10.1038/s41467-020-19778-7","ISSN":"2041-1723 (Electronic)","PMID":"33243981","abstract":"Respiratory complex I catalyzes electron transfer from NADH to ubiquinone (Q)  coupled to vectorial proton translocation across the inner mitochondrial membrane. Despite recent progress in structure determination of this very large membrane protein complex, the coupling mechanism is a matter of ongoing debate and the function of accessory subunits surrounding the canonical core subunits is essentially unknown. Concerted rearrangements within a cluster of conserved loops of central subunits NDUFS2 (β1-β2(S2) loop), ND1 (TMH5-6(ND1) loop) and ND3 (TMH1-2(ND3) loop) were suggested to be critical for its proton pumping mechanism. Here, we show that stabilization of the TMH1-2(ND3) loop by accessory subunit LYRM6 (NDUFA6) is pivotal for energy conversion by mitochondrial complex I. We determined the high-resolution structure of inactive mutant F89A(LYRM6) of eukaryotic complex I from the yeast Yarrowia lipolytica and found long-range structural changes affecting the entire loop cluster. In atomistic molecular dynamics simulations of the mutant, we observed conformational transitions in the loop cluster that disrupted a putative pathway for delivery of substrate protons required in Q redox chemistry. Our results elucidate in detail the essential role of accessory subunit LYRM6 for the function of eukaryotic complex I and offer clues on its redox-linked proton pumping mechanism.","author":[{"dropping-particle":"","family":"Galemou Yoga","given":"Etienne","non-dropping-particle":"","parse-names":false,"suffix":""},{"dropping-particle":"","family":"Parey","given":"Kristian","non-dropping-particle":"","parse-names":false,"suffix":""},{"dropping-particle":"","family":"Djurabekova","given":"Amina","non-dropping-particle":"","parse-names":false,"suffix":""},{"dropping-particle":"","family":"Haapanen","given":"Outi","non-dropping-particle":"","parse-names":false,"suffix":""},{"dropping-particle":"","family":"Siegmund","given":"Karin","non-dropping-particle":"","parse-names":false,"suffix":""},{"dropping-particle":"","family":"Zwicker","given":"Klaus","non-dropping-particle":"","parse-names":false,"suffix":""},{"dropping-particle":"","family":"Sharma","given":"Vivek","non-dropping-particle":"","parse-names":false,"suffix":""},{"dropping-particle":"","family":"Zickermann","given":"Volker","non-dropping-particle":"","parse-names":false,"suffix":""},{"dropping-particle":"","family":"Angerer","given":"Heike","non-dropping-particle":"","parse-names":false,"suffix":""}],"container-title":"Nature communications","id":"ITEM-1","issue":"1","issued":{"date-parts":[["2020","11"]]},"language":"eng","page":"6008","title":"Essential role of accessory subunit LYRM6 in the mechanism of mitochondrial  complex I.","type":"article-journal","volume":"11"},"uris":["http://www.mendeley.com/documents/?uuid=94f02561-57c6-4ea1-9b59-884cd4625b81"]}],"mendeley":{"formattedCitation":"(Galemou Yoga &lt;i&gt;et al&lt;/i&gt;, 2020)","plainTextFormattedCitation":"(Galemou Yoga et al, 2020)","previouslyFormattedCitation":"(Galemou Yoga &lt;i&gt;et al&lt;/i&gt;, 2020)"},"properties":{"noteIndex":0},"schema":"https://github.com/citation-style-language/schema/raw/master/csl-citation.json"}</w:instrText>
      </w:r>
      <w:r w:rsidR="00346DE4" w:rsidRPr="00E97FC1">
        <w:rPr>
          <w:rFonts w:cs="Times New Roman"/>
          <w:szCs w:val="24"/>
          <w:lang w:val="en-GB"/>
        </w:rPr>
        <w:fldChar w:fldCharType="separate"/>
      </w:r>
      <w:r w:rsidR="00E55873" w:rsidRPr="00E97FC1">
        <w:rPr>
          <w:rFonts w:cs="Times New Roman"/>
          <w:noProof/>
          <w:szCs w:val="24"/>
          <w:lang w:val="en-GB"/>
        </w:rPr>
        <w:t xml:space="preserve">(Galemou Yoga </w:t>
      </w:r>
      <w:r w:rsidR="00E55873" w:rsidRPr="00E97FC1">
        <w:rPr>
          <w:rFonts w:cs="Times New Roman"/>
          <w:i/>
          <w:noProof/>
          <w:szCs w:val="24"/>
          <w:lang w:val="en-GB"/>
        </w:rPr>
        <w:t>et al</w:t>
      </w:r>
      <w:r w:rsidR="00E55873" w:rsidRPr="00E97FC1">
        <w:rPr>
          <w:rFonts w:cs="Times New Roman"/>
          <w:noProof/>
          <w:szCs w:val="24"/>
          <w:lang w:val="en-GB"/>
        </w:rPr>
        <w:t>, 2020)</w:t>
      </w:r>
      <w:r w:rsidR="00346DE4" w:rsidRPr="00E97FC1">
        <w:rPr>
          <w:rFonts w:cs="Times New Roman"/>
          <w:szCs w:val="24"/>
          <w:lang w:val="en-GB"/>
        </w:rPr>
        <w:fldChar w:fldCharType="end"/>
      </w:r>
      <w:r w:rsidRPr="00E97FC1">
        <w:rPr>
          <w:rFonts w:cs="Times New Roman"/>
          <w:szCs w:val="24"/>
          <w:lang w:val="en-GB"/>
        </w:rPr>
        <w:t>. It is important to note that such a pathway for substrate protons would render them useless for coupling, as the redox reaction would be essentially equilibrated with the cytosol. Only the existence of a very strong and very specific conformational gate linking the Q cavity to all the antiporters would make such a mechanism feasible. However, neither mammalian nor bacterial enzymes show any conformational changes in any of the three ALS under turnover, rendering coupling to quinone protonation via any pathway to the cytosol near PA unlikely. Furthermore, even though there are plenty of charged residues linking the Q cavity to the E-channel, the quinone headgroup in the Q</w:t>
      </w:r>
      <w:r w:rsidRPr="00E97FC1">
        <w:rPr>
          <w:rFonts w:cs="Times New Roman"/>
          <w:szCs w:val="24"/>
          <w:vertAlign w:val="subscript"/>
          <w:lang w:val="en-GB"/>
        </w:rPr>
        <w:t>d</w:t>
      </w:r>
      <w:r w:rsidRPr="00E97FC1">
        <w:rPr>
          <w:rFonts w:cs="Times New Roman"/>
          <w:szCs w:val="24"/>
          <w:lang w:val="en-GB"/>
        </w:rPr>
        <w:t xml:space="preserve"> site is otherwise well shielded by hydrophobic residues, except for the coordinating residues. In </w:t>
      </w:r>
      <w:r w:rsidRPr="00E97FC1">
        <w:rPr>
          <w:rFonts w:cs="Times New Roman"/>
          <w:szCs w:val="24"/>
          <w:lang w:val="en-GB"/>
        </w:rPr>
        <w:lastRenderedPageBreak/>
        <w:t xml:space="preserve">general, however, this area is relatively hydrophilic as needed for the closed-to-open transition, when NuoA/H loops become exposed to the cytoplasm. </w:t>
      </w:r>
    </w:p>
    <w:p w14:paraId="78A48254" w14:textId="2CCF1FFC" w:rsidR="00E00AD5" w:rsidRPr="00E97FC1" w:rsidRDefault="00E00AD5" w:rsidP="00CE3E6F">
      <w:pPr>
        <w:ind w:firstLine="720"/>
        <w:rPr>
          <w:rFonts w:cs="Times New Roman"/>
          <w:szCs w:val="24"/>
          <w:lang w:val="en-GB"/>
        </w:rPr>
      </w:pPr>
      <w:r w:rsidRPr="00E97FC1">
        <w:rPr>
          <w:rFonts w:cs="Times New Roman"/>
          <w:szCs w:val="24"/>
          <w:lang w:val="en-GB"/>
        </w:rPr>
        <w:t xml:space="preserve">In a recent report, our proposal for ND5/NuoL-only outlet into periplasm was supported </w:t>
      </w:r>
      <w:r w:rsidR="005628D4" w:rsidRPr="00E97FC1">
        <w:rPr>
          <w:rFonts w:cs="Times New Roman"/>
          <w:szCs w:val="24"/>
          <w:lang w:val="en-GB"/>
        </w:rPr>
        <w:t>based on</w:t>
      </w:r>
      <w:r w:rsidRPr="00E97FC1">
        <w:rPr>
          <w:rFonts w:cs="Times New Roman"/>
          <w:szCs w:val="24"/>
          <w:lang w:val="en-GB"/>
        </w:rPr>
        <w:t xml:space="preserve"> the structures and MD studies on </w:t>
      </w:r>
      <w:r w:rsidRPr="00E97FC1">
        <w:rPr>
          <w:rFonts w:cs="Times New Roman"/>
          <w:i/>
          <w:szCs w:val="24"/>
          <w:lang w:val="en-GB"/>
        </w:rPr>
        <w:t>Yl</w:t>
      </w:r>
      <w:r w:rsidRPr="00E97FC1">
        <w:rPr>
          <w:rFonts w:cs="Times New Roman"/>
          <w:szCs w:val="24"/>
          <w:lang w:val="en-GB"/>
        </w:rPr>
        <w:t>CI</w:t>
      </w:r>
      <w:r w:rsidR="00061E8F" w:rsidRPr="00E97FC1">
        <w:rPr>
          <w:rFonts w:cs="Times New Roman"/>
          <w:szCs w:val="24"/>
          <w:lang w:val="en-GB"/>
        </w:rPr>
        <w:t xml:space="preserve"> </w:t>
      </w:r>
      <w:r w:rsidR="00346DE4" w:rsidRPr="00E97FC1">
        <w:rPr>
          <w:rFonts w:cs="Times New Roman"/>
          <w:szCs w:val="24"/>
          <w:lang w:val="en-GB"/>
        </w:rPr>
        <w:fldChar w:fldCharType="begin" w:fldLock="1"/>
      </w:r>
      <w:r w:rsidR="00776703" w:rsidRPr="00E97FC1">
        <w:rPr>
          <w:rFonts w:cs="Times New Roman"/>
          <w:szCs w:val="24"/>
          <w:lang w:val="en-GB"/>
        </w:rPr>
        <w:instrText>ADDIN CSL_CITATION {"citationItems":[{"id":"ITEM-1","itemData":{"DOI":"10.1126/sciadv.abj3221","ISSN":"2375-2548 (Electronic)","PMID":"34767441","abstract":"Mitochondrial NADH:ubiquinone oxidoreductase (complex I) is a 1-MDa membrane  protein complex with a central role in energy metabolism. Redox-driven proton translocation by complex I contributes substantially to the proton motive force that drives ATP synthase. Several structures of complex I from bacteria and mitochondria have been determined, but its catalytic mechanism has remained controversial. We here present the cryo-EM structure of complex I from Yarrowia lipolytica at 2.1-Å resolution, which reveals the positions of more than 1600 protein-bound water molecules, of which ~100 are located in putative proton translocation pathways. Another structure of the same complex under steady-state activity conditions at 3.4-Å resolution indicates conformational transitions that we associate with proton injection into the central hydrophilic axis. By combining high-resolution structural data with site-directed mutagenesis and large-scale molecular dynamic simulations, we define details of the proton translocation pathways and offer insights into the redox-coupled proton pumping mechanism of complex I.","author":[{"dropping-particle":"","family":"Parey","given":"Kristian","non-dropping-particle":"","parse-names":false,"suffix":""},{"dropping-particle":"","family":"Lasham","given":"Jonathan","non-dropping-particle":"","parse-names":false,"suffix":""},{"dropping-particle":"","family":"Mills","given":"Deryck J","non-dropping-particle":"","parse-names":false,"suffix":""},{"dropping-particle":"","family":"Djurabekova","given":"Amina","non-dropping-particle":"","parse-names":false,"suffix":""},{"dropping-particle":"","family":"Haapanen","given":"Outi","non-dropping-particle":"","parse-names":false,"suffix":""},{"dropping-particle":"","family":"Yoga","given":"Etienne Galemou","non-dropping-particle":"","parse-names":false,"suffix":""},{"dropping-particle":"","family":"Xie","given":"Hao","non-dropping-particle":"","parse-names":false,"suffix":""},{"dropping-particle":"","family":"Kühlbrandt","given":"Werner","non-dropping-particle":"","parse-names":false,"suffix":""},{"dropping-particle":"","family":"Sharma","given":"Vivek","non-dropping-particle":"","parse-names":false,"suffix":""},{"dropping-particle":"","family":"Vonck","given":"Janet","non-dropping-particle":"","parse-names":false,"suffix":""},{"dropping-particle":"","family":"Zickermann","given":"Volker","non-dropping-particle":"","parse-names":false,"suffix":""}],"container-title":"Science advances","id":"ITEM-1","issue":"46","issued":{"date-parts":[["2021","11"]]},"language":"eng","page":"eabj3221","title":"High-resolution structure and dynamics of mitochondrial complex I-Insights into  the proton pumping mechanism.","type":"article-journal","volume":"7"},"uris":["http://www.mendeley.com/documents/?uuid=09f1fb2e-6eb4-4a01-b6ed-da596d507f4a"]}],"mendeley":{"formattedCitation":"(Parey &lt;i&gt;et al&lt;/i&gt;, 2021)","plainTextFormattedCitation":"(Parey et al, 2021)","previouslyFormattedCitation":"(Parey &lt;i&gt;et al&lt;/i&gt;, 2021)"},"properties":{"noteIndex":0},"schema":"https://github.com/citation-style-language/schema/raw/master/csl-citation.json"}</w:instrText>
      </w:r>
      <w:r w:rsidR="00346DE4" w:rsidRPr="00E97FC1">
        <w:rPr>
          <w:rFonts w:cs="Times New Roman"/>
          <w:szCs w:val="24"/>
          <w:lang w:val="en-GB"/>
        </w:rPr>
        <w:fldChar w:fldCharType="separate"/>
      </w:r>
      <w:r w:rsidR="00E55873" w:rsidRPr="00E97FC1">
        <w:rPr>
          <w:rFonts w:cs="Times New Roman"/>
          <w:noProof/>
          <w:szCs w:val="24"/>
          <w:lang w:val="en-GB"/>
        </w:rPr>
        <w:t xml:space="preserve">(Parey </w:t>
      </w:r>
      <w:r w:rsidR="00E55873" w:rsidRPr="00E97FC1">
        <w:rPr>
          <w:rFonts w:cs="Times New Roman"/>
          <w:i/>
          <w:noProof/>
          <w:szCs w:val="24"/>
          <w:lang w:val="en-GB"/>
        </w:rPr>
        <w:t>et al</w:t>
      </w:r>
      <w:r w:rsidR="00E55873" w:rsidRPr="00E97FC1">
        <w:rPr>
          <w:rFonts w:cs="Times New Roman"/>
          <w:noProof/>
          <w:szCs w:val="24"/>
          <w:lang w:val="en-GB"/>
        </w:rPr>
        <w:t>, 2021)</w:t>
      </w:r>
      <w:r w:rsidR="00346DE4" w:rsidRPr="00E97FC1">
        <w:rPr>
          <w:rFonts w:cs="Times New Roman"/>
          <w:szCs w:val="24"/>
          <w:lang w:val="en-GB"/>
        </w:rPr>
        <w:fldChar w:fldCharType="end"/>
      </w:r>
      <w:r w:rsidRPr="00E97FC1">
        <w:rPr>
          <w:rFonts w:cs="Times New Roman"/>
          <w:szCs w:val="24"/>
          <w:lang w:val="en-GB"/>
        </w:rPr>
        <w:t>. However, the coupling mechanism proposed by the authors involved substrate proton access near the PA interface, which would not allow gating, as noted above. Furthermore, the role for shuttling of the charged quinone intermediates was proposed, which is unlikely due to the extremely short lifetime of such intermediates</w:t>
      </w:r>
      <w:r w:rsidR="00061E8F" w:rsidRPr="00E97FC1">
        <w:rPr>
          <w:rFonts w:cs="Times New Roman"/>
          <w:szCs w:val="24"/>
          <w:lang w:val="en-GB"/>
        </w:rPr>
        <w:t xml:space="preserve"> </w:t>
      </w:r>
      <w:r w:rsidR="00346DE4" w:rsidRPr="00E97FC1">
        <w:rPr>
          <w:rFonts w:cs="Times New Roman"/>
          <w:szCs w:val="24"/>
          <w:lang w:val="en-GB"/>
        </w:rPr>
        <w:fldChar w:fldCharType="begin" w:fldLock="1"/>
      </w:r>
      <w:r w:rsidR="00776703" w:rsidRPr="00E97FC1">
        <w:rPr>
          <w:rFonts w:cs="Times New Roman"/>
          <w:szCs w:val="24"/>
          <w:lang w:val="en-GB"/>
        </w:rPr>
        <w:instrText>ADDIN CSL_CITATION {"citationItems":[{"id":"ITEM-1","itemData":{"DOI":"10.1016/j.bbabio.2012.02.015","ISSN":"0006-3002 (Print)","PMID":"22386882","abstract":"Complex I is a key enzyme of the respiratory chain in many organisms. This  multi-protein complex with an intricate evolutionary history originated from the unification of prebuilt modules of hydrogenases and transporters. Using recently determined crystallographic structures of complex I we reanalyzed evolutionarily related complexes that couple oxidoreduction to trans-membrane ion translocation. Our analysis points to the previously unnoticed structural homology of the electron input module of formate dehydrogenlyases and subunit NuoG of complex I. We also show that all related to complex I hydrogenases likely operate via a conformation driven mechanism with structural changes generated in the conserved coupling site located at the interface of subunits NuoB/D/H. The coupling apparently originated once in evolutionary history, together with subunit NuoH joining hydrogenase and transport modules. Analysis of quinone oxidoreduction properties and the structure of complex I allows us to suggest a fully reversible coupling mechanism. Our model predicts that: 1) proton access to the ketone groups of the bound quinone is rigorously controlled by the protein, 2) the negative electric charge of the anionic ubiquinol head group is a major driving force for conformational changes. This article is part of a Special Issue entitled: 17th European Bioenergetics Conference (EBEC 2012).","author":[{"dropping-particle":"","family":"Efremov","given":"Rouslan G","non-dropping-particle":"","parse-names":false,"suffix":""},{"dropping-particle":"","family":"Sazanov","given":"Leonid A","non-dropping-particle":"","parse-names":false,"suffix":""}],"container-title":"Biochimica et biophysica acta","id":"ITEM-1","issue":"10","issued":{"date-parts":[["2012","10"]]},"language":"eng","page":"1785-1795","publisher-place":"Netherlands","title":"The coupling mechanism of respiratory complex I - a structural and evolutionary  perspective.","type":"article-journal","volume":"1817"},"uris":["http://www.mendeley.com/documents/?uuid=eadfeceb-2f9f-4b68-a7b6-2eebd0d381ce","http://www.mendeley.com/documents/?uuid=ffe8a0cd-11ef-4efb-b708-ef2157300aaa"]},{"id":"ITEM-2","itemData":{"DOI":"10.1186/s12915-020-00768-6","ISSN":"1741-7007 (Electronic)","PMID":"32429970","abstract":"BACKGROUND: For decades, semiquinone intermediates have been suggested to play an  essential role in catalysis by one of the most enigmatic proton-pumping enzymes, respiratory complex I, and different mechanisms have been proposed on their basis. However, the difficulty in investigating complex I semiquinones, due to the many different enzymes embedded in the inner mitochondrial membrane, has resulted in an ambiguous picture and no consensus. RESULTS: In this paper, we re-examine the highly debated origin of semiquinone species in mitochondrial membranes using a novel approach. Our combination of a semi-artificial chimeric respiratory chain with pulse EPR spectroscopy (HYSCORE) has enabled us to conclude, unambiguously and for the first time, that the majority of the semiquinones observed in mitochondrial membranes originate from complex III. We also identify a minor contribution from complex II. CONCLUSIONS: We are unable to attribute any semiquinone signals unambiguously to complex I and, reconciling our observations with much of the previous literature, conclude that they are likely to have been misattributed to it. We note that, for this earlier work, the tools we have relied on here to deconvolute overlapping EPR signals were not available. Proposals for the mechanism of complex I based on the EPR signals of semiquinone species observed in mitochondrial membranes should thus be treated with caution until future work has succeeded in isolating any complex I semiquinone EPR spectroscopic signatures present.","author":[{"dropping-particle":"","family":"Wright","given":"John J","non-dropping-particle":"","parse-names":false,"suffix":""},{"dropping-particle":"","family":"Fedor","given":"Justin G","non-dropping-particle":"","parse-names":false,"suffix":""},{"dropping-particle":"","family":"Hirst","given":"Judy","non-dropping-particle":"","parse-names":false,"suffix":""},{"dropping-particle":"","family":"Roessler","given":"Maxie M","non-dropping-particle":"","parse-names":false,"suffix":""}],"container-title":"BMC biology","id":"ITEM-2","issue":"1","issued":{"date-parts":[["2020","5"]]},"language":"eng","page":"54","publisher-place":"England","title":"Using a chimeric respiratory chain and EPR spectroscopy to determine the origin  of semiquinone species previously assigned to mitochondrial complex I.","type":"article-journal","volume":"18"},"uris":["http://www.mendeley.com/documents/?uuid=7af35d7f-7d9f-4494-81cc-57dc075e9291","http://www.mendeley.com/documents/?uuid=9f0c373e-d7f3-4c2d-ade6-9db429d8a39e"]}],"mendeley":{"formattedCitation":"(Efremov &amp; Sazanov, 2012; Wright &lt;i&gt;et al&lt;/i&gt;, 2020)","plainTextFormattedCitation":"(Efremov &amp; Sazanov, 2012; Wright et al, 2020)","previouslyFormattedCitation":"(Efremov &amp; Sazanov, 2012; Wright &lt;i&gt;et al&lt;/i&gt;, 2020)"},"properties":{"noteIndex":0},"schema":"https://github.com/citation-style-language/schema/raw/master/csl-citation.json"}</w:instrText>
      </w:r>
      <w:r w:rsidR="00346DE4" w:rsidRPr="00E97FC1">
        <w:rPr>
          <w:rFonts w:cs="Times New Roman"/>
          <w:szCs w:val="24"/>
          <w:lang w:val="en-GB"/>
        </w:rPr>
        <w:fldChar w:fldCharType="separate"/>
      </w:r>
      <w:r w:rsidR="00E55873" w:rsidRPr="00E97FC1">
        <w:rPr>
          <w:rFonts w:cs="Times New Roman"/>
          <w:noProof/>
          <w:szCs w:val="24"/>
          <w:lang w:val="en-GB"/>
        </w:rPr>
        <w:t xml:space="preserve">(Efremov &amp; Sazanov, 2012; Wright </w:t>
      </w:r>
      <w:r w:rsidR="00E55873" w:rsidRPr="00E97FC1">
        <w:rPr>
          <w:rFonts w:cs="Times New Roman"/>
          <w:i/>
          <w:noProof/>
          <w:szCs w:val="24"/>
          <w:lang w:val="en-GB"/>
        </w:rPr>
        <w:t>et al</w:t>
      </w:r>
      <w:r w:rsidR="00E55873" w:rsidRPr="00E97FC1">
        <w:rPr>
          <w:rFonts w:cs="Times New Roman"/>
          <w:noProof/>
          <w:szCs w:val="24"/>
          <w:lang w:val="en-GB"/>
        </w:rPr>
        <w:t>, 2020)</w:t>
      </w:r>
      <w:r w:rsidR="00346DE4" w:rsidRPr="00E97FC1">
        <w:rPr>
          <w:rFonts w:cs="Times New Roman"/>
          <w:szCs w:val="24"/>
          <w:lang w:val="en-GB"/>
        </w:rPr>
        <w:fldChar w:fldCharType="end"/>
      </w:r>
      <w:r w:rsidRPr="00E97FC1">
        <w:rPr>
          <w:rFonts w:cs="Times New Roman"/>
          <w:szCs w:val="24"/>
          <w:lang w:val="en-GB"/>
        </w:rPr>
        <w:t xml:space="preserve">. Moreover, only one conformational state was observed under turnover conditions, while clearly at least two are necessary for any coupling mechanism to work. The one observed </w:t>
      </w:r>
      <w:r w:rsidRPr="00E97FC1">
        <w:rPr>
          <w:rFonts w:cs="Times New Roman"/>
          <w:i/>
          <w:szCs w:val="24"/>
          <w:lang w:val="en-GB"/>
        </w:rPr>
        <w:t>Yl</w:t>
      </w:r>
      <w:r w:rsidRPr="00E97FC1">
        <w:rPr>
          <w:rFonts w:cs="Times New Roman"/>
          <w:szCs w:val="24"/>
          <w:lang w:val="en-GB"/>
        </w:rPr>
        <w:t xml:space="preserve">CI turnover state resembles the open state of </w:t>
      </w:r>
      <w:r w:rsidRPr="00E97FC1">
        <w:rPr>
          <w:rFonts w:cs="Times New Roman"/>
          <w:i/>
          <w:szCs w:val="24"/>
          <w:lang w:val="en-GB"/>
        </w:rPr>
        <w:t>Oa</w:t>
      </w:r>
      <w:r w:rsidRPr="00E97FC1">
        <w:rPr>
          <w:rFonts w:cs="Times New Roman"/>
          <w:szCs w:val="24"/>
          <w:lang w:val="en-GB"/>
        </w:rPr>
        <w:t xml:space="preserve">CI as similar areas (such as </w:t>
      </w:r>
      <w:r w:rsidRPr="00E97FC1">
        <w:rPr>
          <w:rFonts w:cs="Times New Roman"/>
          <w:szCs w:val="24"/>
          <w:vertAlign w:val="subscript"/>
          <w:lang w:val="en-GB"/>
        </w:rPr>
        <w:t>J</w:t>
      </w:r>
      <w:r w:rsidRPr="00E97FC1">
        <w:rPr>
          <w:rFonts w:cs="Times New Roman"/>
          <w:szCs w:val="24"/>
          <w:lang w:val="en-GB"/>
        </w:rPr>
        <w:t xml:space="preserve">TM3-4 and ND3/NuoA loops) are disordered (but ordered in closed </w:t>
      </w:r>
      <w:r w:rsidRPr="00E97FC1">
        <w:rPr>
          <w:rFonts w:cs="Times New Roman"/>
          <w:i/>
          <w:szCs w:val="24"/>
          <w:lang w:val="en-GB"/>
        </w:rPr>
        <w:t>Oa</w:t>
      </w:r>
      <w:r w:rsidRPr="00E97FC1">
        <w:rPr>
          <w:rFonts w:cs="Times New Roman"/>
          <w:szCs w:val="24"/>
          <w:lang w:val="en-GB"/>
        </w:rPr>
        <w:t xml:space="preserve">CI). Therefore, the reported conformational changes in </w:t>
      </w:r>
      <w:r w:rsidRPr="00E97FC1">
        <w:rPr>
          <w:rFonts w:cs="Times New Roman"/>
          <w:i/>
          <w:szCs w:val="24"/>
          <w:lang w:val="en-GB"/>
        </w:rPr>
        <w:t>Yl</w:t>
      </w:r>
      <w:r w:rsidRPr="00E97FC1">
        <w:rPr>
          <w:rFonts w:cs="Times New Roman"/>
          <w:szCs w:val="24"/>
          <w:lang w:val="en-GB"/>
        </w:rPr>
        <w:t xml:space="preserve">CI may reflect the deactive to open state transition. The failure to observe, so far, a closed state in </w:t>
      </w:r>
      <w:r w:rsidRPr="00E97FC1">
        <w:rPr>
          <w:rFonts w:cs="Times New Roman"/>
          <w:i/>
          <w:szCs w:val="24"/>
          <w:lang w:val="en-GB"/>
        </w:rPr>
        <w:t>Yl</w:t>
      </w:r>
      <w:r w:rsidRPr="00E97FC1">
        <w:rPr>
          <w:rFonts w:cs="Times New Roman"/>
          <w:szCs w:val="24"/>
          <w:lang w:val="en-GB"/>
        </w:rPr>
        <w:t xml:space="preserve">CI could be because it is a high-energy state in enzymes which do not show the apo closed-like state, such as </w:t>
      </w:r>
      <w:r w:rsidRPr="00E97FC1">
        <w:rPr>
          <w:rFonts w:cs="Times New Roman"/>
          <w:i/>
          <w:szCs w:val="24"/>
          <w:lang w:val="en-GB"/>
        </w:rPr>
        <w:t>Ec</w:t>
      </w:r>
      <w:r w:rsidRPr="00E97FC1">
        <w:rPr>
          <w:rFonts w:cs="Times New Roman"/>
          <w:szCs w:val="24"/>
          <w:lang w:val="en-GB"/>
        </w:rPr>
        <w:t xml:space="preserve">CI and </w:t>
      </w:r>
      <w:r w:rsidRPr="00E97FC1">
        <w:rPr>
          <w:rFonts w:cs="Times New Roman"/>
          <w:i/>
          <w:szCs w:val="24"/>
          <w:lang w:val="en-GB"/>
        </w:rPr>
        <w:t>Yl</w:t>
      </w:r>
      <w:r w:rsidRPr="00E97FC1">
        <w:rPr>
          <w:rFonts w:cs="Times New Roman"/>
          <w:szCs w:val="24"/>
          <w:lang w:val="en-GB"/>
        </w:rPr>
        <w:t xml:space="preserve">CI (in contrast to mammalian). More extensive 3D classification (e.g. by focus-revert-classify approach as used here, see Methods) or different data collection strategies may be required to resolve this class in </w:t>
      </w:r>
      <w:r w:rsidRPr="00E97FC1">
        <w:rPr>
          <w:rFonts w:cs="Times New Roman"/>
          <w:i/>
          <w:szCs w:val="24"/>
          <w:lang w:val="en-GB"/>
        </w:rPr>
        <w:t>Yl</w:t>
      </w:r>
      <w:r w:rsidRPr="00E97FC1">
        <w:rPr>
          <w:rFonts w:cs="Times New Roman"/>
          <w:szCs w:val="24"/>
          <w:lang w:val="en-GB"/>
        </w:rPr>
        <w:t xml:space="preserve">CI. </w:t>
      </w:r>
    </w:p>
    <w:p w14:paraId="5A28B930" w14:textId="16F7A6EF" w:rsidR="00E00AD5" w:rsidRPr="00E97FC1" w:rsidRDefault="00E00AD5" w:rsidP="00CE3E6F">
      <w:pPr>
        <w:ind w:firstLine="720"/>
        <w:rPr>
          <w:rFonts w:cs="Times New Roman"/>
          <w:szCs w:val="24"/>
          <w:lang w:val="en-GB"/>
        </w:rPr>
      </w:pPr>
      <w:r w:rsidRPr="00E97FC1">
        <w:rPr>
          <w:rFonts w:cs="Times New Roman"/>
          <w:szCs w:val="24"/>
          <w:lang w:val="en-GB"/>
        </w:rPr>
        <w:t>In a recent MD study hydration profiles consistent with ND5-only proton exit were observed in several species, although the interpretation was different</w:t>
      </w:r>
      <w:r w:rsidR="00061E8F" w:rsidRPr="00E97FC1">
        <w:rPr>
          <w:rFonts w:cs="Times New Roman"/>
          <w:szCs w:val="24"/>
          <w:lang w:val="en-GB"/>
        </w:rPr>
        <w:t xml:space="preserve"> </w:t>
      </w:r>
      <w:r w:rsidR="00346DE4" w:rsidRPr="00E97FC1">
        <w:rPr>
          <w:rFonts w:cs="Times New Roman"/>
          <w:szCs w:val="24"/>
          <w:lang w:val="en-GB"/>
        </w:rPr>
        <w:fldChar w:fldCharType="begin" w:fldLock="1"/>
      </w:r>
      <w:r w:rsidR="00776703" w:rsidRPr="00E97FC1">
        <w:rPr>
          <w:rFonts w:cs="Times New Roman"/>
          <w:szCs w:val="24"/>
          <w:lang w:val="en-GB"/>
        </w:rPr>
        <w:instrText>ADDIN CSL_CITATION {"citationItems":[{"id":"ITEM-1","itemData":{"DOI":"10.1021/jacs.0c02789","ISSN":"1520-5126 (Electronic)","PMID":"32643371","abstract":"The respiratory complex I transduces redox energy into an electrochemical proton  gradient in aerobic respiratory chains, powering energy-requiring processes in the cell. However, despite recently resolved molecular structures, the mechanism of this gigantic enzyme remains poorly understood. By combining large-scale quantum and classical simulations with site-directed mutagenesis and biophysical experiments, we show here how the conformational state of buried ion-pairs and water molecules control the protonation dynamics in the membrane domain of complex I and establish evolutionary conserved long-range coupling elements. We suggest that an electrostatic wave propagates in forward and reverse directions across the 200 Å long membrane domain during enzyme turnover, without significant dissipation of energy. Our findings demonstrate molecular principles that enable efficient long-range proton-electron coupling (PCET) and how perturbation of this PCET machinery may lead to development of mitochondrial disease.","author":[{"dropping-particle":"","family":"Mühlbauer","given":"Max E","non-dropping-particle":"","parse-names":false,"suffix":""},{"dropping-particle":"","family":"Saura","given":"Patricia","non-dropping-particle":"","parse-names":false,"suffix":""},{"dropping-particle":"","family":"Nuber","given":"Franziska","non-dropping-particle":"","parse-names":false,"suffix":""},{"dropping-particle":"","family":"Luca","given":"Andrea","non-dropping-particle":"Di","parse-names":false,"suffix":""},{"dropping-particle":"","family":"Friedrich","given":"Thorsten","non-dropping-particle":"","parse-names":false,"suffix":""},{"dropping-particle":"","family":"Kaila","given":"Ville R I","non-dropping-particle":"","parse-names":false,"suffix":""}],"container-title":"Journal of the American Chemical Society","id":"ITEM-1","issue":"32","issued":{"date-parts":[["2020","8"]]},"language":"eng","page":"13718-13728","publisher-place":"United States","title":"Water-Gated Proton Transfer Dynamics in Respiratory Complex I.","type":"article-journal","volume":"142"},"uris":["http://www.mendeley.com/documents/?uuid=956184aa-289f-4d83-85dc-7a47abd53d33"]}],"mendeley":{"formattedCitation":"(Mühlbauer &lt;i&gt;et al&lt;/i&gt;, 2020)","plainTextFormattedCitation":"(Mühlbauer et al, 2020)","previouslyFormattedCitation":"(Mühlbauer &lt;i&gt;et al&lt;/i&gt;, 2020)"},"properties":{"noteIndex":0},"schema":"https://github.com/citation-style-language/schema/raw/master/csl-citation.json"}</w:instrText>
      </w:r>
      <w:r w:rsidR="00346DE4" w:rsidRPr="00E97FC1">
        <w:rPr>
          <w:rFonts w:cs="Times New Roman"/>
          <w:szCs w:val="24"/>
          <w:lang w:val="en-GB"/>
        </w:rPr>
        <w:fldChar w:fldCharType="separate"/>
      </w:r>
      <w:r w:rsidR="00E55873" w:rsidRPr="00E97FC1">
        <w:rPr>
          <w:rFonts w:cs="Times New Roman"/>
          <w:noProof/>
          <w:szCs w:val="24"/>
          <w:lang w:val="en-GB"/>
        </w:rPr>
        <w:t xml:space="preserve">(Mühlbauer </w:t>
      </w:r>
      <w:r w:rsidR="00E55873" w:rsidRPr="00E97FC1">
        <w:rPr>
          <w:rFonts w:cs="Times New Roman"/>
          <w:i/>
          <w:noProof/>
          <w:szCs w:val="24"/>
          <w:lang w:val="en-GB"/>
        </w:rPr>
        <w:t>et al</w:t>
      </w:r>
      <w:r w:rsidR="00E55873" w:rsidRPr="00E97FC1">
        <w:rPr>
          <w:rFonts w:cs="Times New Roman"/>
          <w:noProof/>
          <w:szCs w:val="24"/>
          <w:lang w:val="en-GB"/>
        </w:rPr>
        <w:t>, 2020)</w:t>
      </w:r>
      <w:r w:rsidR="00346DE4" w:rsidRPr="00E97FC1">
        <w:rPr>
          <w:rFonts w:cs="Times New Roman"/>
          <w:szCs w:val="24"/>
          <w:lang w:val="en-GB"/>
        </w:rPr>
        <w:fldChar w:fldCharType="end"/>
      </w:r>
      <w:r w:rsidRPr="00E97FC1">
        <w:rPr>
          <w:rFonts w:cs="Times New Roman"/>
          <w:szCs w:val="24"/>
          <w:lang w:val="en-GB"/>
        </w:rPr>
        <w:t>. In another recent report</w:t>
      </w:r>
      <w:r w:rsidR="000B0BEA" w:rsidRPr="00E97FC1">
        <w:rPr>
          <w:rFonts w:cs="Times New Roman"/>
          <w:szCs w:val="24"/>
          <w:lang w:val="en-GB"/>
        </w:rPr>
        <w:t xml:space="preserve"> </w:t>
      </w:r>
      <w:r w:rsidR="00346DE4" w:rsidRPr="00E97FC1">
        <w:rPr>
          <w:rFonts w:cs="Times New Roman"/>
          <w:szCs w:val="24"/>
          <w:lang w:val="en-GB"/>
        </w:rPr>
        <w:fldChar w:fldCharType="begin" w:fldLock="1"/>
      </w:r>
      <w:r w:rsidR="00E55873" w:rsidRPr="00E97FC1">
        <w:rPr>
          <w:rFonts w:cs="Times New Roman"/>
          <w:szCs w:val="24"/>
          <w:lang w:val="en-GB"/>
        </w:rPr>
        <w:instrText>ADDIN CSL_CITATION {"citationItems":[{"id":"ITEM-1","itemData":{"DOI":"10.7554/eLife.68710","ISSN":"2050-084X (Electronic)","PMID":"34308841","abstract":"Respiratory complex I is a multi-subunit membrane protein complex that reversibly  couples NADH oxidation and ubiquinone reduction with proton translocation against transmembrane potential. Complex I from Escherichia coli is among the best functionally characterized complexes, but its structure remains unknown, hindering further studies to understand the enzyme coupling mechanism. Here, we describe the single particle cryo-electron microscopy (cryo-EM) structure of the entire catalytically active E. coli complex I reconstituted into lipid nanodiscs. The structure of this mesophilic bacterial complex I displays highly dynamic connection between the peripheral and membrane domains. The peripheral domain assembly is stabilized by unique terminal extensions and an insertion loop. The membrane domain structure reveals novel dynamic features. Unusual conformation of the conserved interface between the peripheral and membrane domains suggests an uncoupled conformation of the complex. Considering constraints imposed by the structural data, we suggest a new simple hypothetical coupling mechanism for the molecular machine.","author":[{"dropping-particle":"","family":"Kolata","given":"Piotr","non-dropping-particle":"","parse-names":false,"suffix":""},{"dropping-particle":"","family":"Efremov","given":"Rouslan G","non-dropping-particle":"","parse-names":false,"suffix":""}],"container-title":"eLife","id":"ITEM-1","issued":{"date-parts":[["2021","7"]]},"language":"eng","title":"Structure of Escherichia coli respiratory complex I reconstituted into lipid  nanodiscs reveals an uncoupled conformation.","type":"article-journal","volume":"10"},"uris":["http://www.mendeley.com/documents/?uuid=b2dea1c2-29b2-4330-b6f9-9a089036b1f1"]}],"mendeley":{"formattedCitation":"(Kolata &amp; Efremov, 2021)","plainTextFormattedCitation":"(Kolata &amp; Efremov, 2021)","previouslyFormattedCitation":"(Kolata &amp; Efremov, 2021)"},"properties":{"noteIndex":0},"schema":"https://github.com/citation-style-language/schema/raw/master/csl-citation.json"}</w:instrText>
      </w:r>
      <w:r w:rsidR="00346DE4" w:rsidRPr="00E97FC1">
        <w:rPr>
          <w:rFonts w:cs="Times New Roman"/>
          <w:szCs w:val="24"/>
          <w:lang w:val="en-GB"/>
        </w:rPr>
        <w:fldChar w:fldCharType="separate"/>
      </w:r>
      <w:r w:rsidR="00E55873" w:rsidRPr="00E97FC1">
        <w:rPr>
          <w:rFonts w:cs="Times New Roman"/>
          <w:noProof/>
          <w:szCs w:val="24"/>
          <w:lang w:val="en-GB"/>
        </w:rPr>
        <w:t>(Kolata &amp; Efremov, 2021)</w:t>
      </w:r>
      <w:r w:rsidR="00346DE4" w:rsidRPr="00E97FC1">
        <w:rPr>
          <w:rFonts w:cs="Times New Roman"/>
          <w:szCs w:val="24"/>
          <w:lang w:val="en-GB"/>
        </w:rPr>
        <w:fldChar w:fldCharType="end"/>
      </w:r>
      <w:r w:rsidRPr="00E97FC1">
        <w:rPr>
          <w:rFonts w:cs="Times New Roman"/>
          <w:szCs w:val="24"/>
          <w:lang w:val="en-GB"/>
        </w:rPr>
        <w:t xml:space="preserve"> the proposed mechanism involved a key role of the enclosed Q cavity, similar to our arguments, but the rest of mechanism was very vague (in part because only the resting state of </w:t>
      </w:r>
      <w:r w:rsidRPr="00E97FC1">
        <w:rPr>
          <w:rFonts w:cs="Times New Roman"/>
          <w:i/>
          <w:szCs w:val="24"/>
          <w:lang w:val="en-GB"/>
        </w:rPr>
        <w:t>Ec</w:t>
      </w:r>
      <w:r w:rsidRPr="00E97FC1">
        <w:rPr>
          <w:rFonts w:cs="Times New Roman"/>
          <w:szCs w:val="24"/>
          <w:lang w:val="en-GB"/>
        </w:rPr>
        <w:t xml:space="preserve">CI was resolved) and also involved hypothetical conformational changes in the antiporters (which do not happen as we have shown). </w:t>
      </w:r>
    </w:p>
    <w:p w14:paraId="67555D32" w14:textId="5BC1E92D" w:rsidR="00E00AD5" w:rsidRPr="00E97FC1" w:rsidRDefault="00E00AD5" w:rsidP="00CE3E6F">
      <w:pPr>
        <w:ind w:firstLine="720"/>
        <w:rPr>
          <w:rFonts w:cs="Times New Roman"/>
          <w:szCs w:val="24"/>
          <w:lang w:val="en-GB"/>
        </w:rPr>
      </w:pPr>
      <w:r w:rsidRPr="00E97FC1">
        <w:rPr>
          <w:rFonts w:cs="Times New Roman"/>
          <w:szCs w:val="24"/>
          <w:lang w:val="en-GB"/>
        </w:rPr>
        <w:t>A recent publication claimed to overturn our earlier mechanism of complex I</w:t>
      </w:r>
      <w:r w:rsidR="000B0BEA" w:rsidRPr="00E97FC1">
        <w:rPr>
          <w:rFonts w:cs="Times New Roman"/>
          <w:szCs w:val="24"/>
          <w:lang w:val="en-GB"/>
        </w:rPr>
        <w:t xml:space="preserve"> </w:t>
      </w:r>
      <w:r w:rsidR="000B0BEA" w:rsidRPr="00E97FC1">
        <w:rPr>
          <w:rFonts w:cs="Times New Roman"/>
          <w:szCs w:val="24"/>
          <w:lang w:val="en-GB"/>
        </w:rPr>
        <w:fldChar w:fldCharType="begin" w:fldLock="1"/>
      </w:r>
      <w:r w:rsidR="00E55873" w:rsidRPr="00E97FC1">
        <w:rPr>
          <w:rFonts w:cs="Times New Roman"/>
          <w:szCs w:val="24"/>
          <w:lang w:val="en-GB"/>
        </w:rPr>
        <w:instrText>ADDIN CSL_CITATION {"citationItems":[{"id":"ITEM-1","itemData":{"DOI":"10.1126/science.abc4209","ISSN":"1095-9203 (Electronic)","PMID":"32972993","abstract":"Mitochondrial complex I couples NADH:ubiquinone oxidoreduction to proton pumping by  an unknown mechanism. Here, we present cryo-electron microscopy structures of ovine complex I in five different conditions, including turnover, at resolutions up to 2.3 to 2.5 angstroms. Resolved water molecules allowed us to experimentally define the proton translocation pathways. Quinone binds at three positions along the quinone cavity, as does the inhibitor rotenone that also binds within subunit ND4. Dramatic conformational changes around the quinone cavity couple the redox reaction to proton translocation during open-to-closed state transitions of the enzyme. In the induced deactive state, the open conformation is arrested by the ND6 subunit. We propose a detailed molecular coupling mechanism of complex I, which is an unexpected combination of conformational changes and electrostatic interactions.","author":[{"dropping-particle":"","family":"Kampjut","given":"Domen","non-dropping-particle":"","parse-names":false,"suffix":""},{"dropping-particle":"","family":"Sazanov","given":"Leonid A","non-dropping-particle":"","parse-names":false,"suffix":""}],"container-title":"Science (New York, N.Y.)","id":"ITEM-1","issue":"6516","issued":{"date-parts":[["2020","10"]]},"language":"eng","publisher-place":"United States","title":"The coupling mechanism of mammalian respiratory complex I.","type":"article-journal","volume":"370"},"uris":["http://www.mendeley.com/documents/?uuid=7ba13959-8c17-4313-8227-becdec77971c"]}],"mendeley":{"formattedCitation":"(Kampjut &amp; Sazanov, 2020)","plainTextFormattedCitation":"(Kampjut &amp; Sazanov, 2020)","previouslyFormattedCitation":"(Kampjut &amp; Sazanov, 2020)"},"properties":{"noteIndex":0},"schema":"https://github.com/citation-style-language/schema/raw/master/csl-citation.json"}</w:instrText>
      </w:r>
      <w:r w:rsidR="000B0BEA" w:rsidRPr="00E97FC1">
        <w:rPr>
          <w:rFonts w:cs="Times New Roman"/>
          <w:szCs w:val="24"/>
          <w:lang w:val="en-GB"/>
        </w:rPr>
        <w:fldChar w:fldCharType="separate"/>
      </w:r>
      <w:r w:rsidR="00E55873" w:rsidRPr="00E97FC1">
        <w:rPr>
          <w:rFonts w:cs="Times New Roman"/>
          <w:noProof/>
          <w:szCs w:val="24"/>
          <w:lang w:val="en-GB"/>
        </w:rPr>
        <w:t>(Kampjut &amp; Sazanov, 2020)</w:t>
      </w:r>
      <w:r w:rsidR="000B0BEA" w:rsidRPr="00E97FC1">
        <w:rPr>
          <w:rFonts w:cs="Times New Roman"/>
          <w:szCs w:val="24"/>
          <w:lang w:val="en-GB"/>
        </w:rPr>
        <w:fldChar w:fldCharType="end"/>
      </w:r>
      <w:r w:rsidRPr="00E97FC1">
        <w:rPr>
          <w:rFonts w:cs="Times New Roman"/>
          <w:szCs w:val="24"/>
          <w:lang w:val="en-GB"/>
        </w:rPr>
        <w:t xml:space="preserve"> and suggested yet another alternative</w:t>
      </w:r>
      <w:r w:rsidR="00061E8F" w:rsidRPr="00E97FC1">
        <w:rPr>
          <w:rFonts w:cs="Times New Roman"/>
          <w:szCs w:val="24"/>
          <w:lang w:val="en-GB"/>
        </w:rPr>
        <w:t xml:space="preserve"> </w:t>
      </w:r>
      <w:r w:rsidR="00346DE4" w:rsidRPr="00E97FC1">
        <w:rPr>
          <w:rFonts w:cs="Times New Roman"/>
          <w:szCs w:val="24"/>
          <w:lang w:val="en-GB"/>
        </w:rPr>
        <w:fldChar w:fldCharType="begin" w:fldLock="1"/>
      </w:r>
      <w:r w:rsidR="00776703" w:rsidRPr="00E97FC1">
        <w:rPr>
          <w:rFonts w:cs="Times New Roman"/>
          <w:szCs w:val="24"/>
          <w:lang w:val="en-GB"/>
        </w:rPr>
        <w:instrText>ADDIN CSL_CITATION {"citationItems":[{"id":"ITEM-1","itemData":{"DOI":"10.1038/s41594-022-00722-w","ISSN":"1545-9985 (Electronic)","PMID":"35145322","abstract":"Mammalian respiratory complex I (CI) is a 45-subunit, redox-driven proton pump  that generates an electrochemical gradient across the mitochondrial inner membrane to power ATP synthesis in mitochondria. In the present study, we report cryo-electron microscopy structures of CI from Sus scrofa in six treatment conditions at a resolution of 2.4-3.5 Å, in which CI structures of each condition can be classified into two biochemical classes (active or deactive), with a notably higher proportion of active CI particles. These structures illuminate how hydrophobic ubiquinone-10 (Q10) with its long isoprenoid tail is bound and reduced in a narrow Q chamber comprising four different Q10-binding sites. Structural comparisons of active CI structures from our decylubiquinone-NADH and rotenone-NADH datasets reveal that Q10 reduction at site 1 is not coupled to proton pumping in the membrane arm, which might instead be coupled to Q10 oxidation at site 2. Our data overturn the widely accepted previous proposal about the coupling mechanism of CI.","author":[{"dropping-particle":"","family":"Gu","given":"Jinke","non-dropping-particle":"","parse-names":false,"suffix":""},{"dropping-particle":"","family":"Liu","given":"Tianya","non-dropping-particle":"","parse-names":false,"suffix":""},{"dropping-particle":"","family":"Guo","given":"Runyu","non-dropping-particle":"","parse-names":false,"suffix":""},{"dropping-particle":"","family":"Zhang","given":"Laixing","non-dropping-particle":"","parse-names":false,"suffix":""},{"dropping-particle":"","family":"Yang","given":"Maojun","non-dropping-particle":"","parse-names":false,"suffix":""}],"container-title":"Nature structural &amp; molecular biology","id":"ITEM-1","issue":"2","issued":{"date-parts":[["2022","2"]]},"language":"eng","page":"172-182","publisher-place":"United States","title":"The coupling mechanism of mammalian mitochondrial complex I.","type":"article-journal","volume":"29"},"uris":["http://www.mendeley.com/documents/?uuid=a3fb1ccb-b1a6-477a-844b-60d876934a3c"]}],"mendeley":{"formattedCitation":"(Gu &lt;i&gt;et al&lt;/i&gt;, 2022)","plainTextFormattedCitation":"(Gu et al, 2022)","previouslyFormattedCitation":"(Gu &lt;i&gt;et al&lt;/i&gt;, 2022)"},"properties":{"noteIndex":0},"schema":"https://github.com/citation-style-language/schema/raw/master/csl-citation.json"}</w:instrText>
      </w:r>
      <w:r w:rsidR="00346DE4" w:rsidRPr="00E97FC1">
        <w:rPr>
          <w:rFonts w:cs="Times New Roman"/>
          <w:szCs w:val="24"/>
          <w:lang w:val="en-GB"/>
        </w:rPr>
        <w:fldChar w:fldCharType="separate"/>
      </w:r>
      <w:r w:rsidR="00E55873" w:rsidRPr="00E97FC1">
        <w:rPr>
          <w:rFonts w:cs="Times New Roman"/>
          <w:noProof/>
          <w:szCs w:val="24"/>
          <w:lang w:val="en-GB"/>
        </w:rPr>
        <w:t xml:space="preserve">(Gu </w:t>
      </w:r>
      <w:r w:rsidR="00E55873" w:rsidRPr="00E97FC1">
        <w:rPr>
          <w:rFonts w:cs="Times New Roman"/>
          <w:i/>
          <w:noProof/>
          <w:szCs w:val="24"/>
          <w:lang w:val="en-GB"/>
        </w:rPr>
        <w:t>et al</w:t>
      </w:r>
      <w:r w:rsidR="00E55873" w:rsidRPr="00E97FC1">
        <w:rPr>
          <w:rFonts w:cs="Times New Roman"/>
          <w:noProof/>
          <w:szCs w:val="24"/>
          <w:lang w:val="en-GB"/>
        </w:rPr>
        <w:t>, 2022)</w:t>
      </w:r>
      <w:r w:rsidR="00346DE4" w:rsidRPr="00E97FC1">
        <w:rPr>
          <w:rFonts w:cs="Times New Roman"/>
          <w:szCs w:val="24"/>
          <w:lang w:val="en-GB"/>
        </w:rPr>
        <w:fldChar w:fldCharType="end"/>
      </w:r>
      <w:r w:rsidRPr="00E97FC1">
        <w:rPr>
          <w:rFonts w:cs="Times New Roman"/>
          <w:szCs w:val="24"/>
          <w:lang w:val="en-GB"/>
        </w:rPr>
        <w:t xml:space="preserve">, based on a permanently bound ubiquinone shuttling electrons from the deep to the shallow binding site, where they get transferred to a hypothetical loosely bound external molecule of ubiquinone. This proposal is inconsistent with the current knowledge on complex I and the authors do not present any experimental evidence for the binding of an external quinone. </w:t>
      </w:r>
      <w:r w:rsidRPr="00E97FC1">
        <w:rPr>
          <w:rFonts w:cs="Times New Roman"/>
          <w:bCs/>
          <w:szCs w:val="24"/>
          <w:lang w:val="en-GB"/>
        </w:rPr>
        <w:t>On the contrary, there are no clear potential binding sites on the protein surface near Q entry point (even though such sites were computationally predicted recently, they appear to be too far from the Q</w:t>
      </w:r>
      <w:r w:rsidRPr="00E97FC1">
        <w:rPr>
          <w:rFonts w:cs="Times New Roman"/>
          <w:bCs/>
          <w:szCs w:val="24"/>
          <w:vertAlign w:val="subscript"/>
          <w:lang w:val="en-GB"/>
        </w:rPr>
        <w:t xml:space="preserve">s </w:t>
      </w:r>
      <w:r w:rsidRPr="00E97FC1">
        <w:rPr>
          <w:rFonts w:cs="Times New Roman"/>
          <w:bCs/>
          <w:szCs w:val="24"/>
          <w:lang w:val="en-GB"/>
        </w:rPr>
        <w:t>site for efficient electron transfer</w:t>
      </w:r>
      <w:r w:rsidR="00061E8F" w:rsidRPr="00E97FC1">
        <w:rPr>
          <w:rFonts w:cs="Times New Roman"/>
          <w:bCs/>
          <w:szCs w:val="24"/>
          <w:lang w:val="en-GB"/>
        </w:rPr>
        <w:t xml:space="preserve"> </w:t>
      </w:r>
      <w:r w:rsidR="00346DE4" w:rsidRPr="00E97FC1">
        <w:rPr>
          <w:rFonts w:cs="Times New Roman"/>
          <w:bCs/>
          <w:szCs w:val="24"/>
          <w:lang w:val="en-GB"/>
        </w:rPr>
        <w:fldChar w:fldCharType="begin" w:fldLock="1"/>
      </w:r>
      <w:r w:rsidR="00776703" w:rsidRPr="00E97FC1">
        <w:rPr>
          <w:rFonts w:cs="Times New Roman"/>
          <w:bCs/>
          <w:szCs w:val="24"/>
          <w:lang w:val="en-GB"/>
        </w:rPr>
        <w:instrText>ADDIN CSL_CITATION {"citationItems":[{"id":"ITEM-1","itemData":{"DOI":"10.1002/1873-3468.14346","ISSN":"1873-3468 (Electronic)","PMID":"35363885","abstract":"The first component of the mitochondrial electron transport chain is respiratory  complex I. Several high-resolution structures of complex I from different species have been resolved. However, despite these significant achievements, the mechanism of redox-coupled proton pumping remains elusive. Here, we combined atomistic docking, molecular dynamics simulations, and site-directed mutagenesis on respiratory complex I from Yarrowia lipolytica to identify a quinone (Q)-binding site on its surface near the horizontal amphipathic helices of ND1 and NDUFS7 subunits. The surface-bound Q makes stable interactions with conserved charged and polar residues, including the highly conserved Arg72 from the NDUFS7 subunit. The binding and dynamics of a Q molecule at the surface-binding site raise interesting possibilities about the mechanism of complex I, which are discussed.","author":[{"dropping-particle":"","family":"Djurabekova","given":"Amina","non-dropping-particle":"","parse-names":false,"suffix":""},{"dropping-particle":"","family":"Galemou Yoga","given":"Etienne","non-dropping-particle":"","parse-names":false,"suffix":""},{"dropping-particle":"","family":"Nyman","given":"Aino","non-dropping-particle":"","parse-names":false,"suffix":""},{"dropping-particle":"","family":"Pirttikoski","given":"Antti","non-dropping-particle":"","parse-names":false,"suffix":""},{"dropping-particle":"","family":"Zickermann","given":"Volker","non-dropping-particle":"","parse-names":false,"suffix":""},{"dropping-particle":"","family":"Haapanen","given":"Outi","non-dropping-particle":"","parse-names":false,"suffix":""},{"dropping-particle":"","family":"Sharma","given":"Vivek","non-dropping-particle":"","parse-names":false,"suffix":""}],"container-title":"FEBS letters","id":"ITEM-1","issue":"9","issued":{"date-parts":[["2022","5"]]},"language":"eng","page":"1133-1146","publisher-place":"England","title":"Docking and molecular simulations reveal a quinone-binding site on the surface of  respiratory complex I.","type":"article-journal","volume":"596"},"uris":["http://www.mendeley.com/documents/?uuid=d8e39463-6f80-45fb-bee5-05a6e613d08c","http://www.mendeley.com/documents/?uuid=dd055fc1-85fc-4773-8a69-a50c94969fcc"]}],"mendeley":{"formattedCitation":"(Djurabekova &lt;i&gt;et al&lt;/i&gt;, 2022)","plainTextFormattedCitation":"(Djurabekova et al, 2022)","previouslyFormattedCitation":"(Djurabekova &lt;i&gt;et al&lt;/i&gt;, 2022)"},"properties":{"noteIndex":0},"schema":"https://github.com/citation-style-language/schema/raw/master/csl-citation.json"}</w:instrText>
      </w:r>
      <w:r w:rsidR="00346DE4" w:rsidRPr="00E97FC1">
        <w:rPr>
          <w:rFonts w:cs="Times New Roman"/>
          <w:bCs/>
          <w:szCs w:val="24"/>
          <w:lang w:val="en-GB"/>
        </w:rPr>
        <w:fldChar w:fldCharType="separate"/>
      </w:r>
      <w:r w:rsidR="00E55873" w:rsidRPr="00E97FC1">
        <w:rPr>
          <w:rFonts w:cs="Times New Roman"/>
          <w:bCs/>
          <w:noProof/>
          <w:szCs w:val="24"/>
          <w:lang w:val="en-GB"/>
        </w:rPr>
        <w:t xml:space="preserve">(Djurabekova </w:t>
      </w:r>
      <w:r w:rsidR="00E55873" w:rsidRPr="00E97FC1">
        <w:rPr>
          <w:rFonts w:cs="Times New Roman"/>
          <w:bCs/>
          <w:i/>
          <w:noProof/>
          <w:szCs w:val="24"/>
          <w:lang w:val="en-GB"/>
        </w:rPr>
        <w:t>et al</w:t>
      </w:r>
      <w:r w:rsidR="00E55873" w:rsidRPr="00E97FC1">
        <w:rPr>
          <w:rFonts w:cs="Times New Roman"/>
          <w:bCs/>
          <w:noProof/>
          <w:szCs w:val="24"/>
          <w:lang w:val="en-GB"/>
        </w:rPr>
        <w:t>, 2022)</w:t>
      </w:r>
      <w:r w:rsidR="00346DE4" w:rsidRPr="00E97FC1">
        <w:rPr>
          <w:rFonts w:cs="Times New Roman"/>
          <w:bCs/>
          <w:szCs w:val="24"/>
          <w:lang w:val="en-GB"/>
        </w:rPr>
        <w:fldChar w:fldCharType="end"/>
      </w:r>
      <w:r w:rsidRPr="00E97FC1">
        <w:rPr>
          <w:rFonts w:cs="Times New Roman"/>
          <w:bCs/>
          <w:szCs w:val="24"/>
          <w:lang w:val="en-GB"/>
        </w:rPr>
        <w:t>). The authors</w:t>
      </w:r>
      <w:r w:rsidR="00061E8F" w:rsidRPr="00E97FC1">
        <w:rPr>
          <w:rFonts w:cs="Times New Roman"/>
          <w:bCs/>
          <w:szCs w:val="24"/>
          <w:lang w:val="en-GB"/>
        </w:rPr>
        <w:t xml:space="preserve"> </w:t>
      </w:r>
      <w:r w:rsidR="00346DE4" w:rsidRPr="00E97FC1">
        <w:rPr>
          <w:rFonts w:cs="Times New Roman"/>
          <w:bCs/>
          <w:szCs w:val="24"/>
          <w:lang w:val="en-GB"/>
        </w:rPr>
        <w:fldChar w:fldCharType="begin" w:fldLock="1"/>
      </w:r>
      <w:r w:rsidR="00776703" w:rsidRPr="00E97FC1">
        <w:rPr>
          <w:rFonts w:cs="Times New Roman"/>
          <w:bCs/>
          <w:szCs w:val="24"/>
          <w:lang w:val="en-GB"/>
        </w:rPr>
        <w:instrText>ADDIN CSL_CITATION {"citationItems":[{"id":"ITEM-1","itemData":{"DOI":"10.1038/s41594-022-00722-w","ISSN":"1545-9985 (Electronic)","PMID":"35145322","abstract":"Mammalian respiratory complex I (CI) is a 45-subunit, redox-driven proton pump  that generates an electrochemical gradient across the mitochondrial inner membrane to power ATP synthesis in mitochondria. In the present study, we report cryo-electron microscopy structures of CI from Sus scrofa in six treatment conditions at a resolution of 2.4-3.5 Å, in which CI structures of each condition can be classified into two biochemical classes (active or deactive), with a notably higher proportion of active CI particles. These structures illuminate how hydrophobic ubiquinone-10 (Q10) with its long isoprenoid tail is bound and reduced in a narrow Q chamber comprising four different Q10-binding sites. Structural comparisons of active CI structures from our decylubiquinone-NADH and rotenone-NADH datasets reveal that Q10 reduction at site 1 is not coupled to proton pumping in the membrane arm, which might instead be coupled to Q10 oxidation at site 2. Our data overturn the widely accepted previous proposal about the coupling mechanism of CI.","author":[{"dropping-particle":"","family":"Gu","given":"Jinke","non-dropping-particle":"","parse-names":false,"suffix":""},{"dropping-particle":"","family":"Liu","given":"Tianya","non-dropping-particle":"","parse-names":false,"suffix":""},{"dropping-particle":"","family":"Guo","given":"Runyu","non-dropping-particle":"","parse-names":false,"suffix":""},{"dropping-particle":"","family":"Zhang","given":"Laixing","non-dropping-particle":"","parse-names":false,"suffix":""},{"dropping-particle":"","family":"Yang","given":"Maojun","non-dropping-particle":"","parse-names":false,"suffix":""}],"container-title":"Nature structural &amp; molecular biology","id":"ITEM-1","issue":"2","issued":{"date-parts":[["2022","2"]]},"language":"eng","page":"172-182","publisher-place":"United States","title":"The coupling mechanism of mammalian mitochondrial complex I.","type":"article-journal","volume":"29"},"uris":["http://www.mendeley.com/documents/?uuid=a3fb1ccb-b1a6-477a-844b-60d876934a3c"]}],"mendeley":{"formattedCitation":"(Gu &lt;i&gt;et al&lt;/i&gt;, 2022)","plainTextFormattedCitation":"(Gu et al, 2022)","previouslyFormattedCitation":"(Gu &lt;i&gt;et al&lt;/i&gt;, 2022)"},"properties":{"noteIndex":0},"schema":"https://github.com/citation-style-language/schema/raw/master/csl-citation.json"}</w:instrText>
      </w:r>
      <w:r w:rsidR="00346DE4" w:rsidRPr="00E97FC1">
        <w:rPr>
          <w:rFonts w:cs="Times New Roman"/>
          <w:bCs/>
          <w:szCs w:val="24"/>
          <w:lang w:val="en-GB"/>
        </w:rPr>
        <w:fldChar w:fldCharType="separate"/>
      </w:r>
      <w:r w:rsidR="00E55873" w:rsidRPr="00E97FC1">
        <w:rPr>
          <w:rFonts w:cs="Times New Roman"/>
          <w:bCs/>
          <w:noProof/>
          <w:szCs w:val="24"/>
          <w:lang w:val="en-GB"/>
        </w:rPr>
        <w:t xml:space="preserve">(Gu </w:t>
      </w:r>
      <w:r w:rsidR="00E55873" w:rsidRPr="00E97FC1">
        <w:rPr>
          <w:rFonts w:cs="Times New Roman"/>
          <w:bCs/>
          <w:i/>
          <w:noProof/>
          <w:szCs w:val="24"/>
          <w:lang w:val="en-GB"/>
        </w:rPr>
        <w:t>et al</w:t>
      </w:r>
      <w:r w:rsidR="00E55873" w:rsidRPr="00E97FC1">
        <w:rPr>
          <w:rFonts w:cs="Times New Roman"/>
          <w:bCs/>
          <w:noProof/>
          <w:szCs w:val="24"/>
          <w:lang w:val="en-GB"/>
        </w:rPr>
        <w:t>, 2022)</w:t>
      </w:r>
      <w:r w:rsidR="00346DE4" w:rsidRPr="00E97FC1">
        <w:rPr>
          <w:rFonts w:cs="Times New Roman"/>
          <w:bCs/>
          <w:szCs w:val="24"/>
          <w:lang w:val="en-GB"/>
        </w:rPr>
        <w:fldChar w:fldCharType="end"/>
      </w:r>
      <w:r w:rsidRPr="00E97FC1">
        <w:rPr>
          <w:rFonts w:cs="Times New Roman"/>
          <w:bCs/>
          <w:szCs w:val="24"/>
          <w:lang w:val="en-GB"/>
        </w:rPr>
        <w:t xml:space="preserve"> invoke comparison to Photosystem II (PSII) where primary acceptor Q</w:t>
      </w:r>
      <w:r w:rsidRPr="00E97FC1">
        <w:rPr>
          <w:rFonts w:cs="Times New Roman"/>
          <w:bCs/>
          <w:szCs w:val="24"/>
          <w:vertAlign w:val="subscript"/>
          <w:lang w:val="en-GB"/>
        </w:rPr>
        <w:t>A</w:t>
      </w:r>
      <w:r w:rsidRPr="00E97FC1">
        <w:rPr>
          <w:rFonts w:cs="Times New Roman"/>
          <w:bCs/>
          <w:szCs w:val="24"/>
          <w:lang w:val="en-GB"/>
        </w:rPr>
        <w:t xml:space="preserve"> donates electrons to Q</w:t>
      </w:r>
      <w:r w:rsidRPr="00E97FC1">
        <w:rPr>
          <w:rFonts w:cs="Times New Roman"/>
          <w:bCs/>
          <w:szCs w:val="24"/>
          <w:vertAlign w:val="subscript"/>
          <w:lang w:val="en-GB"/>
        </w:rPr>
        <w:t>B</w:t>
      </w:r>
      <w:r w:rsidRPr="00E97FC1">
        <w:rPr>
          <w:rFonts w:cs="Times New Roman"/>
          <w:bCs/>
          <w:szCs w:val="24"/>
          <w:lang w:val="en-GB"/>
        </w:rPr>
        <w:t xml:space="preserve">.  </w:t>
      </w:r>
      <w:r w:rsidRPr="00E97FC1">
        <w:rPr>
          <w:rFonts w:cs="Times New Roman"/>
          <w:bCs/>
          <w:szCs w:val="24"/>
          <w:lang w:val="en-GB"/>
        </w:rPr>
        <w:lastRenderedPageBreak/>
        <w:t>However, in PSII, a non-heme Fe (within iron-quinone complex) promotes electron tunnelling between the quinones</w:t>
      </w:r>
      <w:r w:rsidR="00061E8F" w:rsidRPr="00E97FC1">
        <w:rPr>
          <w:rFonts w:cs="Times New Roman"/>
          <w:bCs/>
          <w:szCs w:val="24"/>
          <w:lang w:val="en-GB"/>
        </w:rPr>
        <w:t xml:space="preserve"> </w:t>
      </w:r>
      <w:r w:rsidR="00346DE4" w:rsidRPr="00E97FC1">
        <w:rPr>
          <w:rFonts w:cs="Times New Roman"/>
          <w:bCs/>
          <w:szCs w:val="24"/>
          <w:lang w:val="en-GB"/>
        </w:rPr>
        <w:fldChar w:fldCharType="begin" w:fldLock="1"/>
      </w:r>
      <w:r w:rsidR="00776703" w:rsidRPr="00E97FC1">
        <w:rPr>
          <w:rFonts w:cs="Times New Roman"/>
          <w:bCs/>
          <w:szCs w:val="24"/>
          <w:lang w:val="en-GB"/>
        </w:rPr>
        <w:instrText>ADDIN CSL_CITATION {"citationItems":[{"id":"ITEM-1","itemData":{"DOI":"10.1016/j.bbabio.2012.04.003","ISSN":"0006-3002 (Print)","PMID":"22521596","abstract":"In photosynthesis, cyanobacteria, algae and plants fix carbon dioxide (CO(2))  into carbohydrates; this is necessary to support life on Earth. Over 50 years ago, Otto Heinrich Warburg discovered a unique stimulatory role of CO(2) in the Hill reaction (i.e., O(2) evolution accompanied by reduction of an artificial electron acceptor), which, obviously, does not include any carbon fixation pathway; Warburg used this discovery to support his idea that O(2) in photosynthesis originates in CO(2). During the 1960s, a large number of researchers attempted to decipher this unique phenomenon, with limited success. In the 1970s, Alan Stemler, in Govindjee's lab, perfected methods to get highly reproducible results, and observed, among other things, that the turnover of Photosystem II (PSII) was stimulated by bicarbonate ions (hydrogen carbonate): the effect would be on the donor or the acceptor, or both sides of PSII. In 1975, Thomas Wydrzynski, also in Govindjee's lab, discovered that there was a definite bicarbonate effect on the electron acceptor (the plastoquinone) side of PSII. The most recent 1.9Å crystal structure of PSII, unequivocally shows HCO(3)(-) bound to the non-heme iron that sits in-between the bound primary quinone electron acceptor, Q(A), and the secondary quinone electron acceptor Q(B). In this review, we focus on the historical development of our understanding of this unique bicarbonate effect on the electron acceptor side of PSII, and its mechanism as obtained by biochemical, biophysical and molecular biological approaches in many laboratories around the World. We suggest an atomic level model in which HCO(3)(-)/CO(3)(2-) plays a key role in the protonation of the reduced Q(B). In addition, we make comments on the role of bicarbonate on the donor side of PSII, as has been extensively studied in the labs of Alan Stemler (USA) and Vyacheslav Klimov (Russia). We end this review by discussing the uniqueness of bicarbonate's role in oxygenic photosynthesis and its role in the evolutionary development of O(2)-evolving PSII. This article is part of a Special Issue entitled: Photosynthesis Research for Sustainability: from Natural to Artificial.","author":[{"dropping-particle":"","family":"Shevela","given":"Dmitriy","non-dropping-particle":"","parse-names":false,"suffix":""},{"dropping-particle":"","family":"Eaton-Rye","given":"Julian J","non-dropping-particle":"","parse-names":false,"suffix":""},{"dropping-particle":"","family":"Shen","given":"Jian-Ren","non-dropping-particle":"","parse-names":false,"suffix":""},{"dropping-particle":"","family":"Govindjee","given":"","non-dropping-particle":"","parse-names":false,"suffix":""}],"container-title":"Biochimica et biophysica acta","id":"ITEM-1","issue":"8","issued":{"date-parts":[["2012","8"]]},"language":"eng","page":"1134-1151","publisher-place":"Netherlands","title":"Photosystem II and the unique role of bicarbonate: a historical perspective.","type":"article-journal","volume":"1817"},"uris":["http://www.mendeley.com/documents/?uuid=81113fca-799c-4fc3-b9d8-639b4fff7a43","http://www.mendeley.com/documents/?uuid=9868c95f-95ac-4935-ad85-e4589593956a"]}],"mendeley":{"formattedCitation":"(Shevela &lt;i&gt;et al&lt;/i&gt;, 2012)","plainTextFormattedCitation":"(Shevela et al, 2012)","previouslyFormattedCitation":"(Shevela &lt;i&gt;et al&lt;/i&gt;, 2012)"},"properties":{"noteIndex":0},"schema":"https://github.com/citation-style-language/schema/raw/master/csl-citation.json"}</w:instrText>
      </w:r>
      <w:r w:rsidR="00346DE4" w:rsidRPr="00E97FC1">
        <w:rPr>
          <w:rFonts w:cs="Times New Roman"/>
          <w:bCs/>
          <w:szCs w:val="24"/>
          <w:lang w:val="en-GB"/>
        </w:rPr>
        <w:fldChar w:fldCharType="separate"/>
      </w:r>
      <w:r w:rsidR="00E55873" w:rsidRPr="00E97FC1">
        <w:rPr>
          <w:rFonts w:cs="Times New Roman"/>
          <w:bCs/>
          <w:noProof/>
          <w:szCs w:val="24"/>
          <w:lang w:val="en-GB"/>
        </w:rPr>
        <w:t xml:space="preserve">(Shevela </w:t>
      </w:r>
      <w:r w:rsidR="00E55873" w:rsidRPr="00E97FC1">
        <w:rPr>
          <w:rFonts w:cs="Times New Roman"/>
          <w:bCs/>
          <w:i/>
          <w:noProof/>
          <w:szCs w:val="24"/>
          <w:lang w:val="en-GB"/>
        </w:rPr>
        <w:t>et al</w:t>
      </w:r>
      <w:r w:rsidR="00E55873" w:rsidRPr="00E97FC1">
        <w:rPr>
          <w:rFonts w:cs="Times New Roman"/>
          <w:bCs/>
          <w:noProof/>
          <w:szCs w:val="24"/>
          <w:lang w:val="en-GB"/>
        </w:rPr>
        <w:t>, 2012)</w:t>
      </w:r>
      <w:r w:rsidR="00346DE4" w:rsidRPr="00E97FC1">
        <w:rPr>
          <w:rFonts w:cs="Times New Roman"/>
          <w:bCs/>
          <w:szCs w:val="24"/>
          <w:lang w:val="en-GB"/>
        </w:rPr>
        <w:fldChar w:fldCharType="end"/>
      </w:r>
      <w:r w:rsidRPr="00E97FC1">
        <w:rPr>
          <w:rFonts w:cs="Times New Roman"/>
          <w:bCs/>
          <w:szCs w:val="24"/>
          <w:lang w:val="en-GB"/>
        </w:rPr>
        <w:t>, a feature clearly absent in complex I. There is also no proposal on how protons released from internal quinone would lead to proton translocation.</w:t>
      </w:r>
      <w:r w:rsidRPr="00E97FC1">
        <w:rPr>
          <w:rFonts w:cs="Times New Roman"/>
          <w:szCs w:val="24"/>
          <w:lang w:val="en-GB"/>
        </w:rPr>
        <w:t xml:space="preserve"> In fact, the main new data in the report was the mode of Q10 binding, while the other structural findings are similar but cover less ground (e.g. there are no turnover conditions) than already published</w:t>
      </w:r>
      <w:hyperlink w:anchor="_ENREF_3" w:tooltip="Kampjut, 2020 #1543" w:history="1"/>
      <w:r w:rsidR="00061E8F" w:rsidRPr="00E97FC1">
        <w:rPr>
          <w:rFonts w:cs="Times New Roman"/>
          <w:szCs w:val="24"/>
          <w:lang w:val="en-GB"/>
        </w:rPr>
        <w:t xml:space="preserve"> </w:t>
      </w:r>
      <w:r w:rsidR="00346DE4" w:rsidRPr="00E97FC1">
        <w:rPr>
          <w:rFonts w:cs="Times New Roman"/>
          <w:szCs w:val="24"/>
          <w:lang w:val="en-GB"/>
        </w:rPr>
        <w:fldChar w:fldCharType="begin" w:fldLock="1"/>
      </w:r>
      <w:r w:rsidR="00E55873" w:rsidRPr="00E97FC1">
        <w:rPr>
          <w:rFonts w:cs="Times New Roman"/>
          <w:szCs w:val="24"/>
          <w:lang w:val="en-GB"/>
        </w:rPr>
        <w:instrText>ADDIN CSL_CITATION {"citationItems":[{"id":"ITEM-1","itemData":{"DOI":"10.1126/science.abc4209","ISSN":"1095-9203 (Electronic)","PMID":"32972993","abstract":"Mitochondrial complex I couples NADH:ubiquinone oxidoreduction to proton pumping by  an unknown mechanism. Here, we present cryo-electron microscopy structures of ovine complex I in five different conditions, including turnover, at resolutions up to 2.3 to 2.5 angstroms. Resolved water molecules allowed us to experimentally define the proton translocation pathways. Quinone binds at three positions along the quinone cavity, as does the inhibitor rotenone that also binds within subunit ND4. Dramatic conformational changes around the quinone cavity couple the redox reaction to proton translocation during open-to-closed state transitions of the enzyme. In the induced deactive state, the open conformation is arrested by the ND6 subunit. We propose a detailed molecular coupling mechanism of complex I, which is an unexpected combination of conformational changes and electrostatic interactions.","author":[{"dropping-particle":"","family":"Kampjut","given":"Domen","non-dropping-particle":"","parse-names":false,"suffix":""},{"dropping-particle":"","family":"Sazanov","given":"Leonid A","non-dropping-particle":"","parse-names":false,"suffix":""}],"container-title":"Science (New York, N.Y.)","id":"ITEM-1","issue":"6516","issued":{"date-parts":[["2020","10"]]},"language":"eng","publisher-place":"United States","title":"The coupling mechanism of mammalian respiratory complex I.","type":"article-journal","volume":"370"},"uris":["http://www.mendeley.com/documents/?uuid=7ba13959-8c17-4313-8227-becdec77971c"]}],"mendeley":{"formattedCitation":"(Kampjut &amp; Sazanov, 2020)","plainTextFormattedCitation":"(Kampjut &amp; Sazanov, 2020)","previouslyFormattedCitation":"(Kampjut &amp; Sazanov, 2020)"},"properties":{"noteIndex":0},"schema":"https://github.com/citation-style-language/schema/raw/master/csl-citation.json"}</w:instrText>
      </w:r>
      <w:r w:rsidR="00346DE4" w:rsidRPr="00E97FC1">
        <w:rPr>
          <w:rFonts w:cs="Times New Roman"/>
          <w:szCs w:val="24"/>
          <w:lang w:val="en-GB"/>
        </w:rPr>
        <w:fldChar w:fldCharType="separate"/>
      </w:r>
      <w:r w:rsidR="00E55873" w:rsidRPr="00E97FC1">
        <w:rPr>
          <w:rFonts w:cs="Times New Roman"/>
          <w:noProof/>
          <w:szCs w:val="24"/>
          <w:lang w:val="en-GB"/>
        </w:rPr>
        <w:t>(Kampjut &amp; Sazanov, 2020)</w:t>
      </w:r>
      <w:r w:rsidR="00346DE4" w:rsidRPr="00E97FC1">
        <w:rPr>
          <w:rFonts w:cs="Times New Roman"/>
          <w:szCs w:val="24"/>
          <w:lang w:val="en-GB"/>
        </w:rPr>
        <w:fldChar w:fldCharType="end"/>
      </w:r>
      <w:r w:rsidRPr="00E97FC1">
        <w:rPr>
          <w:rFonts w:cs="Times New Roman"/>
          <w:szCs w:val="24"/>
          <w:lang w:val="en-GB"/>
        </w:rPr>
        <w:t>. Further, the authors reiterated the assignment of the open and closed conformations to the deactive and active states, respectively, without providing any new data for this claim and using the same reasoning which we discussed and dismissed previously</w:t>
      </w:r>
      <w:r w:rsidR="00061E8F" w:rsidRPr="00E97FC1">
        <w:rPr>
          <w:rFonts w:cs="Times New Roman"/>
          <w:szCs w:val="24"/>
          <w:lang w:val="en-GB"/>
        </w:rPr>
        <w:t xml:space="preserve"> </w:t>
      </w:r>
      <w:r w:rsidR="00346DE4" w:rsidRPr="00E97FC1">
        <w:rPr>
          <w:rFonts w:cs="Times New Roman"/>
          <w:szCs w:val="24"/>
          <w:lang w:val="en-GB"/>
        </w:rPr>
        <w:fldChar w:fldCharType="begin" w:fldLock="1"/>
      </w:r>
      <w:r w:rsidR="00E55873" w:rsidRPr="00E97FC1">
        <w:rPr>
          <w:rFonts w:cs="Times New Roman"/>
          <w:szCs w:val="24"/>
          <w:lang w:val="en-GB"/>
        </w:rPr>
        <w:instrText>ADDIN CSL_CITATION {"citationItems":[{"id":"ITEM-1","itemData":{"DOI":"10.1126/science.abc4209","ISSN":"1095-9203 (Electronic)","PMID":"32972993","abstract":"Mitochondrial complex I couples NADH:ubiquinone oxidoreduction to proton pumping by  an unknown mechanism. Here, we present cryo-electron microscopy structures of ovine complex I in five different conditions, including turnover, at resolutions up to 2.3 to 2.5 angstroms. Resolved water molecules allowed us to experimentally define the proton translocation pathways. Quinone binds at three positions along the quinone cavity, as does the inhibitor rotenone that also binds within subunit ND4. Dramatic conformational changes around the quinone cavity couple the redox reaction to proton translocation during open-to-closed state transitions of the enzyme. In the induced deactive state, the open conformation is arrested by the ND6 subunit. We propose a detailed molecular coupling mechanism of complex I, which is an unexpected combination of conformational changes and electrostatic interactions.","author":[{"dropping-particle":"","family":"Kampjut","given":"Domen","non-dropping-particle":"","parse-names":false,"suffix":""},{"dropping-particle":"","family":"Sazanov","given":"Leonid A","non-dropping-particle":"","parse-names":false,"suffix":""}],"container-title":"Science (New York, N.Y.)","id":"ITEM-1","issue":"6516","issued":{"date-parts":[["2020","10"]]},"language":"eng","publisher-place":"United States","title":"The coupling mechanism of mammalian respiratory complex I.","type":"article-journal","volume":"370"},"uris":["http://www.mendeley.com/documents/?uuid=7ba13959-8c17-4313-8227-becdec77971c"]}],"mendeley":{"formattedCitation":"(Kampjut &amp; Sazanov, 2020)","plainTextFormattedCitation":"(Kampjut &amp; Sazanov, 2020)","previouslyFormattedCitation":"(Kampjut &amp; Sazanov, 2020)"},"properties":{"noteIndex":0},"schema":"https://github.com/citation-style-language/schema/raw/master/csl-citation.json"}</w:instrText>
      </w:r>
      <w:r w:rsidR="00346DE4" w:rsidRPr="00E97FC1">
        <w:rPr>
          <w:rFonts w:cs="Times New Roman"/>
          <w:szCs w:val="24"/>
          <w:lang w:val="en-GB"/>
        </w:rPr>
        <w:fldChar w:fldCharType="separate"/>
      </w:r>
      <w:r w:rsidR="00E55873" w:rsidRPr="00E97FC1">
        <w:rPr>
          <w:rFonts w:cs="Times New Roman"/>
          <w:noProof/>
          <w:szCs w:val="24"/>
          <w:lang w:val="en-GB"/>
        </w:rPr>
        <w:t>(Kampjut &amp; Sazanov, 2020)</w:t>
      </w:r>
      <w:r w:rsidR="00346DE4" w:rsidRPr="00E97FC1">
        <w:rPr>
          <w:rFonts w:cs="Times New Roman"/>
          <w:szCs w:val="24"/>
          <w:lang w:val="en-GB"/>
        </w:rPr>
        <w:fldChar w:fldCharType="end"/>
      </w:r>
      <w:r w:rsidRPr="00E97FC1">
        <w:rPr>
          <w:rFonts w:cs="Times New Roman"/>
          <w:szCs w:val="24"/>
          <w:lang w:val="en-GB"/>
        </w:rPr>
        <w:t xml:space="preserve">, above </w:t>
      </w:r>
      <w:r w:rsidR="00346DE4" w:rsidRPr="00E97FC1">
        <w:rPr>
          <w:rFonts w:cs="Times New Roman"/>
          <w:szCs w:val="24"/>
          <w:lang w:val="en-GB"/>
        </w:rPr>
        <w:t>and in the</w:t>
      </w:r>
      <w:r w:rsidRPr="00E97FC1">
        <w:rPr>
          <w:rFonts w:cs="Times New Roman"/>
          <w:szCs w:val="24"/>
          <w:lang w:val="en-GB"/>
        </w:rPr>
        <w:t xml:space="preserve"> recent review</w:t>
      </w:r>
      <w:r w:rsidR="00061E8F" w:rsidRPr="00E97FC1">
        <w:rPr>
          <w:rFonts w:cs="Times New Roman"/>
          <w:szCs w:val="24"/>
          <w:lang w:val="en-GB"/>
        </w:rPr>
        <w:t xml:space="preserve"> </w:t>
      </w:r>
      <w:r w:rsidR="00346DE4" w:rsidRPr="00E97FC1">
        <w:rPr>
          <w:rFonts w:cs="Times New Roman"/>
          <w:szCs w:val="24"/>
          <w:lang w:val="en-GB"/>
        </w:rPr>
        <w:fldChar w:fldCharType="begin" w:fldLock="1"/>
      </w:r>
      <w:r w:rsidR="00E55873" w:rsidRPr="00E97FC1">
        <w:rPr>
          <w:rFonts w:cs="Times New Roman"/>
          <w:szCs w:val="24"/>
          <w:lang w:val="en-GB"/>
        </w:rPr>
        <w:instrText>ADDIN CSL_CITATION {"citationItems":[{"id":"ITEM-1","itemData":{"DOI":"10.1016/j.sbi.2022.102350","ISSN":"1879-033X (Electronic)","PMID":"35316665","abstract":"Complex I is one of the major respiratory complexes, conserved from bacteria to  mammals. It oxidises NADH, reduces quinone and pumps protons across the membrane, thus playing a central role in the oxidative energy metabolism. In this review we discuss our current state of understanding the structure of complex I from various species of mammals, plants, fungi, and bacteria, as well as of several complex I-related proteins. By comparing the structural evidence from these systems in different redox states and data from mutagenesis and molecular simulations, we formulate the mechanisms of electron transfer and proton pumping and explain how they are conformationally and electrostatically coupled. Finally, we discuss the structural basis of the deactivation phenomenon in mammalian complex I.","author":[{"dropping-particle":"","family":"Kampjut","given":"Domen","non-dropping-particle":"","parse-names":false,"suffix":""},{"dropping-particle":"","family":"Sazanov","given":"Leonid A","non-dropping-particle":"","parse-names":false,"suffix":""}],"container-title":"Current opinion in structural biology","id":"ITEM-1","issued":{"date-parts":[["2022","6"]]},"language":"eng","page":"102350","title":"Structure of respiratory complex I - An emerging blueprint for the mechanism.","type":"article-journal","volume":"74"},"uris":["http://www.mendeley.com/documents/?uuid=62bbf93d-401e-40b0-b06d-3ce69cc203a7"]}],"mendeley":{"formattedCitation":"(Kampjut &amp; Sazanov, 2022)","plainTextFormattedCitation":"(Kampjut &amp; Sazanov, 2022)","previouslyFormattedCitation":"(Kampjut &amp; Sazanov, 2022)"},"properties":{"noteIndex":0},"schema":"https://github.com/citation-style-language/schema/raw/master/csl-citation.json"}</w:instrText>
      </w:r>
      <w:r w:rsidR="00346DE4" w:rsidRPr="00E97FC1">
        <w:rPr>
          <w:rFonts w:cs="Times New Roman"/>
          <w:szCs w:val="24"/>
          <w:lang w:val="en-GB"/>
        </w:rPr>
        <w:fldChar w:fldCharType="separate"/>
      </w:r>
      <w:r w:rsidR="00E55873" w:rsidRPr="00E97FC1">
        <w:rPr>
          <w:rFonts w:cs="Times New Roman"/>
          <w:noProof/>
          <w:szCs w:val="24"/>
          <w:lang w:val="en-GB"/>
        </w:rPr>
        <w:t>(Kampjut &amp; Sazanov, 2022)</w:t>
      </w:r>
      <w:r w:rsidR="00346DE4" w:rsidRPr="00E97FC1">
        <w:rPr>
          <w:rFonts w:cs="Times New Roman"/>
          <w:szCs w:val="24"/>
          <w:lang w:val="en-GB"/>
        </w:rPr>
        <w:fldChar w:fldCharType="end"/>
      </w:r>
      <w:r w:rsidRPr="00E97FC1">
        <w:rPr>
          <w:rFonts w:cs="Times New Roman"/>
          <w:szCs w:val="24"/>
          <w:lang w:val="en-GB"/>
        </w:rPr>
        <w:t>. Another argument was that in the open state quinone cannot bind in the deep site and that the connection between the Q cavity and ALS is interrupted. However, these are exactly the features which allow the open state to act as part of the catalytic cycle in our mechanism. In summary, there is no experimental basis for the mechanistic proposals in this report</w:t>
      </w:r>
      <w:r w:rsidR="00061E8F" w:rsidRPr="00E97FC1">
        <w:rPr>
          <w:rFonts w:cs="Times New Roman"/>
          <w:szCs w:val="24"/>
          <w:lang w:val="en-GB"/>
        </w:rPr>
        <w:t xml:space="preserve"> </w:t>
      </w:r>
      <w:r w:rsidR="00346DE4" w:rsidRPr="00E97FC1">
        <w:rPr>
          <w:rFonts w:cs="Times New Roman"/>
          <w:szCs w:val="24"/>
          <w:lang w:val="en-GB"/>
        </w:rPr>
        <w:fldChar w:fldCharType="begin" w:fldLock="1"/>
      </w:r>
      <w:r w:rsidR="00776703" w:rsidRPr="00E97FC1">
        <w:rPr>
          <w:rFonts w:cs="Times New Roman"/>
          <w:szCs w:val="24"/>
          <w:lang w:val="en-GB"/>
        </w:rPr>
        <w:instrText>ADDIN CSL_CITATION {"citationItems":[{"id":"ITEM-1","itemData":{"DOI":"10.1038/s41594-022-00722-w","ISSN":"1545-9985 (Electronic)","PMID":"35145322","abstract":"Mammalian respiratory complex I (CI) is a 45-subunit, redox-driven proton pump  that generates an electrochemical gradient across the mitochondrial inner membrane to power ATP synthesis in mitochondria. In the present study, we report cryo-electron microscopy structures of CI from Sus scrofa in six treatment conditions at a resolution of 2.4-3.5 Å, in which CI structures of each condition can be classified into two biochemical classes (active or deactive), with a notably higher proportion of active CI particles. These structures illuminate how hydrophobic ubiquinone-10 (Q10) with its long isoprenoid tail is bound and reduced in a narrow Q chamber comprising four different Q10-binding sites. Structural comparisons of active CI structures from our decylubiquinone-NADH and rotenone-NADH datasets reveal that Q10 reduction at site 1 is not coupled to proton pumping in the membrane arm, which might instead be coupled to Q10 oxidation at site 2. Our data overturn the widely accepted previous proposal about the coupling mechanism of CI.","author":[{"dropping-particle":"","family":"Gu","given":"Jinke","non-dropping-particle":"","parse-names":false,"suffix":""},{"dropping-particle":"","family":"Liu","given":"Tianya","non-dropping-particle":"","parse-names":false,"suffix":""},{"dropping-particle":"","family":"Guo","given":"Runyu","non-dropping-particle":"","parse-names":false,"suffix":""},{"dropping-particle":"","family":"Zhang","given":"Laixing","non-dropping-particle":"","parse-names":false,"suffix":""},{"dropping-particle":"","family":"Yang","given":"Maojun","non-dropping-particle":"","parse-names":false,"suffix":""}],"container-title":"Nature structural &amp; molecular biology","id":"ITEM-1","issue":"2","issued":{"date-parts":[["2022","2"]]},"language":"eng","page":"172-182","publisher-place":"United States","title":"The coupling mechanism of mammalian mitochondrial complex I.","type":"article-journal","volume":"29"},"uris":["http://www.mendeley.com/documents/?uuid=a3fb1ccb-b1a6-477a-844b-60d876934a3c"]}],"mendeley":{"formattedCitation":"(Gu &lt;i&gt;et al&lt;/i&gt;, 2022)","plainTextFormattedCitation":"(Gu et al, 2022)","previouslyFormattedCitation":"(Gu &lt;i&gt;et al&lt;/i&gt;, 2022)"},"properties":{"noteIndex":0},"schema":"https://github.com/citation-style-language/schema/raw/master/csl-citation.json"}</w:instrText>
      </w:r>
      <w:r w:rsidR="00346DE4" w:rsidRPr="00E97FC1">
        <w:rPr>
          <w:rFonts w:cs="Times New Roman"/>
          <w:szCs w:val="24"/>
          <w:lang w:val="en-GB"/>
        </w:rPr>
        <w:fldChar w:fldCharType="separate"/>
      </w:r>
      <w:r w:rsidR="00E55873" w:rsidRPr="00E97FC1">
        <w:rPr>
          <w:rFonts w:cs="Times New Roman"/>
          <w:noProof/>
          <w:szCs w:val="24"/>
          <w:lang w:val="en-GB"/>
        </w:rPr>
        <w:t xml:space="preserve">(Gu </w:t>
      </w:r>
      <w:r w:rsidR="00E55873" w:rsidRPr="00E97FC1">
        <w:rPr>
          <w:rFonts w:cs="Times New Roman"/>
          <w:i/>
          <w:noProof/>
          <w:szCs w:val="24"/>
          <w:lang w:val="en-GB"/>
        </w:rPr>
        <w:t>et al</w:t>
      </w:r>
      <w:r w:rsidR="00E55873" w:rsidRPr="00E97FC1">
        <w:rPr>
          <w:rFonts w:cs="Times New Roman"/>
          <w:noProof/>
          <w:szCs w:val="24"/>
          <w:lang w:val="en-GB"/>
        </w:rPr>
        <w:t>, 2022)</w:t>
      </w:r>
      <w:r w:rsidR="00346DE4" w:rsidRPr="00E97FC1">
        <w:rPr>
          <w:rFonts w:cs="Times New Roman"/>
          <w:szCs w:val="24"/>
          <w:lang w:val="en-GB"/>
        </w:rPr>
        <w:fldChar w:fldCharType="end"/>
      </w:r>
      <w:r w:rsidR="009C5D5C" w:rsidRPr="00E97FC1">
        <w:rPr>
          <w:rFonts w:cs="Times New Roman"/>
          <w:szCs w:val="24"/>
          <w:lang w:val="en-GB"/>
        </w:rPr>
        <w:t>.</w:t>
      </w:r>
    </w:p>
    <w:p w14:paraId="50E5438B" w14:textId="77777777" w:rsidR="00891860" w:rsidRPr="00E97FC1" w:rsidRDefault="00891860" w:rsidP="00CE3E6F">
      <w:pPr>
        <w:ind w:firstLine="720"/>
        <w:rPr>
          <w:lang w:val="en-GB"/>
        </w:rPr>
      </w:pPr>
    </w:p>
    <w:p w14:paraId="065D196B" w14:textId="77777777" w:rsidR="003C3D28" w:rsidRPr="00E97FC1" w:rsidRDefault="003C3D28" w:rsidP="00F016AD">
      <w:pPr>
        <w:pStyle w:val="Heading2"/>
      </w:pPr>
      <w:bookmarkStart w:id="132" w:name="_Toc132640020"/>
      <w:r w:rsidRPr="00E97FC1">
        <w:t>Conclusions</w:t>
      </w:r>
      <w:bookmarkEnd w:id="132"/>
    </w:p>
    <w:p w14:paraId="3CA4E341" w14:textId="4275113B" w:rsidR="00E538B4" w:rsidRPr="00E97FC1" w:rsidRDefault="00E538B4" w:rsidP="00E538B4">
      <w:pPr>
        <w:ind w:firstLine="720"/>
        <w:rPr>
          <w:lang w:val="en-GB"/>
        </w:rPr>
      </w:pPr>
      <w:r w:rsidRPr="00E97FC1">
        <w:rPr>
          <w:lang w:val="en-GB"/>
        </w:rPr>
        <w:t xml:space="preserve">Complex I is the first and the largest enzyme of the mitochondrial and bacterial respiratory chain. It is essential for energy production and mutations in the enzyme lead to a number of human diseases. </w:t>
      </w:r>
      <w:r w:rsidR="005628D4" w:rsidRPr="00E97FC1">
        <w:rPr>
          <w:lang w:val="en-GB"/>
        </w:rPr>
        <w:t>The c</w:t>
      </w:r>
      <w:r w:rsidRPr="00E97FC1">
        <w:rPr>
          <w:lang w:val="en-GB"/>
        </w:rPr>
        <w:t>oupling mechanism of the complex</w:t>
      </w:r>
      <w:r w:rsidR="005628D4" w:rsidRPr="00E97FC1">
        <w:rPr>
          <w:lang w:val="en-GB"/>
        </w:rPr>
        <w:t xml:space="preserve"> I is one of the biggest enigmas</w:t>
      </w:r>
      <w:r w:rsidRPr="00E97FC1">
        <w:rPr>
          <w:lang w:val="en-GB"/>
        </w:rPr>
        <w:t xml:space="preserve"> in bioenergetics and structural biology and this work was performed to elaborate it. We solved the structures of the minimal complex I version from </w:t>
      </w:r>
      <w:r w:rsidRPr="00E97FC1">
        <w:rPr>
          <w:i/>
          <w:lang w:val="en-GB"/>
        </w:rPr>
        <w:t>E. Coli</w:t>
      </w:r>
      <w:r w:rsidRPr="00E97FC1">
        <w:rPr>
          <w:lang w:val="en-GB"/>
        </w:rPr>
        <w:t xml:space="preserve">, including structures in different redox states, inhibited and under catalytic turnover. It was shown that the bacterial structure has very similar conformational dynamics of the key catalytic elements as </w:t>
      </w:r>
      <w:r w:rsidR="005628D4" w:rsidRPr="00E97FC1">
        <w:rPr>
          <w:lang w:val="en-GB"/>
        </w:rPr>
        <w:t xml:space="preserve">the mammalian complex. Thus, based on the compendium of decades of structural, functional and mutagenesis data we </w:t>
      </w:r>
      <w:r w:rsidR="00DD0539" w:rsidRPr="00E97FC1">
        <w:rPr>
          <w:lang w:val="en-GB"/>
        </w:rPr>
        <w:t>suggest</w:t>
      </w:r>
      <w:r w:rsidR="005628D4" w:rsidRPr="00E97FC1">
        <w:rPr>
          <w:lang w:val="en-GB"/>
        </w:rPr>
        <w:t xml:space="preserve"> the universal coupling mechanism, which</w:t>
      </w:r>
      <w:r w:rsidR="009D2CA7" w:rsidRPr="00E97FC1">
        <w:rPr>
          <w:lang w:val="en-GB"/>
        </w:rPr>
        <w:t xml:space="preserve"> can be</w:t>
      </w:r>
      <w:r w:rsidR="005628D4" w:rsidRPr="00E97FC1">
        <w:rPr>
          <w:lang w:val="en-GB"/>
        </w:rPr>
        <w:t xml:space="preserve"> </w:t>
      </w:r>
      <w:r w:rsidR="009D2CA7" w:rsidRPr="00E97FC1">
        <w:rPr>
          <w:lang w:val="en-GB"/>
        </w:rPr>
        <w:t>applied</w:t>
      </w:r>
      <w:r w:rsidR="005628D4" w:rsidRPr="00E97FC1">
        <w:rPr>
          <w:lang w:val="en-GB"/>
        </w:rPr>
        <w:t xml:space="preserve"> to all species. </w:t>
      </w:r>
      <w:r w:rsidR="00DD0539" w:rsidRPr="00E97FC1">
        <w:rPr>
          <w:lang w:val="en-GB"/>
        </w:rPr>
        <w:t>Further work in this area is likely to involve mutagenesis of key residues in order to verify the mechanism, as well as more direct biophysical experiments to try to visualise open-to-closed transition during turnover by e.g. high-speed AFM</w:t>
      </w:r>
      <w:r w:rsidR="00DA67CE" w:rsidRPr="00E97FC1">
        <w:rPr>
          <w:lang w:val="en-GB"/>
        </w:rPr>
        <w:t xml:space="preserve"> </w:t>
      </w:r>
      <w:r w:rsidR="00DA67CE" w:rsidRPr="00E97FC1">
        <w:rPr>
          <w:lang w:val="en-GB"/>
        </w:rPr>
        <w:fldChar w:fldCharType="begin" w:fldLock="1"/>
      </w:r>
      <w:r w:rsidR="00DA67CE" w:rsidRPr="00E97FC1">
        <w:rPr>
          <w:lang w:val="en-GB"/>
        </w:rPr>
        <w:instrText>ADDIN CSL_CITATION {"citationItems":[{"id":"ITEM-1","itemData":{"DOI":"10.1007/s12551-017-0356-5","ISSN":"1867-2450 (Print)","PMID":"29256119","abstract":"Various techniques have been developed and used to investigate how proteins  produce complex biological architectures and phenomena. Among these techniques, high-speed atomic force microscopy (HS-AFM) holds a unique position. It is only HS-AFM that allows the simultaneous assessment of structure and dynamics of single protein molecules in action. This new microscopy tool has been successfully applied to a variety of proteins, from motor proteins to membrane proteins, antibodies, enzymes, and even to intrinsically disordered proteins. And yet there still remain many biomolecular phenomena that cannot be addressed by HS-AFM in its current form. Here, I present a brief history of HS-AFM development, describe the current state of HS-AFM, and then discuss which new biological scanning probe microscopy techniques will be coming up next.","author":[{"dropping-particle":"","family":"Ando","given":"Toshio","non-dropping-particle":"","parse-names":false,"suffix":""}],"container-title":"Biophysical reviews","id":"ITEM-1","issue":"2","issued":{"date-parts":[["2018","4"]]},"language":"eng","page":"285-292","publisher-place":"Germany","title":"High-speed atomic force microscopy and its future prospects.","type":"article-journal","volume":"10"},"uris":["http://www.mendeley.com/documents/?uuid=0e79de52-2641-469c-8e77-2c14f1635d90"]}],"mendeley":{"formattedCitation":"(Ando, 2018)","plainTextFormattedCitation":"(Ando, 2018)","previouslyFormattedCitation":"(Ando, 2018)"},"properties":{"noteIndex":0},"schema":"https://github.com/citation-style-language/schema/raw/master/csl-citation.json"}</w:instrText>
      </w:r>
      <w:r w:rsidR="00DA67CE" w:rsidRPr="00E97FC1">
        <w:rPr>
          <w:lang w:val="en-GB"/>
        </w:rPr>
        <w:fldChar w:fldCharType="separate"/>
      </w:r>
      <w:r w:rsidR="00DA67CE" w:rsidRPr="00E97FC1">
        <w:rPr>
          <w:noProof/>
          <w:lang w:val="en-GB"/>
        </w:rPr>
        <w:t>(Ando, 2018)</w:t>
      </w:r>
      <w:r w:rsidR="00DA67CE" w:rsidRPr="00E97FC1">
        <w:rPr>
          <w:lang w:val="en-GB"/>
        </w:rPr>
        <w:fldChar w:fldCharType="end"/>
      </w:r>
      <w:r w:rsidR="00DD0539" w:rsidRPr="00E97FC1">
        <w:rPr>
          <w:lang w:val="en-GB"/>
        </w:rPr>
        <w:t xml:space="preserve"> or single-molecule FRET</w:t>
      </w:r>
      <w:r w:rsidR="00DA67CE" w:rsidRPr="00E97FC1">
        <w:rPr>
          <w:lang w:val="en-GB"/>
        </w:rPr>
        <w:t xml:space="preserve"> </w:t>
      </w:r>
      <w:r w:rsidR="00DA67CE" w:rsidRPr="00E97FC1">
        <w:rPr>
          <w:lang w:val="en-GB"/>
        </w:rPr>
        <w:fldChar w:fldCharType="begin" w:fldLock="1"/>
      </w:r>
      <w:r w:rsidR="002231E8" w:rsidRPr="00E97FC1">
        <w:rPr>
          <w:lang w:val="en-GB"/>
        </w:rPr>
        <w:instrText>ADDIN CSL_CITATION {"citationItems":[{"id":"ITEM-1","itemData":{"DOI":"10.1186/1477-3155-11-S1-S2","ISSN":"1477-3155","abstract":"Single-molecule spectroscopy has developed into a widely used method for probing the structure, dynamics, and mechanisms of biomolecular systems, especially in combination with Förster resonance energy transfer (FRET). In this introductory tutorial, essential concepts and methods will be outlined, from the FRET process and the basic considerations for sample preparation and instrumentation to some key elements of data analysis and photon statistics. Different approaches for obtaining dynamic information over a wide range of timescales will be explained and illustrated with examples, including the quantitative analysis of FRET efficiency histograms, correlation spectroscopy, fluorescence trajectories, and microfluidic mixing.","author":[{"dropping-particle":"","family":"Schuler","given":"Benjamin","non-dropping-particle":"","parse-names":false,"suffix":""}],"container-title":"Journal of Nanobiotechnology","id":"ITEM-1","issue":"1","issued":{"date-parts":[["2013"]]},"page":"S2","title":"Single-molecule FRET of protein structure and dynamics - a primer","type":"article-journal","volume":"11"},"uris":["http://www.mendeley.com/documents/?uuid=5f6460d7-9194-4666-bb9c-a0af2d026c75"]}],"mendeley":{"formattedCitation":"(Schuler, 2013)","plainTextFormattedCitation":"(Schuler, 2013)","previouslyFormattedCitation":"(Schuler, 2013)"},"properties":{"noteIndex":0},"schema":"https://github.com/citation-style-language/schema/raw/master/csl-citation.json"}</w:instrText>
      </w:r>
      <w:r w:rsidR="00DA67CE" w:rsidRPr="00E97FC1">
        <w:rPr>
          <w:lang w:val="en-GB"/>
        </w:rPr>
        <w:fldChar w:fldCharType="separate"/>
      </w:r>
      <w:r w:rsidR="00DA67CE" w:rsidRPr="00E97FC1">
        <w:rPr>
          <w:noProof/>
          <w:lang w:val="en-GB"/>
        </w:rPr>
        <w:t>(Schuler, 2013)</w:t>
      </w:r>
      <w:r w:rsidR="00DA67CE" w:rsidRPr="00E97FC1">
        <w:rPr>
          <w:lang w:val="en-GB"/>
        </w:rPr>
        <w:fldChar w:fldCharType="end"/>
      </w:r>
      <w:r w:rsidR="00DD0539" w:rsidRPr="00E97FC1">
        <w:rPr>
          <w:lang w:val="en-GB"/>
        </w:rPr>
        <w:t>.</w:t>
      </w:r>
    </w:p>
    <w:p w14:paraId="1CAF1619" w14:textId="77777777" w:rsidR="00EF323C" w:rsidRPr="00E97FC1" w:rsidRDefault="00EF323C">
      <w:pPr>
        <w:spacing w:after="160" w:line="259" w:lineRule="auto"/>
        <w:jc w:val="left"/>
        <w:rPr>
          <w:lang w:val="en-GB"/>
        </w:rPr>
      </w:pPr>
      <w:r w:rsidRPr="00E97FC1">
        <w:rPr>
          <w:lang w:val="en-GB"/>
        </w:rPr>
        <w:br w:type="page"/>
      </w:r>
    </w:p>
    <w:p w14:paraId="03EF7CA0" w14:textId="77777777" w:rsidR="009F243C" w:rsidRPr="00E97FC1" w:rsidRDefault="00306433" w:rsidP="000E177B">
      <w:pPr>
        <w:pStyle w:val="Heading1"/>
      </w:pPr>
      <w:bookmarkStart w:id="133" w:name="_Toc132640021"/>
      <w:r w:rsidRPr="00E97FC1">
        <w:lastRenderedPageBreak/>
        <w:t>NDH – structure and conformational dynamics</w:t>
      </w:r>
      <w:bookmarkEnd w:id="133"/>
    </w:p>
    <w:p w14:paraId="158CBACD" w14:textId="77777777" w:rsidR="003C3D28" w:rsidRPr="00E97FC1" w:rsidRDefault="003C3D28" w:rsidP="00F016AD">
      <w:pPr>
        <w:pStyle w:val="Heading2"/>
      </w:pPr>
      <w:bookmarkStart w:id="134" w:name="_Toc132640022"/>
      <w:r w:rsidRPr="00E97FC1">
        <w:t>Structural states</w:t>
      </w:r>
      <w:r w:rsidR="00196997" w:rsidRPr="00E97FC1">
        <w:t xml:space="preserve"> and conformational dynamics</w:t>
      </w:r>
      <w:r w:rsidRPr="00E97FC1">
        <w:t xml:space="preserve"> of NDH</w:t>
      </w:r>
      <w:bookmarkEnd w:id="134"/>
    </w:p>
    <w:p w14:paraId="52E7188C" w14:textId="584ABF61" w:rsidR="00F62604" w:rsidRPr="00E97FC1" w:rsidRDefault="00196997" w:rsidP="00403DE0">
      <w:pPr>
        <w:ind w:firstLine="720"/>
        <w:rPr>
          <w:lang w:val="en-GB"/>
        </w:rPr>
      </w:pPr>
      <w:r w:rsidRPr="00E97FC1">
        <w:rPr>
          <w:lang w:val="en-GB"/>
        </w:rPr>
        <w:t>Several ND</w:t>
      </w:r>
      <w:r w:rsidR="003C57BD" w:rsidRPr="00E97FC1">
        <w:rPr>
          <w:lang w:val="en-GB"/>
        </w:rPr>
        <w:t>H</w:t>
      </w:r>
      <w:r w:rsidRPr="00E97FC1">
        <w:rPr>
          <w:lang w:val="en-GB"/>
        </w:rPr>
        <w:t xml:space="preserve"> structures were published recently</w:t>
      </w:r>
      <w:r w:rsidR="00403DE0" w:rsidRPr="00E97FC1">
        <w:rPr>
          <w:lang w:val="en-GB"/>
        </w:rPr>
        <w:t>, inclu</w:t>
      </w:r>
      <w:r w:rsidR="007E16A6" w:rsidRPr="00E97FC1">
        <w:rPr>
          <w:lang w:val="en-GB"/>
        </w:rPr>
        <w:t xml:space="preserve">ding structures with Fd bound </w:t>
      </w:r>
      <w:r w:rsidR="007E16A6" w:rsidRPr="00E97FC1">
        <w:rPr>
          <w:lang w:val="en-GB"/>
        </w:rPr>
        <w:fldChar w:fldCharType="begin" w:fldLock="1"/>
      </w:r>
      <w:r w:rsidR="00776703" w:rsidRPr="00E97FC1">
        <w:rPr>
          <w:lang w:val="en-GB"/>
        </w:rPr>
        <w:instrText>ADDIN CSL_CITATION {"citationItems":[{"id":"ITEM-1","itemData":{"DOI":"10.1126/science.aau3613","ISSN":"1095-9203 (Electronic)","PMID":"30573545","abstract":"Photosynthetic complex I enables cyclic electron flow around photosystem I, a regulatory mechanism for photosynthetic energy conversion. We report a 3.3-angstrom-resolution cryo-electron microscopy structure of photosynthetic complex I from the cyanobacterium Thermosynechococcus elongatus. The model reveals structural adaptations that facilitate binding and electron transfer from the photosynthetic electron carrier ferredoxin. By mimicking cyclic electron flow with isolated components in vitro, we demonstrate that ferredoxin directly mediates electron transfer between photosystem I and complex I, instead of using intermediates such as NADPH (the reduced form of nicotinamide adenine dinucleotide phosphate). A large rate constant for association of ferredoxin to complex I indicates efficient recognition, with the protein subunit NdhS being the key component in this process.","author":[{"dropping-particle":"","family":"Schuller","given":"Jan M","non-dropping-particle":"","parse-names":false,"suffix":""},{"dropping-particle":"","family":"Birrell","given":"James A","non-dropping-particle":"","parse-names":false,"suffix":""},{"dropping-particle":"","family":"Tanaka","given":"Hideaki","non-dropping-particle":"","parse-names":false,"suffix":""},{"dropping-particle":"","family":"Konuma","given":"Tsuyoshi","non-dropping-particle":"","parse-names":false,"suffix":""},{"dropping-particle":"","family":"Wulfhorst","given":"Hannes","non-dropping-particle":"","parse-names":false,"suffix":""},{"dropping-particle":"","family":"Cox","given":"Nicholas","non-dropping-particle":"","parse-names":false,"suffix":""},{"dropping-particle":"","family":"Schuller","given":"Sandra K","non-dropping-particle":"","parse-names":false,"suffix":""},{"dropping-particle":"","family":"Thiemann","given":"Jacqueline","non-dropping-particle":"","parse-names":false,"suffix":""},{"dropping-particle":"","family":"Lubitz","given":"Wolfgang","non-dropping-particle":"","parse-names":false,"suffix":""},{"dropping-particle":"","family":"Setif","given":"Pierre","non-dropping-particle":"","parse-names":false,"suffix":""},{"dropping-particle":"","family":"Ikegami","given":"Takahisa","non-dropping-particle":"","parse-names":false,"suffix":""},{"dropping-particle":"","family":"Engel","given":"Benjamin D","non-dropping-particle":"","parse-names":false,"suffix":""},{"dropping-particle":"","family":"Kurisu","given":"Genji","non-dropping-particle":"","parse-names":false,"suffix":""},{"dropping-particle":"","family":"Nowaczyk","given":"Marc M","non-dropping-particle":"","parse-names":false,"suffix":""}],"container-title":"Science (New York, N.Y.)","id":"ITEM-1","issue":"6424","issued":{"date-parts":[["2019","1"]]},"language":"eng","page":"257-260","publisher-place":"United States","title":"Structural adaptations of photosynthetic complex I enable ferredoxin-dependent electron transfer.","type":"article-journal","volume":"363"},"uris":["http://www.mendeley.com/documents/?uuid=e9af2d6b-88c0-4dd3-bef4-3ab2d63c2d96"]},{"id":"ITEM-2","itemData":{"DOI":"10.1038/s41467-020-14456-0","ISSN":"2041-1723 (Electronic)","PMID":"32001694","abstract":"NAD(P)H dehydrogenase-like (NDH) complex NDH-1L of cyanobacteria plays a crucial  role in cyclic electron flow (CEF) around photosystem I and respiration processes. NDH-1L couples the electron transport from ferredoxin (Fd) to plastoquinone (PQ) and proton pumping from cytoplasm to the lumen that drives the ATP production. NDH-1L-dependent CEF increases the ATP/NADPH ratio, and is therefore pivotal for oxygenic phototrophs to function under stress. Here we report two structures of NDH-1L from Thermosynechococcus elongatus BP-1, in complex with one Fd and an endogenous PQ, respectively. Our structures represent the complete model of cyanobacterial NDH-1L, revealing the binding manner of NDH-1L with Fd and PQ, as well as the structural elements crucial for proper functioning of the NDH-1L complex. Together, our data provides deep insights into the electron transport from Fd to PQ, and its coupling with proton translocation in NDH-1L.","author":[{"dropping-particle":"","family":"Pan","given":"Xiaowei","non-dropping-particle":"","parse-names":false,"suffix":""},{"dropping-particle":"","family":"Cao","given":"Duanfang","non-dropping-particle":"","parse-names":false,"suffix":""},{"dropping-particle":"","family":"Xie","given":"Fen","non-dropping-particle":"","parse-names":false,"suffix":""},{"dropping-particle":"","family":"Xu","given":"Fang","non-dropping-particle":"","parse-names":false,"suffix":""},{"dropping-particle":"","family":"Su","given":"Xiaodong","non-dropping-particle":"","parse-names":false,"suffix":""},{"dropping-particle":"","family":"Mi","given":"Hualing","non-dropping-particle":"","parse-names":false,"suffix":""},{"dropping-particle":"","family":"Zhang","given":"Xinzheng","non-dropping-particle":"","parse-names":false,"suffix":""},{"dropping-particle":"","family":"Li","given":"Mei","non-dropping-particle":"","parse-names":false,"suffix":""}],"container-title":"Nature communications","id":"ITEM-2","issue":"1","issued":{"date-parts":[["2020","1"]]},"language":"eng","page":"610","title":"Structural basis for electron transport mechanism of complex I-like  photosynthetic NAD(P)H dehydrogenase.","type":"article-journal","volume":"11"},"uris":["http://www.mendeley.com/documents/?uuid=33e06fc5-9e3f-46f4-bffd-535aff5becc5"]},{"id":"ITEM-3","itemData":{"DOI":"10.1038/s41467-020-14732-z","ISSN":"2041-1723 (Electronic)","PMID":"32060291","abstract":"NDH-1 is a key component of the cyclic-electron-transfer around photosystem I  (PSI CET) pathway, an important antioxidant mechanism for efficient photosynthesis. Here, we report a 3.2-Å-resolution cryo-EM structure of the ferredoxin (Fd)-NDH-1L complex from the cyanobacterium Thermosynechococcus elongatus. The structure reveals three β-carotene and fifteen lipid molecules in the membrane arm of NDH-1L. Regulatory oxygenic photosynthesis-specific (OPS) subunits NdhV, NdhS and NdhO are close to the Fd-binding site whilst NdhL is adjacent to the plastoquinone (PQ) cavity, and they play different roles in PSI CET under high-light stress. NdhV assists in the binding of Fd to NDH-1L and accelerates PSI CET in response to short-term high-light exposure. In contrast, prolonged high-light irradiation switches on the expression and assembly of the NDH-1MS complex, which likely contains no NdhO to further accelerate PSI CET and reduce ROS production. We propose that this hierarchical mechanism is necessary for the survival of cyanobacteria in an aerobic environment.","author":[{"dropping-particle":"","family":"Zhang","given":"Chunli","non-dropping-particle":"","parse-names":false,"suffix":""},{"dropping-particle":"","family":"Shuai","given":"Jin","non-dropping-particle":"","parse-names":false,"suffix":""},{"dropping-particle":"","family":"Ran","given":"Zhaoxing","non-dropping-particle":"","parse-names":false,"suffix":""},{"dropping-particle":"","family":"Zhao","given":"Jiaohong","non-dropping-particle":"","parse-names":false,"suffix":""},{"dropping-particle":"","family":"Wu","given":"Zhenfang","non-dropping-particle":"","parse-names":false,"suffix":""},{"dropping-particle":"","family":"Liao","given":"Rijing","non-dropping-particle":"","parse-names":false,"suffix":""},{"dropping-particle":"","family":"Wu","given":"Jian","non-dropping-particle":"","parse-names":false,"suffix":""},{"dropping-particle":"","family":"Ma","given":"Weimin","non-dropping-particle":"","parse-names":false,"suffix":""},{"dropping-particle":"","family":"Lei","given":"Ming","non-dropping-particle":"","parse-names":false,"suffix":""}],"container-title":"Nature communications","id":"ITEM-3","issue":"1","issued":{"date-parts":[["2020","2"]]},"language":"eng","page":"888","title":"Structural insights into NDH-1 mediated cyclic electron transfer.","type":"article-journal","volume":"11"},"uris":["http://www.mendeley.com/documents/?uuid=cbd5f7a7-a008-419f-afbf-a0cfe7efbed7"]}],"mendeley":{"formattedCitation":"(Schuller &lt;i&gt;et al&lt;/i&gt;, 2019; Pan &lt;i&gt;et al&lt;/i&gt;, 2020; Zhang &lt;i&gt;et al&lt;/i&gt;, 2020)","plainTextFormattedCitation":"(Schuller et al, 2019; Pan et al, 2020; Zhang et al, 2020)","previouslyFormattedCitation":"(Schuller &lt;i&gt;et al&lt;/i&gt;, 2019; Pan &lt;i&gt;et al&lt;/i&gt;, 2020; Zhang &lt;i&gt;et al&lt;/i&gt;, 2020)"},"properties":{"noteIndex":0},"schema":"https://github.com/citation-style-language/schema/raw/master/csl-citation.json"}</w:instrText>
      </w:r>
      <w:r w:rsidR="007E16A6" w:rsidRPr="00E97FC1">
        <w:rPr>
          <w:lang w:val="en-GB"/>
        </w:rPr>
        <w:fldChar w:fldCharType="separate"/>
      </w:r>
      <w:r w:rsidR="00E55873" w:rsidRPr="00E97FC1">
        <w:rPr>
          <w:noProof/>
          <w:lang w:val="en-GB"/>
        </w:rPr>
        <w:t xml:space="preserve">(Schuller </w:t>
      </w:r>
      <w:r w:rsidR="00E55873" w:rsidRPr="00E97FC1">
        <w:rPr>
          <w:i/>
          <w:noProof/>
          <w:lang w:val="en-GB"/>
        </w:rPr>
        <w:t>et al</w:t>
      </w:r>
      <w:r w:rsidR="00E55873" w:rsidRPr="00E97FC1">
        <w:rPr>
          <w:noProof/>
          <w:lang w:val="en-GB"/>
        </w:rPr>
        <w:t xml:space="preserve">, 2019; Pan </w:t>
      </w:r>
      <w:r w:rsidR="00E55873" w:rsidRPr="00E97FC1">
        <w:rPr>
          <w:i/>
          <w:noProof/>
          <w:lang w:val="en-GB"/>
        </w:rPr>
        <w:t>et al</w:t>
      </w:r>
      <w:r w:rsidR="00E55873" w:rsidRPr="00E97FC1">
        <w:rPr>
          <w:noProof/>
          <w:lang w:val="en-GB"/>
        </w:rPr>
        <w:t xml:space="preserve">, 2020; Zhang </w:t>
      </w:r>
      <w:r w:rsidR="00E55873" w:rsidRPr="00E97FC1">
        <w:rPr>
          <w:i/>
          <w:noProof/>
          <w:lang w:val="en-GB"/>
        </w:rPr>
        <w:t>et al</w:t>
      </w:r>
      <w:r w:rsidR="00E55873" w:rsidRPr="00E97FC1">
        <w:rPr>
          <w:noProof/>
          <w:lang w:val="en-GB"/>
        </w:rPr>
        <w:t>, 2020)</w:t>
      </w:r>
      <w:r w:rsidR="007E16A6" w:rsidRPr="00E97FC1">
        <w:rPr>
          <w:lang w:val="en-GB"/>
        </w:rPr>
        <w:fldChar w:fldCharType="end"/>
      </w:r>
      <w:r w:rsidRPr="00E97FC1">
        <w:rPr>
          <w:lang w:val="en-GB"/>
        </w:rPr>
        <w:t xml:space="preserve">. </w:t>
      </w:r>
      <w:r w:rsidR="00403DE0" w:rsidRPr="00E97FC1">
        <w:rPr>
          <w:lang w:val="en-GB"/>
        </w:rPr>
        <w:t xml:space="preserve">However, none of the works revealed any conformational variability of the enzyme, neither provided insights into </w:t>
      </w:r>
      <w:r w:rsidR="00331D8C" w:rsidRPr="00E97FC1">
        <w:rPr>
          <w:lang w:val="en-GB"/>
        </w:rPr>
        <w:t xml:space="preserve">the coupling mechanism. </w:t>
      </w:r>
    </w:p>
    <w:p w14:paraId="06A5970B" w14:textId="62683756" w:rsidR="00F15D94" w:rsidRPr="00E97FC1" w:rsidRDefault="00331D8C" w:rsidP="00403DE0">
      <w:pPr>
        <w:ind w:firstLine="720"/>
        <w:rPr>
          <w:lang w:val="en-GB"/>
        </w:rPr>
      </w:pPr>
      <w:r w:rsidRPr="00E97FC1">
        <w:rPr>
          <w:lang w:val="en-GB"/>
        </w:rPr>
        <w:t>H</w:t>
      </w:r>
      <w:r w:rsidR="0013657A" w:rsidRPr="00E97FC1">
        <w:rPr>
          <w:lang w:val="en-GB"/>
        </w:rPr>
        <w:t>ere</w:t>
      </w:r>
      <w:r w:rsidRPr="00E97FC1">
        <w:rPr>
          <w:lang w:val="en-GB"/>
        </w:rPr>
        <w:t xml:space="preserve"> we</w:t>
      </w:r>
      <w:r w:rsidR="00F94592" w:rsidRPr="00E97FC1">
        <w:rPr>
          <w:lang w:val="en-GB"/>
        </w:rPr>
        <w:t xml:space="preserve"> </w:t>
      </w:r>
      <w:r w:rsidR="0013657A" w:rsidRPr="00E97FC1">
        <w:rPr>
          <w:lang w:val="en-GB"/>
        </w:rPr>
        <w:t xml:space="preserve">purified NDH from </w:t>
      </w:r>
      <w:r w:rsidR="0013657A" w:rsidRPr="000A1854">
        <w:rPr>
          <w:i/>
          <w:lang w:val="en-GB"/>
        </w:rPr>
        <w:t>Thermosynechococcus elongatus</w:t>
      </w:r>
      <w:r w:rsidRPr="00E97FC1">
        <w:rPr>
          <w:lang w:val="en-GB"/>
        </w:rPr>
        <w:t xml:space="preserve"> </w:t>
      </w:r>
      <w:r w:rsidR="0013657A" w:rsidRPr="00E97FC1">
        <w:rPr>
          <w:lang w:val="en-GB"/>
        </w:rPr>
        <w:t>and using extensive cryo-EM data analysis</w:t>
      </w:r>
      <w:r w:rsidR="005C6D59">
        <w:rPr>
          <w:lang w:val="en-GB"/>
        </w:rPr>
        <w:t xml:space="preserve"> (using several rounds of 3D classifications, see Methods)</w:t>
      </w:r>
      <w:r w:rsidR="0013657A" w:rsidRPr="00E97FC1">
        <w:rPr>
          <w:lang w:val="en-GB"/>
        </w:rPr>
        <w:t xml:space="preserve"> </w:t>
      </w:r>
      <w:r w:rsidRPr="00E97FC1">
        <w:rPr>
          <w:lang w:val="en-GB"/>
        </w:rPr>
        <w:t xml:space="preserve">found that NDH has at least two conformational states which we term </w:t>
      </w:r>
      <w:r w:rsidR="00830123" w:rsidRPr="00E97FC1">
        <w:rPr>
          <w:lang w:val="en-GB"/>
        </w:rPr>
        <w:t xml:space="preserve">open and </w:t>
      </w:r>
      <w:r w:rsidRPr="00E97FC1">
        <w:rPr>
          <w:lang w:val="en-GB"/>
        </w:rPr>
        <w:t xml:space="preserve">resting </w:t>
      </w:r>
      <w:r w:rsidR="006903D6" w:rsidRPr="00E97FC1">
        <w:rPr>
          <w:lang w:val="en-GB"/>
        </w:rPr>
        <w:t xml:space="preserve">based on similarities to </w:t>
      </w:r>
      <w:r w:rsidR="006903D6" w:rsidRPr="00E97FC1">
        <w:rPr>
          <w:i/>
          <w:lang w:val="en-GB"/>
        </w:rPr>
        <w:t>Ec</w:t>
      </w:r>
      <w:r w:rsidR="006903D6" w:rsidRPr="00E97FC1">
        <w:rPr>
          <w:lang w:val="en-GB"/>
        </w:rPr>
        <w:t>CI</w:t>
      </w:r>
      <w:r w:rsidRPr="00E97FC1">
        <w:rPr>
          <w:lang w:val="en-GB"/>
        </w:rPr>
        <w:t xml:space="preserve"> (Figure</w:t>
      </w:r>
      <w:r w:rsidR="00CA1B3A">
        <w:rPr>
          <w:lang w:val="en-GB"/>
        </w:rPr>
        <w:t xml:space="preserve"> 4.1a-c</w:t>
      </w:r>
      <w:r w:rsidRPr="00E97FC1">
        <w:rPr>
          <w:lang w:val="en-GB"/>
        </w:rPr>
        <w:t>).</w:t>
      </w:r>
      <w:r w:rsidR="00F15D94" w:rsidRPr="00E97FC1">
        <w:rPr>
          <w:lang w:val="en-GB"/>
        </w:rPr>
        <w:t xml:space="preserve"> One of the main features of the open state is </w:t>
      </w:r>
      <w:r w:rsidR="003C57BD" w:rsidRPr="00E97FC1">
        <w:rPr>
          <w:lang w:val="en-GB"/>
        </w:rPr>
        <w:t xml:space="preserve">the </w:t>
      </w:r>
      <w:r w:rsidR="00F15D94" w:rsidRPr="00E97FC1">
        <w:rPr>
          <w:lang w:val="en-GB"/>
        </w:rPr>
        <w:t xml:space="preserve">presence of the W site. Although ndhC (NuoA) </w:t>
      </w:r>
      <w:r w:rsidR="00E42FBF">
        <w:rPr>
          <w:lang w:val="en-GB"/>
        </w:rPr>
        <w:t xml:space="preserve">(NDH/ </w:t>
      </w:r>
      <w:r w:rsidR="00E42FBF" w:rsidRPr="000A1854">
        <w:rPr>
          <w:i/>
          <w:lang w:val="en-GB"/>
        </w:rPr>
        <w:t>E. coli</w:t>
      </w:r>
      <w:r w:rsidR="00E42FBF">
        <w:rPr>
          <w:lang w:val="en-GB"/>
        </w:rPr>
        <w:t xml:space="preserve"> nomenclature) </w:t>
      </w:r>
      <w:r w:rsidR="00F15D94" w:rsidRPr="00E97FC1">
        <w:rPr>
          <w:lang w:val="en-GB"/>
        </w:rPr>
        <w:t>loop is ordered</w:t>
      </w:r>
      <w:r w:rsidR="00044537" w:rsidRPr="00E97FC1">
        <w:rPr>
          <w:lang w:val="en-GB"/>
        </w:rPr>
        <w:t xml:space="preserve"> in the open state</w:t>
      </w:r>
      <w:r w:rsidR="00F15D94" w:rsidRPr="00E97FC1">
        <w:rPr>
          <w:lang w:val="en-GB"/>
        </w:rPr>
        <w:t xml:space="preserve">, the W site, through which waters can access the </w:t>
      </w:r>
      <w:r w:rsidR="00044537" w:rsidRPr="00E97FC1">
        <w:rPr>
          <w:lang w:val="en-GB"/>
        </w:rPr>
        <w:t xml:space="preserve">Q </w:t>
      </w:r>
      <w:r w:rsidR="00F15D94" w:rsidRPr="00E97FC1">
        <w:rPr>
          <w:lang w:val="en-GB"/>
        </w:rPr>
        <w:t xml:space="preserve">site, </w:t>
      </w:r>
      <w:r w:rsidR="00044537" w:rsidRPr="00E97FC1">
        <w:rPr>
          <w:lang w:val="en-GB"/>
        </w:rPr>
        <w:t xml:space="preserve">although narrower than in </w:t>
      </w:r>
      <w:r w:rsidR="00044537" w:rsidRPr="00E97FC1">
        <w:rPr>
          <w:i/>
          <w:lang w:val="en-GB"/>
        </w:rPr>
        <w:t>EcCI/OaCI</w:t>
      </w:r>
      <w:r w:rsidR="00044537" w:rsidRPr="00E97FC1">
        <w:rPr>
          <w:lang w:val="en-GB"/>
        </w:rPr>
        <w:t xml:space="preserve">, </w:t>
      </w:r>
      <w:r w:rsidR="00F15D94" w:rsidRPr="00E97FC1">
        <w:rPr>
          <w:lang w:val="en-GB"/>
        </w:rPr>
        <w:t xml:space="preserve">was </w:t>
      </w:r>
      <w:r w:rsidR="00044537" w:rsidRPr="00E97FC1">
        <w:rPr>
          <w:lang w:val="en-GB"/>
        </w:rPr>
        <w:t xml:space="preserve">still identified </w:t>
      </w:r>
      <w:r w:rsidR="00F15D94" w:rsidRPr="00E97FC1">
        <w:rPr>
          <w:lang w:val="en-GB"/>
        </w:rPr>
        <w:t>in NDH (Figure 4.2). Also</w:t>
      </w:r>
      <w:r w:rsidR="00044537" w:rsidRPr="00E97FC1">
        <w:rPr>
          <w:lang w:val="en-GB"/>
        </w:rPr>
        <w:t>,</w:t>
      </w:r>
      <w:r w:rsidR="00F15D94" w:rsidRPr="00E97FC1">
        <w:rPr>
          <w:lang w:val="en-GB"/>
        </w:rPr>
        <w:t xml:space="preserve"> both resting and open states contain </w:t>
      </w:r>
      <w:r w:rsidR="00F15D94" w:rsidRPr="00E97FC1">
        <w:rPr>
          <w:rFonts w:cs="Times New Roman"/>
          <w:lang w:val="en-GB"/>
        </w:rPr>
        <w:t>π</w:t>
      </w:r>
      <w:r w:rsidR="00F15D94" w:rsidRPr="00E97FC1">
        <w:rPr>
          <w:lang w:val="en-GB"/>
        </w:rPr>
        <w:t>-bulge in</w:t>
      </w:r>
      <w:r w:rsidR="0013657A" w:rsidRPr="00E97FC1">
        <w:rPr>
          <w:lang w:val="en-GB"/>
        </w:rPr>
        <w:t xml:space="preserve"> ndhG (NuoJ)</w:t>
      </w:r>
      <w:r w:rsidR="00F15D94" w:rsidRPr="00E97FC1">
        <w:rPr>
          <w:lang w:val="en-GB"/>
        </w:rPr>
        <w:t xml:space="preserve"> TM3. Other similarities include extended conformation of NuoCD loop, which</w:t>
      </w:r>
      <w:r w:rsidR="00CA1B3A">
        <w:rPr>
          <w:lang w:val="en-GB"/>
        </w:rPr>
        <w:t xml:space="preserve"> was discussed above (Figure 3.7</w:t>
      </w:r>
      <w:r w:rsidR="00A2053B">
        <w:rPr>
          <w:lang w:val="en-GB"/>
        </w:rPr>
        <w:t>c</w:t>
      </w:r>
      <w:r w:rsidR="00F15D94" w:rsidRPr="00E97FC1">
        <w:rPr>
          <w:lang w:val="en-GB"/>
        </w:rPr>
        <w:t>).</w:t>
      </w:r>
      <w:r w:rsidR="00F62604" w:rsidRPr="00E97FC1">
        <w:rPr>
          <w:lang w:val="en-GB"/>
        </w:rPr>
        <w:t xml:space="preserve"> According to this notation, all</w:t>
      </w:r>
      <w:r w:rsidR="007F28A3" w:rsidRPr="00E97FC1">
        <w:rPr>
          <w:lang w:val="en-GB"/>
        </w:rPr>
        <w:t xml:space="preserve"> the previously published </w:t>
      </w:r>
      <w:r w:rsidR="00044537" w:rsidRPr="00E97FC1">
        <w:rPr>
          <w:lang w:val="en-GB"/>
        </w:rPr>
        <w:t xml:space="preserve">NDH </w:t>
      </w:r>
      <w:r w:rsidR="007F28A3" w:rsidRPr="00E97FC1">
        <w:rPr>
          <w:lang w:val="en-GB"/>
        </w:rPr>
        <w:t>structures showed only</w:t>
      </w:r>
      <w:r w:rsidR="00F15D94" w:rsidRPr="00E97FC1">
        <w:rPr>
          <w:lang w:val="en-GB"/>
        </w:rPr>
        <w:t xml:space="preserve"> the</w:t>
      </w:r>
      <w:r w:rsidR="007F28A3" w:rsidRPr="00E97FC1">
        <w:rPr>
          <w:lang w:val="en-GB"/>
        </w:rPr>
        <w:t xml:space="preserve"> open state of the enzyme</w:t>
      </w:r>
      <w:r w:rsidR="00044537" w:rsidRPr="00E97FC1">
        <w:rPr>
          <w:lang w:val="en-GB"/>
        </w:rPr>
        <w:t xml:space="preserve"> (some of them, e.g. PDB 6NBY, show complete disorder of ndhC</w:t>
      </w:r>
      <w:r w:rsidR="001167E3" w:rsidRPr="00E97FC1">
        <w:rPr>
          <w:lang w:val="en-GB"/>
        </w:rPr>
        <w:t xml:space="preserve"> (NuoA)</w:t>
      </w:r>
      <w:r w:rsidR="00044537" w:rsidRPr="00E97FC1">
        <w:rPr>
          <w:lang w:val="en-GB"/>
        </w:rPr>
        <w:t xml:space="preserve"> loop)</w:t>
      </w:r>
      <w:r w:rsidR="007F28A3" w:rsidRPr="00E97FC1">
        <w:rPr>
          <w:lang w:val="en-GB"/>
        </w:rPr>
        <w:t>.</w:t>
      </w:r>
      <w:r w:rsidR="006903D6" w:rsidRPr="00E97FC1">
        <w:rPr>
          <w:lang w:val="en-GB"/>
        </w:rPr>
        <w:t xml:space="preserve"> </w:t>
      </w:r>
    </w:p>
    <w:p w14:paraId="19A02EDB" w14:textId="746B641B" w:rsidR="00CF0D20" w:rsidRPr="00E97FC1" w:rsidRDefault="007F28A3" w:rsidP="00403DE0">
      <w:pPr>
        <w:ind w:firstLine="720"/>
        <w:rPr>
          <w:lang w:val="en-GB"/>
        </w:rPr>
      </w:pPr>
      <w:r w:rsidRPr="00E97FC1">
        <w:rPr>
          <w:lang w:val="en-GB"/>
        </w:rPr>
        <w:t>Our preparation contained 35</w:t>
      </w:r>
      <w:r w:rsidR="009A42B6">
        <w:rPr>
          <w:lang w:val="en-GB"/>
        </w:rPr>
        <w:t xml:space="preserve"> </w:t>
      </w:r>
      <w:r w:rsidRPr="00E97FC1">
        <w:rPr>
          <w:lang w:val="en-GB"/>
        </w:rPr>
        <w:t>% of complex in the resting state and 6</w:t>
      </w:r>
      <w:r w:rsidR="009A42B6">
        <w:rPr>
          <w:lang w:val="en-GB"/>
        </w:rPr>
        <w:t xml:space="preserve">5 </w:t>
      </w:r>
      <w:r w:rsidRPr="00E97FC1">
        <w:rPr>
          <w:lang w:val="en-GB"/>
        </w:rPr>
        <w:t>% in the open state, with the final resolution 4.1 Å and 3.6 Å respectively.</w:t>
      </w:r>
      <w:r w:rsidR="00331D8C" w:rsidRPr="00E97FC1">
        <w:rPr>
          <w:lang w:val="en-GB"/>
        </w:rPr>
        <w:t xml:space="preserve"> These states closely resemble corresponding states of </w:t>
      </w:r>
      <w:r w:rsidR="00331D8C" w:rsidRPr="00E97FC1">
        <w:rPr>
          <w:i/>
          <w:lang w:val="en-GB"/>
        </w:rPr>
        <w:t>Ec</w:t>
      </w:r>
      <w:r w:rsidR="00331D8C" w:rsidRPr="00E97FC1">
        <w:rPr>
          <w:lang w:val="en-GB"/>
        </w:rPr>
        <w:t xml:space="preserve">CI, where resting state has </w:t>
      </w:r>
      <w:r w:rsidR="009A42B6">
        <w:rPr>
          <w:lang w:val="en-GB"/>
        </w:rPr>
        <w:t xml:space="preserve">a </w:t>
      </w:r>
      <w:r w:rsidR="00331D8C" w:rsidRPr="00E97FC1">
        <w:rPr>
          <w:lang w:val="en-GB"/>
        </w:rPr>
        <w:t xml:space="preserve">wide angle between PA and MA with </w:t>
      </w:r>
      <w:r w:rsidR="00044537" w:rsidRPr="00E97FC1">
        <w:rPr>
          <w:lang w:val="en-GB"/>
        </w:rPr>
        <w:t xml:space="preserve">the </w:t>
      </w:r>
      <w:r w:rsidR="00331D8C" w:rsidRPr="00E97FC1">
        <w:rPr>
          <w:lang w:val="en-GB"/>
        </w:rPr>
        <w:t>active</w:t>
      </w:r>
      <w:r w:rsidR="00830123">
        <w:rPr>
          <w:lang w:val="en-GB"/>
        </w:rPr>
        <w:t xml:space="preserve"> (Q)</w:t>
      </w:r>
      <w:r w:rsidR="00331D8C" w:rsidRPr="00E97FC1">
        <w:rPr>
          <w:lang w:val="en-GB"/>
        </w:rPr>
        <w:t xml:space="preserve"> site mostly disordered. </w:t>
      </w:r>
      <w:r w:rsidR="00830123">
        <w:rPr>
          <w:lang w:val="en-GB"/>
        </w:rPr>
        <w:t xml:space="preserve">Similarly to </w:t>
      </w:r>
      <w:r w:rsidR="00830123" w:rsidRPr="00FC5E18">
        <w:rPr>
          <w:i/>
          <w:lang w:val="en-GB"/>
        </w:rPr>
        <w:t>Ec</w:t>
      </w:r>
      <w:r w:rsidR="00830123">
        <w:rPr>
          <w:lang w:val="en-GB"/>
        </w:rPr>
        <w:t xml:space="preserve">CI, in NDH resting state the Q cavity is completely disrupted and widely open to solvent on all sides due to protein disorder around the entire cavity. In such a state quinone binding site is not formed and redox coupling is not possible, according to our mechanism discussed above. It represents therefore fully inactive enzyme. </w:t>
      </w:r>
      <w:r w:rsidR="00F15D94" w:rsidRPr="00E97FC1">
        <w:rPr>
          <w:lang w:val="en-GB"/>
        </w:rPr>
        <w:t xml:space="preserve">The resting state was not previously shown for NDH, probably because of the use of less extensive processing protocols.  </w:t>
      </w:r>
    </w:p>
    <w:p w14:paraId="31324154" w14:textId="55A9548F" w:rsidR="00CF0D20" w:rsidRPr="00E97FC1" w:rsidRDefault="00EC6502" w:rsidP="00BF1B30">
      <w:pPr>
        <w:ind w:firstLine="720"/>
        <w:jc w:val="center"/>
        <w:rPr>
          <w:lang w:val="en-GB"/>
        </w:rPr>
      </w:pPr>
      <w:r>
        <w:rPr>
          <w:noProof/>
        </w:rPr>
        <w:lastRenderedPageBreak/>
        <w:drawing>
          <wp:inline distT="0" distB="0" distL="0" distR="0" wp14:anchorId="3EEF8C8F" wp14:editId="2247A217">
            <wp:extent cx="5279366" cy="2286669"/>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317435" cy="2303158"/>
                    </a:xfrm>
                    <a:prstGeom prst="rect">
                      <a:avLst/>
                    </a:prstGeom>
                    <a:noFill/>
                  </pic:spPr>
                </pic:pic>
              </a:graphicData>
            </a:graphic>
          </wp:inline>
        </w:drawing>
      </w:r>
    </w:p>
    <w:p w14:paraId="127F3DA4" w14:textId="5B7D6161" w:rsidR="00BF1B30" w:rsidRPr="00E97FC1" w:rsidRDefault="00E62DF6" w:rsidP="00E62DF6">
      <w:pPr>
        <w:pStyle w:val="Caption"/>
      </w:pPr>
      <w:bookmarkStart w:id="135" w:name="_Toc128136639"/>
      <w:bookmarkStart w:id="136" w:name="_Toc121834122"/>
      <w:r w:rsidRPr="00E97FC1">
        <w:t xml:space="preserve">Figure </w:t>
      </w:r>
      <w:r w:rsidR="00CC7652">
        <w:fldChar w:fldCharType="begin"/>
      </w:r>
      <w:r w:rsidR="00CC7652">
        <w:instrText xml:space="preserve"> STYLEREF 1 \s </w:instrText>
      </w:r>
      <w:r w:rsidR="00CC7652">
        <w:fldChar w:fldCharType="separate"/>
      </w:r>
      <w:r w:rsidR="00ED1816">
        <w:rPr>
          <w:noProof/>
        </w:rPr>
        <w:t>4</w:t>
      </w:r>
      <w:r w:rsidR="00CC7652">
        <w:fldChar w:fldCharType="end"/>
      </w:r>
      <w:r w:rsidR="00CC7652">
        <w:t>.</w:t>
      </w:r>
      <w:r w:rsidR="00CC7652">
        <w:fldChar w:fldCharType="begin"/>
      </w:r>
      <w:r w:rsidR="00CC7652">
        <w:instrText xml:space="preserve"> SEQ Figure \* ARABIC \s 1 </w:instrText>
      </w:r>
      <w:r w:rsidR="00CC7652">
        <w:fldChar w:fldCharType="separate"/>
      </w:r>
      <w:r w:rsidR="00ED1816">
        <w:rPr>
          <w:noProof/>
        </w:rPr>
        <w:t>1</w:t>
      </w:r>
      <w:r w:rsidR="00CC7652">
        <w:fldChar w:fldCharType="end"/>
      </w:r>
      <w:r w:rsidRPr="00E97FC1">
        <w:t xml:space="preserve"> Different conformational states of ND</w:t>
      </w:r>
      <w:r w:rsidR="00BF1B30" w:rsidRPr="00E97FC1">
        <w:t>H</w:t>
      </w:r>
      <w:bookmarkEnd w:id="135"/>
    </w:p>
    <w:p w14:paraId="0DB105F5" w14:textId="1B13DC4C" w:rsidR="00BF1B30" w:rsidRPr="00CF7C36" w:rsidRDefault="00BF1B30" w:rsidP="00BF1B30">
      <w:pPr>
        <w:pStyle w:val="Caption"/>
      </w:pPr>
      <w:r w:rsidRPr="00CF7C36">
        <w:t>EM density for the open state is coloured in purple and for the resting state in bronze. A) Overview of the EM density, red arrows point into order/disorder of the active site and ndhL conformational change. B</w:t>
      </w:r>
      <w:r w:rsidR="00EC6502" w:rsidRPr="00CF7C36">
        <w:t>-C</w:t>
      </w:r>
      <w:r w:rsidRPr="00CF7C36">
        <w:t>) Different states of NDH aligned on the membrane arm</w:t>
      </w:r>
      <w:r w:rsidR="009A42B6" w:rsidRPr="00CF7C36">
        <w:t xml:space="preserve"> and compared</w:t>
      </w:r>
      <w:r w:rsidRPr="00CF7C36">
        <w:t>.</w:t>
      </w:r>
    </w:p>
    <w:bookmarkEnd w:id="136"/>
    <w:p w14:paraId="33BCBBE2" w14:textId="77777777" w:rsidR="00D9681B" w:rsidRPr="00E97FC1" w:rsidRDefault="00D9681B" w:rsidP="00D9681B">
      <w:pPr>
        <w:ind w:firstLine="720"/>
        <w:rPr>
          <w:lang w:val="en-GB"/>
        </w:rPr>
      </w:pPr>
      <w:r w:rsidRPr="00E97FC1">
        <w:rPr>
          <w:lang w:val="en-GB"/>
        </w:rPr>
        <w:t>One of the key functions of the NDH complex is to regulate the balance between ATP and NADPH</w:t>
      </w:r>
      <w:r w:rsidR="00B958F6" w:rsidRPr="00E97FC1">
        <w:rPr>
          <w:lang w:val="en-GB"/>
        </w:rPr>
        <w:t xml:space="preserve"> </w:t>
      </w:r>
      <w:r w:rsidR="00B958F6" w:rsidRPr="00E97FC1">
        <w:rPr>
          <w:lang w:val="en-GB"/>
        </w:rPr>
        <w:fldChar w:fldCharType="begin" w:fldLock="1"/>
      </w:r>
      <w:r w:rsidR="00E55873" w:rsidRPr="00E97FC1">
        <w:rPr>
          <w:lang w:val="en-GB"/>
        </w:rPr>
        <w:instrText>ADDIN CSL_CITATION {"citationItems":[{"id":"ITEM-1","itemData":{"DOI":"10.3389/fmicb.2022.933160","ISSN":"1664-302X (Print)","PMID":"35847113","abstract":"Light reaction of photosynthesis is efficiently driven by protein complexes  arranged in an orderly in the thylakoid membrane. As the 5th complex, NAD(P)H dehydrogenase complex (NDH-1) is involved in cyclic electron flow around photosystem I to protect plants against environmental stresses for efficient photosynthesis. In addition, two kinds of NDH-1 complexes participate in CO(2) uptake for CO(2) concentration in cyanobacteria. In recent years, great progress has been made in the understanding of the assembly and the structure of NDH-1. However, the regulatory mechanism of NDH-1 in photosynthesis remains largely unknown. Therefore, understanding the regulatory mechanism of NDH-1 is of great significance to reveal the mechanism of efficient photosynthesis. In this mini-review, the author introduces current progress in the research of cyanobacterial NDH-1. Finally, the author summarizes the possible regulatory mechanism of cyanobacterial NDH-1 in photosynthesis and discusses the research prospect.","author":[{"dropping-particle":"","family":"Hualing","given":"Mi","non-dropping-particle":"","parse-names":false,"suffix":""}],"container-title":"Frontiers in microbiology","id":"ITEM-1","issued":{"date-parts":[["2022"]]},"language":"eng","page":"933160","publisher-place":"Switzerland","title":"Cyanobacterial NDH-1 Complexes.","type":"article-journal","volume":"13"},"uris":["http://www.mendeley.com/documents/?uuid=77acd15d-750c-4a20-90b2-eda81d995111"]}],"mendeley":{"formattedCitation":"(Hualing, 2022)","plainTextFormattedCitation":"(Hualing, 2022)","previouslyFormattedCitation":"(Hualing, 2022)"},"properties":{"noteIndex":0},"schema":"https://github.com/citation-style-language/schema/raw/master/csl-citation.json"}</w:instrText>
      </w:r>
      <w:r w:rsidR="00B958F6" w:rsidRPr="00E97FC1">
        <w:rPr>
          <w:lang w:val="en-GB"/>
        </w:rPr>
        <w:fldChar w:fldCharType="separate"/>
      </w:r>
      <w:r w:rsidR="00E55873" w:rsidRPr="00E97FC1">
        <w:rPr>
          <w:noProof/>
          <w:lang w:val="en-GB"/>
        </w:rPr>
        <w:t>(Hualing, 2022)</w:t>
      </w:r>
      <w:r w:rsidR="00B958F6" w:rsidRPr="00E97FC1">
        <w:rPr>
          <w:lang w:val="en-GB"/>
        </w:rPr>
        <w:fldChar w:fldCharType="end"/>
      </w:r>
      <w:r w:rsidRPr="00E97FC1">
        <w:rPr>
          <w:lang w:val="en-GB"/>
        </w:rPr>
        <w:t xml:space="preserve">. This is important because these two molecules have different roles in the cell and need to be kept in balance to support optimal cellular function. For example, ATP is the primary source of energy for cellular processes, while NADPH </w:t>
      </w:r>
      <w:r w:rsidR="00CB2CEB" w:rsidRPr="00E97FC1">
        <w:rPr>
          <w:lang w:val="en-GB"/>
        </w:rPr>
        <w:t>provides the reducing power that drives numerous anabolic reactions</w:t>
      </w:r>
      <w:r w:rsidRPr="00E97FC1">
        <w:rPr>
          <w:lang w:val="en-GB"/>
        </w:rPr>
        <w:t>. The NDH-1 complex is also involved in the switch between cyclic and linear electron flows in cyanobacteria. In cyclic electron flow, electrons are recycled within the photosynthetic electron transport chain, whereas in linear electron flow, electrons are transferred from water to NADP+ to generate NADPH. This switch is important because it allows cyanobacteria to adjust their energy production according to their needs. We suggest, that the resting state is an essential regulation factor between those processes</w:t>
      </w:r>
      <w:r w:rsidR="004D1D6F" w:rsidRPr="00E97FC1">
        <w:rPr>
          <w:lang w:val="en-GB"/>
        </w:rPr>
        <w:t xml:space="preserve"> as it is necessary to turn off the complex</w:t>
      </w:r>
      <w:r w:rsidRPr="00E97FC1">
        <w:rPr>
          <w:lang w:val="en-GB"/>
        </w:rPr>
        <w:t xml:space="preserve">. </w:t>
      </w:r>
      <w:r w:rsidR="00FE4CDA" w:rsidRPr="00E97FC1">
        <w:rPr>
          <w:lang w:val="en-GB"/>
        </w:rPr>
        <w:t>NDH has exposed FeS cluster due t</w:t>
      </w:r>
      <w:r w:rsidR="00595A9A" w:rsidRPr="00E97FC1">
        <w:rPr>
          <w:lang w:val="en-GB"/>
        </w:rPr>
        <w:t>o the absence of the N-module (F</w:t>
      </w:r>
      <w:r w:rsidR="00FE4CDA" w:rsidRPr="00E97FC1">
        <w:rPr>
          <w:lang w:val="en-GB"/>
        </w:rPr>
        <w:t>igure</w:t>
      </w:r>
      <w:r w:rsidR="00595A9A" w:rsidRPr="00E97FC1">
        <w:rPr>
          <w:lang w:val="en-GB"/>
        </w:rPr>
        <w:t xml:space="preserve"> 4.2</w:t>
      </w:r>
      <w:r w:rsidR="00FE4CDA" w:rsidRPr="00E97FC1">
        <w:rPr>
          <w:lang w:val="en-GB"/>
        </w:rPr>
        <w:t xml:space="preserve">), it is possible that it helps the enzyme to sense the redox state of the cell and switch from </w:t>
      </w:r>
      <w:r w:rsidR="008C0E35" w:rsidRPr="00E97FC1">
        <w:rPr>
          <w:lang w:val="en-GB"/>
        </w:rPr>
        <w:t xml:space="preserve">the open to the resting state. </w:t>
      </w:r>
    </w:p>
    <w:p w14:paraId="6A80AAFC" w14:textId="37402330" w:rsidR="008C0E35" w:rsidRPr="00E97FC1" w:rsidRDefault="00341E63" w:rsidP="00341E63">
      <w:pPr>
        <w:ind w:firstLine="720"/>
        <w:jc w:val="center"/>
        <w:rPr>
          <w:lang w:val="en-GB"/>
        </w:rPr>
      </w:pPr>
      <w:r>
        <w:rPr>
          <w:noProof/>
        </w:rPr>
        <w:lastRenderedPageBreak/>
        <w:drawing>
          <wp:anchor distT="0" distB="0" distL="114300" distR="114300" simplePos="0" relativeHeight="251660288" behindDoc="0" locked="0" layoutInCell="1" allowOverlap="1" wp14:anchorId="072C7426" wp14:editId="125C04BC">
            <wp:simplePos x="0" y="0"/>
            <wp:positionH relativeFrom="margin">
              <wp:posOffset>-864</wp:posOffset>
            </wp:positionH>
            <wp:positionV relativeFrom="paragraph">
              <wp:posOffset>107</wp:posOffset>
            </wp:positionV>
            <wp:extent cx="5966697" cy="2697480"/>
            <wp:effectExtent l="0" t="0" r="0" b="762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66697" cy="2697480"/>
                    </a:xfrm>
                    <a:prstGeom prst="rect">
                      <a:avLst/>
                    </a:prstGeom>
                    <a:noFill/>
                  </pic:spPr>
                </pic:pic>
              </a:graphicData>
            </a:graphic>
          </wp:anchor>
        </w:drawing>
      </w:r>
    </w:p>
    <w:p w14:paraId="78518288" w14:textId="23BA740A" w:rsidR="00BF1B30" w:rsidRPr="00E97FC1" w:rsidRDefault="00C016BB" w:rsidP="00C016BB">
      <w:pPr>
        <w:pStyle w:val="Caption"/>
      </w:pPr>
      <w:bookmarkStart w:id="137" w:name="_Toc128136640"/>
      <w:r w:rsidRPr="00E97FC1">
        <w:t xml:space="preserve">Figure </w:t>
      </w:r>
      <w:r w:rsidR="00CC7652">
        <w:fldChar w:fldCharType="begin"/>
      </w:r>
      <w:r w:rsidR="00CC7652">
        <w:instrText xml:space="preserve"> STYLEREF 1 \s </w:instrText>
      </w:r>
      <w:r w:rsidR="00CC7652">
        <w:fldChar w:fldCharType="separate"/>
      </w:r>
      <w:r w:rsidR="00ED1816">
        <w:rPr>
          <w:noProof/>
        </w:rPr>
        <w:t>4</w:t>
      </w:r>
      <w:r w:rsidR="00CC7652">
        <w:fldChar w:fldCharType="end"/>
      </w:r>
      <w:r w:rsidR="00CC7652">
        <w:t>.</w:t>
      </w:r>
      <w:r w:rsidR="00CC7652">
        <w:fldChar w:fldCharType="begin"/>
      </w:r>
      <w:r w:rsidR="00CC7652">
        <w:instrText xml:space="preserve"> SEQ Figure \* ARABIC \s 1 </w:instrText>
      </w:r>
      <w:r w:rsidR="00CC7652">
        <w:fldChar w:fldCharType="separate"/>
      </w:r>
      <w:r w:rsidR="00ED1816">
        <w:rPr>
          <w:noProof/>
        </w:rPr>
        <w:t>2</w:t>
      </w:r>
      <w:r w:rsidR="00CC7652">
        <w:fldChar w:fldCharType="end"/>
      </w:r>
      <w:r w:rsidRPr="00E97FC1">
        <w:t xml:space="preserve"> Q cavity of the open state ND</w:t>
      </w:r>
      <w:r w:rsidR="00BF1B30" w:rsidRPr="00E97FC1">
        <w:t>H</w:t>
      </w:r>
      <w:bookmarkEnd w:id="137"/>
    </w:p>
    <w:p w14:paraId="652C763D" w14:textId="20811231" w:rsidR="008C0E35" w:rsidRPr="00CF7C36" w:rsidRDefault="00BF1B30" w:rsidP="00C016BB">
      <w:pPr>
        <w:pStyle w:val="Caption"/>
      </w:pPr>
      <w:r w:rsidRPr="00CF7C36">
        <w:t>Subunits are coloured in different colours. Important catalytic loops, residues and clusters are highlighted. Q-cavity and W site are shown as grey surface.</w:t>
      </w:r>
    </w:p>
    <w:p w14:paraId="75C0E330" w14:textId="244720F9" w:rsidR="00576197" w:rsidRPr="00E97FC1" w:rsidRDefault="004D1D6F" w:rsidP="00D9681B">
      <w:pPr>
        <w:ind w:firstLine="720"/>
        <w:rPr>
          <w:lang w:val="en-GB"/>
        </w:rPr>
      </w:pPr>
      <w:r w:rsidRPr="00E97FC1">
        <w:rPr>
          <w:lang w:val="en-GB"/>
        </w:rPr>
        <w:t>Given the analogy to complex I, NDH most likely has an additional closed</w:t>
      </w:r>
      <w:r w:rsidR="00E27EC8" w:rsidRPr="00E97FC1">
        <w:rPr>
          <w:lang w:val="en-GB"/>
        </w:rPr>
        <w:t xml:space="preserve"> conformation</w:t>
      </w:r>
      <w:r w:rsidRPr="00E97FC1">
        <w:rPr>
          <w:lang w:val="en-GB"/>
        </w:rPr>
        <w:t>. Our data analysis did not reveal such a state; however, it is quite possible that it will appear during</w:t>
      </w:r>
      <w:r w:rsidR="00B958F6" w:rsidRPr="00E97FC1">
        <w:rPr>
          <w:lang w:val="en-GB"/>
        </w:rPr>
        <w:t xml:space="preserve"> turnover as in </w:t>
      </w:r>
      <w:r w:rsidR="00B958F6" w:rsidRPr="00E97FC1">
        <w:rPr>
          <w:i/>
          <w:lang w:val="en-GB"/>
        </w:rPr>
        <w:t>Ec</w:t>
      </w:r>
      <w:r w:rsidR="00B958F6" w:rsidRPr="00E97FC1">
        <w:rPr>
          <w:lang w:val="en-GB"/>
        </w:rPr>
        <w:t>CI</w:t>
      </w:r>
      <w:r w:rsidRPr="00E97FC1">
        <w:rPr>
          <w:lang w:val="en-GB"/>
        </w:rPr>
        <w:t>. We attempted to construct turnover system for NDH but it was unsuccessful (see methods). The main bottleneck is that the electron source for NDH is Fd, which can’t be used in large quantities as NADH (in case of complex I)</w:t>
      </w:r>
      <w:r w:rsidR="007D6526" w:rsidRPr="00E97FC1">
        <w:rPr>
          <w:lang w:val="en-GB"/>
        </w:rPr>
        <w:t xml:space="preserve"> and tends to react with oxygen</w:t>
      </w:r>
      <w:r w:rsidRPr="00E97FC1">
        <w:rPr>
          <w:lang w:val="en-GB"/>
        </w:rPr>
        <w:t>.</w:t>
      </w:r>
      <w:r w:rsidR="001167E3" w:rsidRPr="00E97FC1">
        <w:rPr>
          <w:lang w:val="en-GB"/>
        </w:rPr>
        <w:t xml:space="preserve"> Also, we tried to resolve Fd bound state</w:t>
      </w:r>
      <w:r w:rsidR="002231E8" w:rsidRPr="00E97FC1">
        <w:rPr>
          <w:lang w:val="en-GB"/>
        </w:rPr>
        <w:t xml:space="preserve"> of NDH by adding Fd to the preparation</w:t>
      </w:r>
      <w:r w:rsidR="00E42FBF">
        <w:rPr>
          <w:lang w:val="en-GB"/>
        </w:rPr>
        <w:t xml:space="preserve"> and collecting cryo-EM dataset</w:t>
      </w:r>
      <w:r w:rsidR="002231E8" w:rsidRPr="00E97FC1">
        <w:rPr>
          <w:lang w:val="en-GB"/>
        </w:rPr>
        <w:t>. However, we did not observe</w:t>
      </w:r>
      <w:r w:rsidR="00E42FBF">
        <w:rPr>
          <w:lang w:val="en-GB"/>
        </w:rPr>
        <w:t xml:space="preserve"> in our reconstructions</w:t>
      </w:r>
      <w:r w:rsidR="002231E8" w:rsidRPr="00E97FC1">
        <w:rPr>
          <w:lang w:val="en-GB"/>
        </w:rPr>
        <w:t xml:space="preserve"> </w:t>
      </w:r>
      <w:r w:rsidR="00E42FBF">
        <w:rPr>
          <w:lang w:val="en-GB"/>
        </w:rPr>
        <w:t xml:space="preserve">any bound </w:t>
      </w:r>
      <w:r w:rsidR="002231E8" w:rsidRPr="00E97FC1">
        <w:rPr>
          <w:lang w:val="en-GB"/>
        </w:rPr>
        <w:t>Fd</w:t>
      </w:r>
      <w:r w:rsidR="00E42FBF">
        <w:rPr>
          <w:lang w:val="en-GB"/>
        </w:rPr>
        <w:t>,</w:t>
      </w:r>
      <w:r w:rsidR="002231E8" w:rsidRPr="00E97FC1">
        <w:rPr>
          <w:lang w:val="en-GB"/>
        </w:rPr>
        <w:t xml:space="preserve"> </w:t>
      </w:r>
      <w:r w:rsidR="00E42FBF">
        <w:rPr>
          <w:lang w:val="en-GB"/>
        </w:rPr>
        <w:t xml:space="preserve">likely due to </w:t>
      </w:r>
      <w:r w:rsidR="00E42FBF" w:rsidRPr="00E97FC1">
        <w:rPr>
          <w:lang w:val="en-GB"/>
        </w:rPr>
        <w:t xml:space="preserve">lack of ndhV subunit </w:t>
      </w:r>
      <w:r w:rsidR="00E42FBF">
        <w:rPr>
          <w:lang w:val="en-GB"/>
        </w:rPr>
        <w:t xml:space="preserve">in our preparation </w:t>
      </w:r>
      <w:r w:rsidR="002231E8" w:rsidRPr="00E97FC1">
        <w:rPr>
          <w:lang w:val="en-GB"/>
        </w:rPr>
        <w:t xml:space="preserve">(as was found out later </w:t>
      </w:r>
      <w:r w:rsidR="002231E8" w:rsidRPr="00E97FC1">
        <w:rPr>
          <w:lang w:val="en-GB"/>
        </w:rPr>
        <w:fldChar w:fldCharType="begin" w:fldLock="1"/>
      </w:r>
      <w:r w:rsidR="00C574A9" w:rsidRPr="00E97FC1">
        <w:rPr>
          <w:lang w:val="en-GB"/>
        </w:rPr>
        <w:instrText>ADDIN CSL_CITATION {"citationItems":[{"id":"ITEM-1","itemData":{"DOI":"10.1038/s41467-020-14732-z","ISSN":"2041-1723 (Electronic)","PMID":"32060291","abstract":"NDH-1 is a key component of the cyclic-electron-transfer around photosystem I  (PSI CET) pathway, an important antioxidant mechanism for efficient photosynthesis. Here, we report a 3.2-Å-resolution cryo-EM structure of the ferredoxin (Fd)-NDH-1L complex from the cyanobacterium Thermosynechococcus elongatus. The structure reveals three β-carotene and fifteen lipid molecules in the membrane arm of NDH-1L. Regulatory oxygenic photosynthesis-specific (OPS) subunits NdhV, NdhS and NdhO are close to the Fd-binding site whilst NdhL is adjacent to the plastoquinone (PQ) cavity, and they play different roles in PSI CET under high-light stress. NdhV assists in the binding of Fd to NDH-1L and accelerates PSI CET in response to short-term high-light exposure. In contrast, prolonged high-light irradiation switches on the expression and assembly of the NDH-1MS complex, which likely contains no NdhO to further accelerate PSI CET and reduce ROS production. We propose that this hierarchical mechanism is necessary for the survival of cyanobacteria in an aerobic environment.","author":[{"dropping-particle":"","family":"Zhang","given":"Chunli","non-dropping-particle":"","parse-names":false,"suffix":""},{"dropping-particle":"","family":"Shuai","given":"Jin","non-dropping-particle":"","parse-names":false,"suffix":""},{"dropping-particle":"","family":"Ran","given":"Zhaoxing","non-dropping-particle":"","parse-names":false,"suffix":""},{"dropping-particle":"","family":"Zhao","given":"Jiaohong","non-dropping-particle":"","parse-names":false,"suffix":""},{"dropping-particle":"","family":"Wu","given":"Zhenfang","non-dropping-particle":"","parse-names":false,"suffix":""},{"dropping-particle":"","family":"Liao","given":"Rijing","non-dropping-particle":"","parse-names":false,"suffix":""},{"dropping-particle":"","family":"Wu","given":"Jian","non-dropping-particle":"","parse-names":false,"suffix":""},{"dropping-particle":"","family":"Ma","given":"Weimin","non-dropping-particle":"","parse-names":false,"suffix":""},{"dropping-particle":"","family":"Lei","given":"Ming","non-dropping-particle":"","parse-names":false,"suffix":""}],"container-title":"Nature communications","id":"ITEM-1","issue":"1","issued":{"date-parts":[["2020","2"]]},"language":"eng","page":"888","title":"Structural insights into NDH-1 mediated cyclic electron transfer.","type":"article-journal","volume":"11"},"uris":["http://www.mendeley.com/documents/?uuid=cbd5f7a7-a008-419f-afbf-a0cfe7efbed7"]}],"mendeley":{"formattedCitation":"(Zhang &lt;i&gt;et al&lt;/i&gt;, 2020)","plainTextFormattedCitation":"(Zhang et al, 2020)","previouslyFormattedCitation":"(Zhang &lt;i&gt;et al&lt;/i&gt;, 2020)"},"properties":{"noteIndex":0},"schema":"https://github.com/citation-style-language/schema/raw/master/csl-citation.json"}</w:instrText>
      </w:r>
      <w:r w:rsidR="002231E8" w:rsidRPr="00E97FC1">
        <w:rPr>
          <w:lang w:val="en-GB"/>
        </w:rPr>
        <w:fldChar w:fldCharType="separate"/>
      </w:r>
      <w:r w:rsidR="002231E8" w:rsidRPr="00E97FC1">
        <w:rPr>
          <w:noProof/>
          <w:lang w:val="en-GB"/>
        </w:rPr>
        <w:t xml:space="preserve">(Zhang </w:t>
      </w:r>
      <w:r w:rsidR="002231E8" w:rsidRPr="00E97FC1">
        <w:rPr>
          <w:i/>
          <w:noProof/>
          <w:lang w:val="en-GB"/>
        </w:rPr>
        <w:t>et al</w:t>
      </w:r>
      <w:r w:rsidR="002231E8" w:rsidRPr="00E97FC1">
        <w:rPr>
          <w:noProof/>
          <w:lang w:val="en-GB"/>
        </w:rPr>
        <w:t>, 2020)</w:t>
      </w:r>
      <w:r w:rsidR="002231E8" w:rsidRPr="00E97FC1">
        <w:rPr>
          <w:lang w:val="en-GB"/>
        </w:rPr>
        <w:fldChar w:fldCharType="end"/>
      </w:r>
      <w:r w:rsidR="002231E8" w:rsidRPr="00E97FC1">
        <w:rPr>
          <w:lang w:val="en-GB"/>
        </w:rPr>
        <w:t>)</w:t>
      </w:r>
      <w:r w:rsidR="001167E3" w:rsidRPr="00E97FC1">
        <w:rPr>
          <w:lang w:val="en-GB"/>
        </w:rPr>
        <w:t xml:space="preserve"> </w:t>
      </w:r>
      <w:r w:rsidR="002231E8" w:rsidRPr="00E97FC1">
        <w:rPr>
          <w:lang w:val="en-GB"/>
        </w:rPr>
        <w:t>(Figure 1.9).</w:t>
      </w:r>
      <w:r w:rsidRPr="00E97FC1">
        <w:rPr>
          <w:lang w:val="en-GB"/>
        </w:rPr>
        <w:t xml:space="preserve"> </w:t>
      </w:r>
      <w:r w:rsidR="007D6526" w:rsidRPr="00E97FC1">
        <w:rPr>
          <w:lang w:val="en-GB"/>
        </w:rPr>
        <w:t xml:space="preserve">Alternatively, solving apo structures at high pH </w:t>
      </w:r>
      <w:r w:rsidR="00344AAB" w:rsidRPr="00E97FC1">
        <w:rPr>
          <w:lang w:val="en-GB"/>
        </w:rPr>
        <w:t xml:space="preserve">(current structure was done at pH 6.0, so pH 8-9 may be used) </w:t>
      </w:r>
      <w:r w:rsidR="007D6526" w:rsidRPr="00E97FC1">
        <w:rPr>
          <w:lang w:val="en-GB"/>
        </w:rPr>
        <w:t xml:space="preserve">may reveal closed state, if its proportion increases similarly as with </w:t>
      </w:r>
      <w:r w:rsidR="007D6526" w:rsidRPr="00E97FC1">
        <w:rPr>
          <w:i/>
          <w:lang w:val="en-GB"/>
        </w:rPr>
        <w:t>Oa</w:t>
      </w:r>
      <w:r w:rsidR="007D6526" w:rsidRPr="00E97FC1">
        <w:rPr>
          <w:lang w:val="en-GB"/>
        </w:rPr>
        <w:t xml:space="preserve">CI. </w:t>
      </w:r>
      <w:r w:rsidR="00FE4CDA" w:rsidRPr="00E97FC1">
        <w:rPr>
          <w:lang w:val="en-GB"/>
        </w:rPr>
        <w:t xml:space="preserve">Solving of the closed state in NDH would prove </w:t>
      </w:r>
      <w:r w:rsidR="00CB2CEB" w:rsidRPr="00E97FC1">
        <w:rPr>
          <w:lang w:val="en-GB"/>
        </w:rPr>
        <w:t>broad</w:t>
      </w:r>
      <w:r w:rsidR="00E27EC8" w:rsidRPr="00E97FC1">
        <w:rPr>
          <w:lang w:val="en-GB"/>
        </w:rPr>
        <w:t xml:space="preserve"> universality of the proposed here coupling mechanism as all of the impo</w:t>
      </w:r>
      <w:r w:rsidR="00595A9A" w:rsidRPr="00E97FC1">
        <w:rPr>
          <w:lang w:val="en-GB"/>
        </w:rPr>
        <w:t xml:space="preserve">rtant features are conserved. </w:t>
      </w:r>
    </w:p>
    <w:p w14:paraId="03D8B143" w14:textId="77777777" w:rsidR="007F2ED6" w:rsidRPr="00E97FC1" w:rsidRDefault="007F2ED6" w:rsidP="00C20A47">
      <w:pPr>
        <w:rPr>
          <w:lang w:val="en-GB"/>
        </w:rPr>
      </w:pPr>
    </w:p>
    <w:p w14:paraId="2B14FE87" w14:textId="77777777" w:rsidR="003C3D28" w:rsidRPr="00E97FC1" w:rsidRDefault="00196997" w:rsidP="00F016AD">
      <w:pPr>
        <w:pStyle w:val="Heading2"/>
      </w:pPr>
      <w:bookmarkStart w:id="138" w:name="_Toc132640023"/>
      <w:r w:rsidRPr="00E97FC1">
        <w:t>Analysis of</w:t>
      </w:r>
      <w:r w:rsidR="003C3D28" w:rsidRPr="00E97FC1">
        <w:t xml:space="preserve"> ndhL subunit</w:t>
      </w:r>
      <w:bookmarkEnd w:id="138"/>
    </w:p>
    <w:p w14:paraId="5F755ACE" w14:textId="522E26E1" w:rsidR="00950E6B" w:rsidRPr="00E97FC1" w:rsidRDefault="00950E6B" w:rsidP="00950E6B">
      <w:pPr>
        <w:ind w:firstLine="720"/>
        <w:rPr>
          <w:lang w:val="en-GB"/>
        </w:rPr>
      </w:pPr>
      <w:r w:rsidRPr="00E97FC1">
        <w:rPr>
          <w:lang w:val="en-GB"/>
        </w:rPr>
        <w:t>One of the differences between the open and the resting states</w:t>
      </w:r>
      <w:r w:rsidR="007D6526" w:rsidRPr="00E97FC1">
        <w:rPr>
          <w:lang w:val="en-GB"/>
        </w:rPr>
        <w:t>, unique to NDH and reported for the first time in this work,</w:t>
      </w:r>
      <w:r w:rsidRPr="00E97FC1">
        <w:rPr>
          <w:lang w:val="en-GB"/>
        </w:rPr>
        <w:t xml:space="preserve"> is NdhL conformation. The subunit slides down and twists 90</w:t>
      </w:r>
      <w:r w:rsidRPr="00E97FC1">
        <w:rPr>
          <w:rFonts w:cs="Times New Roman"/>
          <w:sz w:val="28"/>
          <w:vertAlign w:val="superscript"/>
          <w:lang w:val="en-GB"/>
        </w:rPr>
        <w:t>◦</w:t>
      </w:r>
      <w:r w:rsidRPr="00E97FC1">
        <w:rPr>
          <w:rFonts w:cs="Times New Roman"/>
          <w:lang w:val="en-GB"/>
        </w:rPr>
        <w:t xml:space="preserve"> from vertical to horizontal position upon transition to the resting state, which is a quite remarkable conformational change </w:t>
      </w:r>
      <w:r w:rsidRPr="00E97FC1">
        <w:rPr>
          <w:lang w:val="en-GB"/>
        </w:rPr>
        <w:t>(Figure 4.3)</w:t>
      </w:r>
      <w:r w:rsidRPr="00E97FC1">
        <w:rPr>
          <w:rFonts w:cs="Times New Roman"/>
          <w:lang w:val="en-GB"/>
        </w:rPr>
        <w:t xml:space="preserve">. </w:t>
      </w:r>
    </w:p>
    <w:p w14:paraId="342981E7" w14:textId="3B2E2E34" w:rsidR="00950E6B" w:rsidRPr="00E97FC1" w:rsidRDefault="00304DD0" w:rsidP="005E2004">
      <w:pPr>
        <w:ind w:firstLine="720"/>
        <w:jc w:val="center"/>
        <w:rPr>
          <w:lang w:val="en-GB"/>
        </w:rPr>
      </w:pPr>
      <w:r>
        <w:rPr>
          <w:noProof/>
        </w:rPr>
        <w:lastRenderedPageBreak/>
        <w:drawing>
          <wp:inline distT="0" distB="0" distL="0" distR="0" wp14:anchorId="0B748F9D" wp14:editId="134EF6E1">
            <wp:extent cx="4715409" cy="4140381"/>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729420" cy="4152684"/>
                    </a:xfrm>
                    <a:prstGeom prst="rect">
                      <a:avLst/>
                    </a:prstGeom>
                    <a:noFill/>
                  </pic:spPr>
                </pic:pic>
              </a:graphicData>
            </a:graphic>
          </wp:inline>
        </w:drawing>
      </w:r>
    </w:p>
    <w:p w14:paraId="3769586E" w14:textId="3D622406" w:rsidR="00950E6B" w:rsidRPr="00E97FC1" w:rsidRDefault="00950E6B" w:rsidP="00950E6B">
      <w:pPr>
        <w:ind w:firstLine="720"/>
        <w:rPr>
          <w:lang w:val="en-GB"/>
        </w:rPr>
      </w:pPr>
    </w:p>
    <w:p w14:paraId="363791EB" w14:textId="3B07410B" w:rsidR="00304DD0" w:rsidRDefault="00950E6B" w:rsidP="00950E6B">
      <w:pPr>
        <w:pStyle w:val="Caption"/>
      </w:pPr>
      <w:bookmarkStart w:id="139" w:name="_Toc128136641"/>
      <w:r w:rsidRPr="00E97FC1">
        <w:t xml:space="preserve">Figure </w:t>
      </w:r>
      <w:r w:rsidR="00CC7652">
        <w:fldChar w:fldCharType="begin"/>
      </w:r>
      <w:r w:rsidR="00CC7652">
        <w:instrText xml:space="preserve"> STYLEREF 1 \s </w:instrText>
      </w:r>
      <w:r w:rsidR="00CC7652">
        <w:fldChar w:fldCharType="separate"/>
      </w:r>
      <w:r w:rsidR="00ED1816">
        <w:rPr>
          <w:noProof/>
        </w:rPr>
        <w:t>4</w:t>
      </w:r>
      <w:r w:rsidR="00CC7652">
        <w:fldChar w:fldCharType="end"/>
      </w:r>
      <w:r w:rsidR="00CC7652">
        <w:t>.</w:t>
      </w:r>
      <w:r w:rsidR="00CC7652">
        <w:fldChar w:fldCharType="begin"/>
      </w:r>
      <w:r w:rsidR="00CC7652">
        <w:instrText xml:space="preserve"> SEQ Figure \* ARABIC \s 1 </w:instrText>
      </w:r>
      <w:r w:rsidR="00CC7652">
        <w:fldChar w:fldCharType="separate"/>
      </w:r>
      <w:r w:rsidR="00ED1816">
        <w:rPr>
          <w:noProof/>
        </w:rPr>
        <w:t>3</w:t>
      </w:r>
      <w:r w:rsidR="00CC7652">
        <w:fldChar w:fldCharType="end"/>
      </w:r>
      <w:r w:rsidR="001D765C" w:rsidRPr="00E97FC1">
        <w:t xml:space="preserve"> Conformational states of n</w:t>
      </w:r>
      <w:r w:rsidRPr="00E97FC1">
        <w:t>dh</w:t>
      </w:r>
      <w:r w:rsidR="00304DD0">
        <w:t>L</w:t>
      </w:r>
      <w:bookmarkEnd w:id="139"/>
    </w:p>
    <w:p w14:paraId="5F7241CF" w14:textId="0EA28AA5" w:rsidR="00950E6B" w:rsidRPr="00CF7C36" w:rsidRDefault="00304DD0" w:rsidP="00950E6B">
      <w:pPr>
        <w:pStyle w:val="Caption"/>
      </w:pPr>
      <w:r w:rsidRPr="00CF7C36">
        <w:t>A) Back view of ndhL subunit in different conformations. B) detailed view on intersubunit interactions. Key conserved residues are indicated.</w:t>
      </w:r>
      <w:r w:rsidR="001D765C" w:rsidRPr="00CF7C36">
        <w:t xml:space="preserve"> </w:t>
      </w:r>
    </w:p>
    <w:p w14:paraId="3D5397D6" w14:textId="5DDE9E5B" w:rsidR="00CC32F9" w:rsidRPr="00E97FC1" w:rsidRDefault="00E62DBF" w:rsidP="0090176F">
      <w:pPr>
        <w:ind w:firstLine="720"/>
        <w:rPr>
          <w:rFonts w:cs="Times New Roman"/>
          <w:lang w:val="en-GB"/>
        </w:rPr>
      </w:pPr>
      <w:r w:rsidRPr="00E97FC1">
        <w:rPr>
          <w:lang w:val="en-GB"/>
        </w:rPr>
        <w:t xml:space="preserve">NdhL is a native NDH subunit which </w:t>
      </w:r>
      <w:r w:rsidR="007D6526" w:rsidRPr="00E97FC1">
        <w:rPr>
          <w:lang w:val="en-GB"/>
        </w:rPr>
        <w:t>doe</w:t>
      </w:r>
      <w:r w:rsidRPr="00E97FC1">
        <w:rPr>
          <w:lang w:val="en-GB"/>
        </w:rPr>
        <w:t xml:space="preserve">s not </w:t>
      </w:r>
      <w:r w:rsidR="007D6526" w:rsidRPr="00E97FC1">
        <w:rPr>
          <w:lang w:val="en-GB"/>
        </w:rPr>
        <w:t xml:space="preserve">have </w:t>
      </w:r>
      <w:r w:rsidRPr="00E97FC1">
        <w:rPr>
          <w:lang w:val="en-GB"/>
        </w:rPr>
        <w:t>homolog</w:t>
      </w:r>
      <w:r w:rsidR="007D6526" w:rsidRPr="00E97FC1">
        <w:rPr>
          <w:lang w:val="en-GB"/>
        </w:rPr>
        <w:t>y</w:t>
      </w:r>
      <w:r w:rsidRPr="00E97FC1">
        <w:rPr>
          <w:lang w:val="en-GB"/>
        </w:rPr>
        <w:t xml:space="preserve"> to any complex I subunits. </w:t>
      </w:r>
      <w:r w:rsidR="007917F8" w:rsidRPr="00E97FC1">
        <w:rPr>
          <w:rFonts w:cs="Times New Roman"/>
          <w:lang w:val="en-GB"/>
        </w:rPr>
        <w:t xml:space="preserve">It was found that NdhL is important for the docking of hydrophilic subcomplex to hydrophobic subcomplex in both cyanobacteria and plants </w:t>
      </w:r>
      <w:r w:rsidR="007917F8" w:rsidRPr="00E97FC1">
        <w:rPr>
          <w:rFonts w:cs="Times New Roman"/>
          <w:lang w:val="en-GB"/>
        </w:rPr>
        <w:fldChar w:fldCharType="begin" w:fldLock="1"/>
      </w:r>
      <w:r w:rsidR="00776703" w:rsidRPr="00E97FC1">
        <w:rPr>
          <w:rFonts w:cs="Times New Roman"/>
          <w:lang w:val="en-GB"/>
        </w:rPr>
        <w:instrText>ADDIN CSL_CITATION {"citationItems":[{"id":"ITEM-1","itemData":{"DOI":"https://doi.org/10.1074/jbc.M410914200","ISSN":"0021-9258","abstract":"The subunit compositions of two types of NAD(P)H dehydrogenase complexes of Synechocystis sp. PCC 6803, NDH-1L and NDH-1M, were studied by two-dimensional blue-native/SDS-PAGE followed by electrospray tandem mass spectrometry. Fifteen proteins were observed in NDH-1L including hydrophilic subunits (NdhH, -K, -I, -J, -M, and -N) and hydrophobic subunits (NdhA, -B, -E, -G, -D1, and -F1). In addition, NdhL and a novel subunit, Ssl1690 (designated NdhO), were shown to be components of this complex. All subunits mentioned above were present in the NDH-1M complex except NdhD1 and NdhF1. NdhL and Ssl1690 (NdhO) were homologous to hypothetical proteins encoded by genomic DNA in higher plants, suggesting that chloroplast NDH-1 complexes contain related subunits. Diagnostic sequence motifs were found for both NdhL and NdhO homologous proteins. Analysis of ndhL deletion mutant (M9) revealed the presence of assembled NDH-1L and NDH-1M complexes, but these complexes appear to be functionally impaired in the absence of NdhL. Both NDH-1 complexes were absent in the ndhB deletion mutant (M55).","author":[{"dropping-particle":"","family":"Battchikova","given":"Natalia","non-dropping-particle":"","parse-names":false,"suffix":""},{"dropping-particle":"","family":"Zhang","given":"Pengpeng","non-dropping-particle":"","parse-names":false,"suffix":""},{"dropping-particle":"","family":"Rudd","given":"Stephen","non-dropping-particle":"","parse-names":false,"suffix":""},{"dropping-particle":"","family":"Ogawa","given":"Teruo","non-dropping-particle":"","parse-names":false,"suffix":""},{"dropping-particle":"","family":"Aro","given":"Eva-Mari","non-dropping-particle":"","parse-names":false,"suffix":""}],"container-title":"Journal of Biological Chemistry","id":"ITEM-1","issue":"4","issued":{"date-parts":[["2005"]]},"page":"2587-2595","title":"Identification of NdhL and Ssl1690 (NdhO) in NDH-1L and NDH-1M Complexes of Synechocystis sp. PCC 6803*","type":"article-journal","volume":"280"},"uris":["http://www.mendeley.com/documents/?uuid=5e4415fd-c040-4c99-b06f-c0b2ae95789c"]},{"id":"ITEM-2","itemData":{"DOI":"10.1093/pcp/pcn058","ISSN":"0032-0781","abstract":"The chloroplast NAD(P)H dehydrogenase (NDH) complex functions in PSI cyclic and chlororespiratory electron transport in higher plants. Eleven plastid-encoded and three nuclear-encoded subunits have been identified so far, but the entire subunit composition, especially of the putative electron donor-binding module, is unclear. We isolated Arabidopsis thaliana crr23 (chlororespiratory reduction) mutants lacking NDH activity according to the absence of a transient increase in Chl fluorescence after actinic light illumination. Although CRR23 shows similarity to the NdhL subunit of cyanobacterial NDH-1, it has three transmembrane domains rather than the two in cyanobacterial NdhL. Unlike cyanobacterial NdhL, CRR23 is essential for stabilizing the NDH complex, which in turn is required for the accumulation of CRR23. Furthermore, CRR23 and NdhH, a subunit of chloroplast NDH, co-localized in blue-native gel. All the results indicate that CRR23 is an ortholog of cyanobacterial ndhL in Arabidopsis, despite its diversity of structure and function.","author":[{"dropping-particle":"","family":"Shimizu","given":"Hideyuki","non-dropping-particle":"","parse-names":false,"suffix":""},{"dropping-particle":"","family":"Peng","given":"Lianwei","non-dropping-particle":"","parse-names":false,"suffix":""},{"dropping-particle":"","family":"Myouga","given":"Fumiyoshi","non-dropping-particle":"","parse-names":false,"suffix":""},{"dropping-particle":"","family":"Motohashi","given":"Reiko","non-dropping-particle":"","parse-names":false,"suffix":""},{"dropping-particle":"","family":"Shinozaki","given":"Kazuo","non-dropping-particle":"","parse-names":false,"suffix":""},{"dropping-particle":"","family":"Shikanai","given":"Toshiharu","non-dropping-particle":"","parse-names":false,"suffix":""}],"container-title":"Plant and Cell Physiology","id":"ITEM-2","issue":"5","issued":{"date-parts":[["2008","5","1"]]},"page":"835-842","title":"CRR23/NdhL is a Subunit of the Chloroplast NAD(P)H Dehydrogenase Complex in Arabidopsis","type":"article-journal","volume":"49"},"uris":["http://www.mendeley.com/documents/?uuid=5cdc583f-bcde-47ad-8052-79e80f5b091a"]}],"mendeley":{"formattedCitation":"(Battchikova &lt;i&gt;et al&lt;/i&gt;, 2005; Shimizu &lt;i&gt;et al&lt;/i&gt;, 2008)","plainTextFormattedCitation":"(Battchikova et al, 2005; Shimizu et al, 2008)","previouslyFormattedCitation":"(Battchikova &lt;i&gt;et al&lt;/i&gt;, 2005; Shimizu &lt;i&gt;et al&lt;/i&gt;, 2008)"},"properties":{"noteIndex":0},"schema":"https://github.com/citation-style-language/schema/raw/master/csl-citation.json"}</w:instrText>
      </w:r>
      <w:r w:rsidR="007917F8" w:rsidRPr="00E97FC1">
        <w:rPr>
          <w:rFonts w:cs="Times New Roman"/>
          <w:lang w:val="en-GB"/>
        </w:rPr>
        <w:fldChar w:fldCharType="separate"/>
      </w:r>
      <w:r w:rsidR="00E55873" w:rsidRPr="00E97FC1">
        <w:rPr>
          <w:rFonts w:cs="Times New Roman"/>
          <w:noProof/>
          <w:lang w:val="en-GB"/>
        </w:rPr>
        <w:t xml:space="preserve">(Battchikova </w:t>
      </w:r>
      <w:r w:rsidR="00E55873" w:rsidRPr="00E97FC1">
        <w:rPr>
          <w:rFonts w:cs="Times New Roman"/>
          <w:i/>
          <w:noProof/>
          <w:lang w:val="en-GB"/>
        </w:rPr>
        <w:t>et al</w:t>
      </w:r>
      <w:r w:rsidR="00E55873" w:rsidRPr="00E97FC1">
        <w:rPr>
          <w:rFonts w:cs="Times New Roman"/>
          <w:noProof/>
          <w:lang w:val="en-GB"/>
        </w:rPr>
        <w:t xml:space="preserve">, 2005; Shimizu </w:t>
      </w:r>
      <w:r w:rsidR="00E55873" w:rsidRPr="00E97FC1">
        <w:rPr>
          <w:rFonts w:cs="Times New Roman"/>
          <w:i/>
          <w:noProof/>
          <w:lang w:val="en-GB"/>
        </w:rPr>
        <w:t>et al</w:t>
      </w:r>
      <w:r w:rsidR="00E55873" w:rsidRPr="00E97FC1">
        <w:rPr>
          <w:rFonts w:cs="Times New Roman"/>
          <w:noProof/>
          <w:lang w:val="en-GB"/>
        </w:rPr>
        <w:t>, 2008)</w:t>
      </w:r>
      <w:r w:rsidR="007917F8" w:rsidRPr="00E97FC1">
        <w:rPr>
          <w:rFonts w:cs="Times New Roman"/>
          <w:lang w:val="en-GB"/>
        </w:rPr>
        <w:fldChar w:fldCharType="end"/>
      </w:r>
      <w:r w:rsidR="007917F8" w:rsidRPr="00E97FC1">
        <w:rPr>
          <w:rFonts w:cs="Times New Roman"/>
          <w:lang w:val="en-GB"/>
        </w:rPr>
        <w:t xml:space="preserve">. Moreover, deletion of NdhL leads to almost complete absence of NDH-CET activity </w:t>
      </w:r>
      <w:r w:rsidR="007917F8" w:rsidRPr="00E97FC1">
        <w:rPr>
          <w:rFonts w:cs="Times New Roman"/>
          <w:lang w:val="en-GB"/>
        </w:rPr>
        <w:fldChar w:fldCharType="begin" w:fldLock="1"/>
      </w:r>
      <w:r w:rsidR="00776703" w:rsidRPr="00E97FC1">
        <w:rPr>
          <w:rFonts w:cs="Times New Roman"/>
          <w:lang w:val="en-GB"/>
        </w:rPr>
        <w:instrText>ADDIN CSL_CITATION {"citationItems":[{"id":"ITEM-1","itemData":{"DOI":"10.1038/s41467-020-14732-z","ISSN":"2041-1723 (Electronic)","PMID":"32060291","abstract":"NDH-1 is a key component of the cyclic-electron-transfer around photosystem I  (PSI CET) pathway, an important antioxidant mechanism for efficient photosynthesis. Here, we report a 3.2-Å-resolution cryo-EM structure of the ferredoxin (Fd)-NDH-1L complex from the cyanobacterium Thermosynechococcus elongatus. The structure reveals three β-carotene and fifteen lipid molecules in the membrane arm of NDH-1L. Regulatory oxygenic photosynthesis-specific (OPS) subunits NdhV, NdhS and NdhO are close to the Fd-binding site whilst NdhL is adjacent to the plastoquinone (PQ) cavity, and they play different roles in PSI CET under high-light stress. NdhV assists in the binding of Fd to NDH-1L and accelerates PSI CET in response to short-term high-light exposure. In contrast, prolonged high-light irradiation switches on the expression and assembly of the NDH-1MS complex, which likely contains no NdhO to further accelerate PSI CET and reduce ROS production. We propose that this hierarchical mechanism is necessary for the survival of cyanobacteria in an aerobic environment.","author":[{"dropping-particle":"","family":"Zhang","given":"Chunli","non-dropping-particle":"","parse-names":false,"suffix":""},{"dropping-particle":"","family":"Shuai","given":"Jin","non-dropping-particle":"","parse-names":false,"suffix":""},{"dropping-particle":"","family":"Ran","given":"Zhaoxing","non-dropping-particle":"","parse-names":false,"suffix":""},{"dropping-particle":"","family":"Zhao","given":"Jiaohong","non-dropping-particle":"","parse-names":false,"suffix":""},{"dropping-particle":"","family":"Wu","given":"Zhenfang","non-dropping-particle":"","parse-names":false,"suffix":""},{"dropping-particle":"","family":"Liao","given":"Rijing","non-dropping-particle":"","parse-names":false,"suffix":""},{"dropping-particle":"","family":"Wu","given":"Jian","non-dropping-particle":"","parse-names":false,"suffix":""},{"dropping-particle":"","family":"Ma","given":"Weimin","non-dropping-particle":"","parse-names":false,"suffix":""},{"dropping-particle":"","family":"Lei","given":"Ming","non-dropping-particle":"","parse-names":false,"suffix":""}],"container-title":"Nature communications","id":"ITEM-1","issue":"1","issued":{"date-parts":[["2020","2"]]},"language":"eng","page":"888","title":"Structural insights into NDH-1 mediated cyclic electron transfer.","type":"article-journal","volume":"11"},"uris":["http://www.mendeley.com/documents/?uuid=cbd5f7a7-a008-419f-afbf-a0cfe7efbed7"]}],"mendeley":{"formattedCitation":"(Zhang &lt;i&gt;et al&lt;/i&gt;, 2020)","plainTextFormattedCitation":"(Zhang et al, 2020)","previouslyFormattedCitation":"(Zhang &lt;i&gt;et al&lt;/i&gt;, 2020)"},"properties":{"noteIndex":0},"schema":"https://github.com/citation-style-language/schema/raw/master/csl-citation.json"}</w:instrText>
      </w:r>
      <w:r w:rsidR="007917F8" w:rsidRPr="00E97FC1">
        <w:rPr>
          <w:rFonts w:cs="Times New Roman"/>
          <w:lang w:val="en-GB"/>
        </w:rPr>
        <w:fldChar w:fldCharType="separate"/>
      </w:r>
      <w:r w:rsidR="00E55873" w:rsidRPr="00E97FC1">
        <w:rPr>
          <w:rFonts w:cs="Times New Roman"/>
          <w:noProof/>
          <w:lang w:val="en-GB"/>
        </w:rPr>
        <w:t xml:space="preserve">(Zhang </w:t>
      </w:r>
      <w:r w:rsidR="00E55873" w:rsidRPr="00E97FC1">
        <w:rPr>
          <w:rFonts w:cs="Times New Roman"/>
          <w:i/>
          <w:noProof/>
          <w:lang w:val="en-GB"/>
        </w:rPr>
        <w:t>et al</w:t>
      </w:r>
      <w:r w:rsidR="00E55873" w:rsidRPr="00E97FC1">
        <w:rPr>
          <w:rFonts w:cs="Times New Roman"/>
          <w:noProof/>
          <w:lang w:val="en-GB"/>
        </w:rPr>
        <w:t>, 2020)</w:t>
      </w:r>
      <w:r w:rsidR="007917F8" w:rsidRPr="00E97FC1">
        <w:rPr>
          <w:rFonts w:cs="Times New Roman"/>
          <w:lang w:val="en-GB"/>
        </w:rPr>
        <w:fldChar w:fldCharType="end"/>
      </w:r>
      <w:r w:rsidR="007917F8" w:rsidRPr="00E97FC1">
        <w:rPr>
          <w:rFonts w:cs="Times New Roman"/>
          <w:lang w:val="en-GB"/>
        </w:rPr>
        <w:t xml:space="preserve">. </w:t>
      </w:r>
      <w:r w:rsidR="00207806" w:rsidRPr="00E97FC1">
        <w:rPr>
          <w:rFonts w:cs="Times New Roman"/>
          <w:lang w:val="en-GB"/>
        </w:rPr>
        <w:t>The subunit has relatively small s</w:t>
      </w:r>
      <w:r w:rsidR="00F30BD7" w:rsidRPr="00E97FC1">
        <w:rPr>
          <w:rFonts w:cs="Times New Roman"/>
          <w:lang w:val="en-GB"/>
        </w:rPr>
        <w:t>ize and consist</w:t>
      </w:r>
      <w:r w:rsidR="007D6526" w:rsidRPr="00E97FC1">
        <w:rPr>
          <w:rFonts w:cs="Times New Roman"/>
          <w:lang w:val="en-GB"/>
        </w:rPr>
        <w:t>s</w:t>
      </w:r>
      <w:r w:rsidR="00F30BD7" w:rsidRPr="00E97FC1">
        <w:rPr>
          <w:rFonts w:cs="Times New Roman"/>
          <w:lang w:val="en-GB"/>
        </w:rPr>
        <w:t xml:space="preserve"> of a</w:t>
      </w:r>
      <w:r w:rsidR="00207806" w:rsidRPr="00E97FC1">
        <w:rPr>
          <w:rFonts w:cs="Times New Roman"/>
          <w:lang w:val="en-GB"/>
        </w:rPr>
        <w:t xml:space="preserve"> loop, which binds along the peripheral arm, and </w:t>
      </w:r>
      <w:r w:rsidR="00F30BD7" w:rsidRPr="00E97FC1">
        <w:rPr>
          <w:rFonts w:cs="Times New Roman"/>
          <w:lang w:val="en-GB"/>
        </w:rPr>
        <w:t>two int</w:t>
      </w:r>
      <w:r w:rsidR="007D6526" w:rsidRPr="00E97FC1">
        <w:rPr>
          <w:rFonts w:cs="Times New Roman"/>
          <w:lang w:val="en-GB"/>
        </w:rPr>
        <w:t>ra</w:t>
      </w:r>
      <w:r w:rsidR="00207806" w:rsidRPr="00E97FC1">
        <w:rPr>
          <w:rFonts w:cs="Times New Roman"/>
          <w:lang w:val="en-GB"/>
        </w:rPr>
        <w:t>membrane heli</w:t>
      </w:r>
      <w:r w:rsidR="007D6526" w:rsidRPr="00E97FC1">
        <w:rPr>
          <w:rFonts w:cs="Times New Roman"/>
          <w:lang w:val="en-GB"/>
        </w:rPr>
        <w:t>c</w:t>
      </w:r>
      <w:r w:rsidR="00F30BD7" w:rsidRPr="00E97FC1">
        <w:rPr>
          <w:rFonts w:cs="Times New Roman"/>
          <w:lang w:val="en-GB"/>
        </w:rPr>
        <w:t>es</w:t>
      </w:r>
      <w:r w:rsidR="00E42FBF">
        <w:rPr>
          <w:rFonts w:cs="Times New Roman"/>
          <w:lang w:val="en-GB"/>
        </w:rPr>
        <w:t xml:space="preserve"> (which we term LH1 and LH2)</w:t>
      </w:r>
      <w:r w:rsidR="00F30BD7" w:rsidRPr="00E97FC1">
        <w:rPr>
          <w:rFonts w:cs="Times New Roman"/>
          <w:lang w:val="en-GB"/>
        </w:rPr>
        <w:t>, which bind</w:t>
      </w:r>
      <w:r w:rsidR="00207806" w:rsidRPr="00E97FC1">
        <w:rPr>
          <w:rFonts w:cs="Times New Roman"/>
          <w:lang w:val="en-GB"/>
        </w:rPr>
        <w:t xml:space="preserve"> near the Q-entrance site (</w:t>
      </w:r>
      <w:r w:rsidR="00CC32F9" w:rsidRPr="00E97FC1">
        <w:rPr>
          <w:rFonts w:cs="Times New Roman"/>
          <w:lang w:val="en-GB"/>
        </w:rPr>
        <w:t>Figure</w:t>
      </w:r>
      <w:r w:rsidR="00207806" w:rsidRPr="00E97FC1">
        <w:rPr>
          <w:rFonts w:cs="Times New Roman"/>
          <w:lang w:val="en-GB"/>
        </w:rPr>
        <w:t xml:space="preserve"> 4.3). </w:t>
      </w:r>
      <w:r w:rsidR="00E42FBF">
        <w:rPr>
          <w:rFonts w:cs="Times New Roman"/>
          <w:lang w:val="en-GB"/>
        </w:rPr>
        <w:t>T</w:t>
      </w:r>
      <w:r w:rsidR="00E42FBF" w:rsidRPr="00E97FC1">
        <w:rPr>
          <w:rFonts w:cs="Times New Roman"/>
          <w:lang w:val="en-GB"/>
        </w:rPr>
        <w:t>he subunit is</w:t>
      </w:r>
      <w:r w:rsidR="00005F50">
        <w:rPr>
          <w:rFonts w:cs="Times New Roman"/>
          <w:lang w:val="en-GB"/>
        </w:rPr>
        <w:t xml:space="preserve"> quite hydrophobic (Figure 4.4a-c</w:t>
      </w:r>
      <w:r w:rsidR="00E42FBF" w:rsidRPr="00E97FC1">
        <w:rPr>
          <w:rFonts w:cs="Times New Roman"/>
          <w:lang w:val="en-GB"/>
        </w:rPr>
        <w:t>)</w:t>
      </w:r>
      <w:r w:rsidR="00E42FBF">
        <w:rPr>
          <w:rFonts w:cs="Times New Roman"/>
          <w:lang w:val="en-GB"/>
        </w:rPr>
        <w:t xml:space="preserve"> and both helices are pr</w:t>
      </w:r>
      <w:r w:rsidR="00005F50">
        <w:rPr>
          <w:rFonts w:cs="Times New Roman"/>
          <w:lang w:val="en-GB"/>
        </w:rPr>
        <w:t>edicted as transmembrane (Figure 4.4b</w:t>
      </w:r>
      <w:r w:rsidR="00E42FBF">
        <w:rPr>
          <w:rFonts w:cs="Times New Roman"/>
          <w:lang w:val="en-GB"/>
        </w:rPr>
        <w:t xml:space="preserve">). However, only LH1 fully traverses the membrane </w:t>
      </w:r>
      <w:r w:rsidR="00005F50">
        <w:rPr>
          <w:rFonts w:cs="Times New Roman"/>
          <w:lang w:val="en-GB"/>
        </w:rPr>
        <w:t>and only in the open state (Figure 4.4a</w:t>
      </w:r>
      <w:r w:rsidR="00E42FBF">
        <w:rPr>
          <w:rFonts w:cs="Times New Roman"/>
          <w:lang w:val="en-GB"/>
        </w:rPr>
        <w:t>). In the resting state both LH1 and LH2 dip deep into the membrane.</w:t>
      </w:r>
    </w:p>
    <w:p w14:paraId="59BCB6C2" w14:textId="352A83ED" w:rsidR="007917F8" w:rsidRDefault="007917F8" w:rsidP="00CC32F9">
      <w:pPr>
        <w:rPr>
          <w:rFonts w:ascii="Courier New" w:eastAsia="Times New Roman" w:hAnsi="Courier New" w:cs="Courier New"/>
          <w:b/>
          <w:color w:val="000000"/>
          <w:sz w:val="25"/>
          <w:szCs w:val="25"/>
          <w:shd w:val="clear" w:color="auto" w:fill="DDFFDD"/>
          <w:lang w:val="en-GB"/>
        </w:rPr>
      </w:pPr>
    </w:p>
    <w:p w14:paraId="3B13FBFB" w14:textId="488C2604" w:rsidR="0051537F" w:rsidRDefault="0051537F" w:rsidP="00CC32F9">
      <w:pPr>
        <w:rPr>
          <w:rFonts w:ascii="Courier New" w:eastAsia="Times New Roman" w:hAnsi="Courier New" w:cs="Courier New"/>
          <w:b/>
          <w:color w:val="000000"/>
          <w:sz w:val="25"/>
          <w:szCs w:val="25"/>
          <w:shd w:val="clear" w:color="auto" w:fill="DDFFDD"/>
          <w:lang w:val="en-GB"/>
        </w:rPr>
      </w:pPr>
    </w:p>
    <w:p w14:paraId="439B439D" w14:textId="59C58207" w:rsidR="0051537F" w:rsidRDefault="0051537F" w:rsidP="00CC32F9">
      <w:pPr>
        <w:rPr>
          <w:rFonts w:ascii="Courier New" w:eastAsia="Times New Roman" w:hAnsi="Courier New" w:cs="Courier New"/>
          <w:b/>
          <w:color w:val="000000"/>
          <w:sz w:val="25"/>
          <w:szCs w:val="25"/>
          <w:shd w:val="clear" w:color="auto" w:fill="DDFFDD"/>
          <w:lang w:val="en-GB"/>
        </w:rPr>
      </w:pPr>
    </w:p>
    <w:p w14:paraId="091A3717" w14:textId="3E52BCEF" w:rsidR="0051537F" w:rsidRDefault="0051537F" w:rsidP="00CC32F9">
      <w:pPr>
        <w:rPr>
          <w:rFonts w:ascii="Courier New" w:eastAsia="Times New Roman" w:hAnsi="Courier New" w:cs="Courier New"/>
          <w:b/>
          <w:color w:val="000000"/>
          <w:sz w:val="25"/>
          <w:szCs w:val="25"/>
          <w:shd w:val="clear" w:color="auto" w:fill="DDFFDD"/>
          <w:lang w:val="en-GB"/>
        </w:rPr>
      </w:pPr>
    </w:p>
    <w:p w14:paraId="1A4FBA17" w14:textId="77777777" w:rsidR="0051537F" w:rsidRPr="00E97FC1" w:rsidRDefault="0051537F" w:rsidP="0051537F">
      <w:pPr>
        <w:ind w:firstLine="720"/>
        <w:rPr>
          <w:rFonts w:cs="Times New Roman"/>
          <w:lang w:val="en-GB"/>
        </w:rPr>
      </w:pPr>
      <w:r>
        <w:rPr>
          <w:rFonts w:cs="Times New Roman"/>
          <w:noProof/>
        </w:rPr>
        <w:lastRenderedPageBreak/>
        <w:drawing>
          <wp:inline distT="0" distB="0" distL="0" distR="0" wp14:anchorId="6522C0C5" wp14:editId="014A2003">
            <wp:extent cx="5387845" cy="3752698"/>
            <wp:effectExtent l="0" t="0" r="3810" b="63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03106" cy="3763327"/>
                    </a:xfrm>
                    <a:prstGeom prst="rect">
                      <a:avLst/>
                    </a:prstGeom>
                    <a:noFill/>
                  </pic:spPr>
                </pic:pic>
              </a:graphicData>
            </a:graphic>
          </wp:inline>
        </w:drawing>
      </w:r>
    </w:p>
    <w:p w14:paraId="7FA2CBD5" w14:textId="77777777" w:rsidR="0051537F" w:rsidRPr="00E97FC1" w:rsidRDefault="0051537F" w:rsidP="0051537F">
      <w:pPr>
        <w:ind w:firstLine="720"/>
        <w:rPr>
          <w:rFonts w:cs="Times New Roman"/>
          <w:lang w:val="en-GB"/>
        </w:rPr>
      </w:pPr>
    </w:p>
    <w:p w14:paraId="2372B586" w14:textId="477A7E6D" w:rsidR="0051537F" w:rsidRPr="00E97FC1" w:rsidRDefault="00CC7652" w:rsidP="00CC7652">
      <w:pPr>
        <w:pStyle w:val="Caption"/>
      </w:pPr>
      <w:bookmarkStart w:id="140" w:name="_Toc128136642"/>
      <w:r>
        <w:t xml:space="preserve">Figure </w:t>
      </w:r>
      <w:r>
        <w:fldChar w:fldCharType="begin"/>
      </w:r>
      <w:r>
        <w:instrText xml:space="preserve"> STYLEREF 1 \s </w:instrText>
      </w:r>
      <w:r>
        <w:fldChar w:fldCharType="separate"/>
      </w:r>
      <w:r w:rsidR="00ED1816">
        <w:rPr>
          <w:noProof/>
        </w:rPr>
        <w:t>4</w:t>
      </w:r>
      <w:r>
        <w:fldChar w:fldCharType="end"/>
      </w:r>
      <w:r>
        <w:t>.</w:t>
      </w:r>
      <w:r>
        <w:fldChar w:fldCharType="begin"/>
      </w:r>
      <w:r>
        <w:instrText xml:space="preserve"> SEQ Figure \* ARABIC \s 1 </w:instrText>
      </w:r>
      <w:r>
        <w:fldChar w:fldCharType="separate"/>
      </w:r>
      <w:r w:rsidR="00ED1816">
        <w:rPr>
          <w:noProof/>
        </w:rPr>
        <w:t>4</w:t>
      </w:r>
      <w:r>
        <w:fldChar w:fldCharType="end"/>
      </w:r>
      <w:r w:rsidR="000F12F2">
        <w:t xml:space="preserve"> </w:t>
      </w:r>
      <w:r w:rsidRPr="00523E90">
        <w:t>Hydrophobicity and structural analysis of ndhL</w:t>
      </w:r>
      <w:bookmarkEnd w:id="140"/>
    </w:p>
    <w:p w14:paraId="02AA9500" w14:textId="33B2527C" w:rsidR="0051537F" w:rsidRPr="00CF7C36" w:rsidRDefault="0051537F" w:rsidP="0051537F">
      <w:pPr>
        <w:pStyle w:val="Caption"/>
      </w:pPr>
      <w:r w:rsidRPr="00CF7C36">
        <w:t xml:space="preserve">A) Structure is coloured by the level of hydrophobicity. NdhL subunit is circled. B) Hydrophobicity analysis of sequence using TMHMM web-server </w:t>
      </w:r>
      <w:r w:rsidRPr="00CF7C36">
        <w:fldChar w:fldCharType="begin" w:fldLock="1"/>
      </w:r>
      <w:r w:rsidRPr="00CF7C36">
        <w:instrText>ADDIN CSL_CITATION {"citationItems":[{"id":"ITEM-1","itemData":{"DOI":"10.1093/bioinformatics/17.7.646","ISSN":"1367-4803 (Print)","PMID":"11448883","abstract":"MOTIVATION: A variety of tools are available to predict the topology of  transmembrane proteins. To date no independent evaluation of the performance of these tools has been published. A better understanding of the strengths and weaknesses of the different tools would guide both the biologist and the bioinformatician to make better predictions of membrane protein topology. RESULTS: Here we present an evaluation of the performance of the currently best known and most widely used methods for the prediction of transmembrane regions in proteins. Our results show that TMHMM is currently the best performing transmembrane prediction program.","author":[{"dropping-particle":"","family":"Möller","given":"S","non-dropping-particle":"","parse-names":false,"suffix":""},{"dropping-particle":"","family":"Croning","given":"M D","non-dropping-particle":"","parse-names":false,"suffix":""},{"dropping-particle":"","family":"Apweiler","given":"R","non-dropping-particle":"","parse-names":false,"suffix":""}],"container-title":"Bioinformatics (Oxford, England)","id":"ITEM-1","issue":"7","issued":{"date-parts":[["2001","7"]]},"language":"eng","page":"646-653","publisher-place":"England","title":"Evaluation of methods for the prediction of membrane spanning regions.","type":"article-journal","volume":"17"},"uris":["http://www.mendeley.com/documents/?uuid=c6e37c65-f86b-4e9c-99a9-f0a697ef2dd3"]}],"mendeley":{"formattedCitation":"(Möller &lt;i&gt;et al&lt;/i&gt;, 2001)","plainTextFormattedCitation":"(Möller et al, 2001)"},"properties":{"noteIndex":0},"schema":"https://github.com/citation-style-language/schema/raw/master/csl-citation.json"}</w:instrText>
      </w:r>
      <w:r w:rsidRPr="00CF7C36">
        <w:fldChar w:fldCharType="separate"/>
      </w:r>
      <w:r w:rsidRPr="00CF7C36">
        <w:rPr>
          <w:i w:val="0"/>
          <w:noProof/>
        </w:rPr>
        <w:t xml:space="preserve">(Möller </w:t>
      </w:r>
      <w:r w:rsidRPr="00CF7C36">
        <w:rPr>
          <w:noProof/>
        </w:rPr>
        <w:t>et al</w:t>
      </w:r>
      <w:r w:rsidRPr="00CF7C36">
        <w:rPr>
          <w:i w:val="0"/>
          <w:noProof/>
        </w:rPr>
        <w:t>, 2001)</w:t>
      </w:r>
      <w:r w:rsidRPr="00CF7C36">
        <w:fldChar w:fldCharType="end"/>
      </w:r>
      <w:r w:rsidRPr="00CF7C36">
        <w:t>. Two transmembrane helices are predicted.</w:t>
      </w:r>
      <w:r w:rsidR="00901578" w:rsidRPr="00CF7C36">
        <w:t xml:space="preserve"> C) Hydrophobicity analysis. Green: hydrophobic uncharged residues, Red: acidic residues, Blue: basic residues, Black: other residues.</w:t>
      </w:r>
      <w:r w:rsidRPr="00CF7C36">
        <w:t xml:space="preserve"> D) Plastoquinone (PQ) is modelled (head position based on PDB id: 6khj) into resting state. The conformation of ndhL subunit may hinder PQ movements. Q-cavity is shown in grey transparent surface.</w:t>
      </w:r>
    </w:p>
    <w:p w14:paraId="1ACF6299" w14:textId="55374579" w:rsidR="0051537F" w:rsidRDefault="0051537F" w:rsidP="0051537F">
      <w:pPr>
        <w:ind w:firstLine="720"/>
        <w:rPr>
          <w:rFonts w:cs="Times New Roman"/>
          <w:lang w:val="en-GB"/>
        </w:rPr>
      </w:pPr>
      <w:r>
        <w:rPr>
          <w:rFonts w:cs="Times New Roman"/>
          <w:lang w:val="en-GB"/>
        </w:rPr>
        <w:t>S</w:t>
      </w:r>
      <w:r w:rsidRPr="00E97FC1">
        <w:rPr>
          <w:rFonts w:cs="Times New Roman"/>
          <w:lang w:val="en-GB"/>
        </w:rPr>
        <w:t xml:space="preserve">everal polar amino acids </w:t>
      </w:r>
      <w:r>
        <w:rPr>
          <w:rFonts w:cs="Times New Roman"/>
          <w:lang w:val="en-GB"/>
        </w:rPr>
        <w:t xml:space="preserve">are found </w:t>
      </w:r>
      <w:r w:rsidRPr="00E97FC1">
        <w:rPr>
          <w:rFonts w:cs="Times New Roman"/>
          <w:lang w:val="en-GB"/>
        </w:rPr>
        <w:t>near the surface of the membrane</w:t>
      </w:r>
      <w:r>
        <w:rPr>
          <w:rFonts w:cs="Times New Roman"/>
          <w:lang w:val="en-GB"/>
        </w:rPr>
        <w:t xml:space="preserve"> and some of </w:t>
      </w:r>
      <w:r w:rsidRPr="00E97FC1">
        <w:rPr>
          <w:rFonts w:cs="Times New Roman"/>
          <w:lang w:val="en-GB"/>
        </w:rPr>
        <w:t>those charged residues are highly conserved</w:t>
      </w:r>
      <w:r w:rsidR="00C16918">
        <w:rPr>
          <w:rFonts w:cs="Times New Roman"/>
          <w:lang w:val="en-GB"/>
        </w:rPr>
        <w:t xml:space="preserve"> and interact with the rest of the complex, e.g. </w:t>
      </w:r>
      <w:r w:rsidR="00C16918" w:rsidRPr="00C16918">
        <w:rPr>
          <w:rFonts w:cs="Times New Roman"/>
          <w:vertAlign w:val="subscript"/>
          <w:lang w:val="en-GB"/>
        </w:rPr>
        <w:t>L</w:t>
      </w:r>
      <w:r w:rsidR="00C16918">
        <w:rPr>
          <w:rFonts w:cs="Times New Roman"/>
          <w:lang w:val="en-GB"/>
        </w:rPr>
        <w:t>R44 (F</w:t>
      </w:r>
      <w:r w:rsidR="00005F50">
        <w:rPr>
          <w:rFonts w:cs="Times New Roman"/>
          <w:lang w:val="en-GB"/>
        </w:rPr>
        <w:t>igure 4.5a</w:t>
      </w:r>
      <w:r w:rsidR="00C16918">
        <w:rPr>
          <w:rFonts w:cs="Times New Roman"/>
          <w:lang w:val="en-GB"/>
        </w:rPr>
        <w:t>b)</w:t>
      </w:r>
      <w:r w:rsidRPr="00E97FC1">
        <w:rPr>
          <w:rFonts w:cs="Times New Roman"/>
          <w:lang w:val="en-GB"/>
        </w:rPr>
        <w:t xml:space="preserve">. Other conserved residues are </w:t>
      </w:r>
      <w:r w:rsidR="009A42B6">
        <w:rPr>
          <w:rFonts w:cs="Times New Roman"/>
          <w:lang w:val="en-GB"/>
        </w:rPr>
        <w:t xml:space="preserve">also </w:t>
      </w:r>
      <w:r w:rsidRPr="00E97FC1">
        <w:rPr>
          <w:rFonts w:cs="Times New Roman"/>
          <w:lang w:val="en-GB"/>
        </w:rPr>
        <w:t>located mostly at the intersubunit interface</w:t>
      </w:r>
      <w:r w:rsidR="00BE73CD">
        <w:rPr>
          <w:rFonts w:cs="Times New Roman"/>
          <w:lang w:val="en-GB"/>
        </w:rPr>
        <w:t xml:space="preserve">, e.g. </w:t>
      </w:r>
      <w:r w:rsidR="00BE73CD" w:rsidRPr="00BE73CD">
        <w:rPr>
          <w:rFonts w:cs="Times New Roman"/>
          <w:vertAlign w:val="subscript"/>
          <w:lang w:val="en-GB"/>
        </w:rPr>
        <w:t>L</w:t>
      </w:r>
      <w:r w:rsidR="00BE73CD">
        <w:rPr>
          <w:rFonts w:cs="Times New Roman"/>
          <w:lang w:val="en-GB"/>
        </w:rPr>
        <w:t>F55</w:t>
      </w:r>
      <w:r w:rsidRPr="00E97FC1">
        <w:rPr>
          <w:rFonts w:cs="Times New Roman"/>
          <w:lang w:val="en-GB"/>
        </w:rPr>
        <w:t xml:space="preserve"> </w:t>
      </w:r>
      <w:r w:rsidR="00005F50">
        <w:rPr>
          <w:rFonts w:cs="Times New Roman"/>
          <w:lang w:val="en-GB"/>
        </w:rPr>
        <w:t>(Figure 4.5a</w:t>
      </w:r>
      <w:r w:rsidRPr="00E97FC1">
        <w:rPr>
          <w:rFonts w:cs="Times New Roman"/>
          <w:lang w:val="en-GB"/>
        </w:rPr>
        <w:t xml:space="preserve">b). </w:t>
      </w:r>
    </w:p>
    <w:p w14:paraId="6DF62F04" w14:textId="4212351D" w:rsidR="00C16918" w:rsidRPr="00E97FC1" w:rsidRDefault="00C16918" w:rsidP="00C16918">
      <w:pPr>
        <w:ind w:firstLine="720"/>
        <w:rPr>
          <w:rFonts w:cs="Times New Roman"/>
          <w:lang w:val="en-GB"/>
        </w:rPr>
      </w:pPr>
      <w:r w:rsidRPr="00E97FC1">
        <w:rPr>
          <w:rFonts w:cs="Times New Roman"/>
          <w:lang w:val="en-GB"/>
        </w:rPr>
        <w:t xml:space="preserve">So what is the role and importance of ndhL? Since ndhL knock-out deactivates the complex, it is </w:t>
      </w:r>
      <w:r w:rsidR="009A42B6">
        <w:rPr>
          <w:rFonts w:cs="Times New Roman"/>
          <w:lang w:val="en-GB"/>
        </w:rPr>
        <w:t>clear</w:t>
      </w:r>
      <w:r w:rsidR="009A42B6" w:rsidRPr="00E97FC1">
        <w:rPr>
          <w:rFonts w:cs="Times New Roman"/>
          <w:lang w:val="en-GB"/>
        </w:rPr>
        <w:t xml:space="preserve"> </w:t>
      </w:r>
      <w:r w:rsidRPr="00E97FC1">
        <w:rPr>
          <w:rFonts w:cs="Times New Roman"/>
          <w:lang w:val="en-GB"/>
        </w:rPr>
        <w:t xml:space="preserve">that ndhL is somehow important for activity. At first we thought that </w:t>
      </w:r>
      <w:r>
        <w:rPr>
          <w:rFonts w:cs="Times New Roman"/>
          <w:lang w:val="en-GB"/>
        </w:rPr>
        <w:t>observed</w:t>
      </w:r>
      <w:r w:rsidRPr="00E97FC1">
        <w:rPr>
          <w:rFonts w:cs="Times New Roman"/>
          <w:lang w:val="en-GB"/>
        </w:rPr>
        <w:t xml:space="preserve"> </w:t>
      </w:r>
      <w:r>
        <w:rPr>
          <w:rFonts w:cs="Times New Roman"/>
          <w:lang w:val="en-GB"/>
        </w:rPr>
        <w:t xml:space="preserve">ndhL </w:t>
      </w:r>
      <w:r w:rsidRPr="00E97FC1">
        <w:rPr>
          <w:rFonts w:cs="Times New Roman"/>
          <w:lang w:val="en-GB"/>
        </w:rPr>
        <w:t>twist would block Q site for PQ entering. However, after careful analysis it was revealed that the Q-site is still accessible, although the entry/exit of Q may be hindered since ndhL might be clashing with the preferred Q tail orientation deep into membrane (Figure 4.</w:t>
      </w:r>
      <w:r w:rsidR="006433AC">
        <w:rPr>
          <w:rFonts w:cs="Times New Roman"/>
          <w:lang w:val="en-GB"/>
        </w:rPr>
        <w:t>4d</w:t>
      </w:r>
      <w:r w:rsidRPr="00E97FC1">
        <w:rPr>
          <w:rFonts w:cs="Times New Roman"/>
          <w:lang w:val="en-GB"/>
        </w:rPr>
        <w:t>).</w:t>
      </w:r>
      <w:r>
        <w:rPr>
          <w:rFonts w:cs="Times New Roman"/>
          <w:lang w:val="en-GB"/>
        </w:rPr>
        <w:t xml:space="preserve"> </w:t>
      </w:r>
      <w:r w:rsidRPr="00E97FC1">
        <w:rPr>
          <w:rFonts w:cs="Times New Roman"/>
          <w:lang w:val="en-GB"/>
        </w:rPr>
        <w:t xml:space="preserve">Additional and most likely explanation is that the subunit serves as a support for PA-MA interface. In the open state, ndhL interacts closely with PA and ndhJ and ndhA (Nuo I and H in </w:t>
      </w:r>
      <w:r w:rsidRPr="00E97FC1">
        <w:rPr>
          <w:rFonts w:cs="Times New Roman"/>
          <w:i/>
          <w:lang w:val="en-GB"/>
        </w:rPr>
        <w:t>Ec</w:t>
      </w:r>
      <w:r w:rsidRPr="00E97FC1">
        <w:rPr>
          <w:rFonts w:cs="Times New Roman"/>
          <w:lang w:val="en-GB"/>
        </w:rPr>
        <w:t xml:space="preserve">CI) while upon shift from open to resting state, ndhL twists and this connection is lost </w:t>
      </w:r>
      <w:r w:rsidRPr="00E97FC1">
        <w:rPr>
          <w:rFonts w:cs="Times New Roman"/>
          <w:lang w:val="en-GB"/>
        </w:rPr>
        <w:lastRenderedPageBreak/>
        <w:t>(Figure 4.3). It is also important to note, that the interaction between ndhJ and ndhL involves the most conserved part of ndhL.</w:t>
      </w:r>
    </w:p>
    <w:p w14:paraId="02F9D097" w14:textId="0BF9D382" w:rsidR="00901578" w:rsidRPr="00E97FC1" w:rsidRDefault="00901578" w:rsidP="00901578">
      <w:pPr>
        <w:spacing w:line="240" w:lineRule="auto"/>
        <w:rPr>
          <w:rFonts w:ascii="Arial" w:eastAsia="Times New Roman" w:hAnsi="Arial" w:cs="Arial"/>
          <w:b/>
          <w:color w:val="000000"/>
          <w:sz w:val="32"/>
          <w:szCs w:val="25"/>
          <w:lang w:val="en-GB"/>
        </w:rPr>
      </w:pPr>
      <w:r>
        <w:rPr>
          <w:rFonts w:ascii="Arial" w:eastAsia="Times New Roman" w:hAnsi="Arial" w:cs="Arial"/>
          <w:b/>
          <w:color w:val="000000"/>
          <w:sz w:val="32"/>
          <w:szCs w:val="25"/>
          <w:lang w:val="en-GB"/>
        </w:rPr>
        <w:t>A</w:t>
      </w:r>
      <w:r w:rsidRPr="00E97FC1">
        <w:rPr>
          <w:rFonts w:ascii="Arial" w:eastAsia="Times New Roman" w:hAnsi="Arial" w:cs="Arial"/>
          <w:b/>
          <w:color w:val="000000"/>
          <w:sz w:val="32"/>
          <w:szCs w:val="25"/>
          <w:lang w:val="en-GB"/>
        </w:rPr>
        <w:t>)</w:t>
      </w:r>
    </w:p>
    <w:tbl>
      <w:tblPr>
        <w:tblW w:w="11250" w:type="dxa"/>
        <w:shd w:val="clear" w:color="auto" w:fill="FFFFFF"/>
        <w:tblCellMar>
          <w:top w:w="15" w:type="dxa"/>
          <w:left w:w="15" w:type="dxa"/>
          <w:bottom w:w="15" w:type="dxa"/>
          <w:right w:w="15" w:type="dxa"/>
        </w:tblCellMar>
        <w:tblLook w:val="04A0" w:firstRow="1" w:lastRow="0" w:firstColumn="1" w:lastColumn="0" w:noHBand="0" w:noVBand="1"/>
      </w:tblPr>
      <w:tblGrid>
        <w:gridCol w:w="11250"/>
      </w:tblGrid>
      <w:tr w:rsidR="00CC32F9" w:rsidRPr="00E97FC1" w14:paraId="144F3DB6" w14:textId="77777777" w:rsidTr="001221BB">
        <w:tc>
          <w:tcPr>
            <w:tcW w:w="0" w:type="auto"/>
            <w:shd w:val="clear" w:color="auto" w:fill="FFFFFF"/>
            <w:vAlign w:val="center"/>
            <w:hideMark/>
          </w:tcPr>
          <w:p w14:paraId="0BC80AB3" w14:textId="77777777" w:rsidR="00CC32F9" w:rsidRPr="00E97FC1" w:rsidRDefault="00CC32F9" w:rsidP="001221BB">
            <w:pPr>
              <w:spacing w:line="240" w:lineRule="auto"/>
              <w:rPr>
                <w:rFonts w:ascii="Arial" w:eastAsia="Times New Roman" w:hAnsi="Arial" w:cs="Arial"/>
                <w:color w:val="000000"/>
                <w:sz w:val="25"/>
                <w:szCs w:val="25"/>
                <w:lang w:val="en-GB"/>
              </w:rPr>
            </w:pPr>
            <w:r w:rsidRPr="00E97FC1">
              <w:rPr>
                <w:rFonts w:ascii="Courier New" w:eastAsia="Times New Roman" w:hAnsi="Courier New" w:cs="Courier New"/>
                <w:color w:val="000000"/>
                <w:sz w:val="25"/>
                <w:szCs w:val="25"/>
                <w:lang w:val="en-GB"/>
              </w:rPr>
              <w:t>1          11         21         31         41         </w:t>
            </w:r>
            <w:r w:rsidRPr="00E97FC1">
              <w:rPr>
                <w:rFonts w:ascii="Arial" w:eastAsia="Times New Roman" w:hAnsi="Arial" w:cs="Arial"/>
                <w:color w:val="000000"/>
                <w:sz w:val="25"/>
                <w:szCs w:val="25"/>
                <w:lang w:val="en-GB"/>
              </w:rPr>
              <w:br/>
            </w:r>
            <w:r w:rsidRPr="00E97FC1">
              <w:rPr>
                <w:rFonts w:ascii="Courier New" w:eastAsia="Times New Roman" w:hAnsi="Courier New" w:cs="Courier New"/>
                <w:b/>
                <w:bCs/>
                <w:color w:val="000000"/>
                <w:sz w:val="25"/>
                <w:szCs w:val="25"/>
                <w:bdr w:val="none" w:sz="0" w:space="0" w:color="auto" w:frame="1"/>
                <w:shd w:val="clear" w:color="auto" w:fill="FAC8DC"/>
                <w:lang w:val="en-GB"/>
              </w:rPr>
              <w:t>M</w:t>
            </w:r>
            <w:r w:rsidRPr="00E97FC1">
              <w:rPr>
                <w:rFonts w:ascii="Courier New" w:eastAsia="Times New Roman" w:hAnsi="Courier New" w:cs="Courier New"/>
                <w:b/>
                <w:bCs/>
                <w:color w:val="000000"/>
                <w:sz w:val="25"/>
                <w:szCs w:val="25"/>
                <w:bdr w:val="none" w:sz="0" w:space="0" w:color="auto" w:frame="1"/>
                <w:shd w:val="clear" w:color="auto" w:fill="D7F0F0"/>
                <w:lang w:val="en-GB"/>
              </w:rPr>
              <w:t>A</w:t>
            </w:r>
            <w:r w:rsidRPr="00E97FC1">
              <w:rPr>
                <w:rFonts w:ascii="Courier New" w:eastAsia="Times New Roman" w:hAnsi="Courier New" w:cs="Courier New"/>
                <w:b/>
                <w:bCs/>
                <w:color w:val="000000"/>
                <w:sz w:val="25"/>
                <w:szCs w:val="25"/>
                <w:bdr w:val="none" w:sz="0" w:space="0" w:color="auto" w:frame="1"/>
                <w:shd w:val="clear" w:color="auto" w:fill="FAC8DC"/>
                <w:lang w:val="en-GB"/>
              </w:rPr>
              <w:t>V</w:t>
            </w:r>
            <w:r w:rsidRPr="00E97FC1">
              <w:rPr>
                <w:rFonts w:ascii="Courier New" w:eastAsia="Times New Roman" w:hAnsi="Courier New" w:cs="Courier New"/>
                <w:b/>
                <w:bCs/>
                <w:color w:val="000000"/>
                <w:sz w:val="25"/>
                <w:szCs w:val="25"/>
                <w:bdr w:val="none" w:sz="0" w:space="0" w:color="auto" w:frame="1"/>
                <w:shd w:val="clear" w:color="auto" w:fill="D7F0F0"/>
                <w:lang w:val="en-GB"/>
              </w:rPr>
              <w:t>S</w:t>
            </w:r>
            <w:r w:rsidRPr="00E97FC1">
              <w:rPr>
                <w:rFonts w:ascii="Courier New" w:eastAsia="Times New Roman" w:hAnsi="Courier New" w:cs="Courier New"/>
                <w:b/>
                <w:bCs/>
                <w:color w:val="FFFFFF"/>
                <w:sz w:val="25"/>
                <w:szCs w:val="25"/>
                <w:bdr w:val="none" w:sz="0" w:space="0" w:color="auto" w:frame="1"/>
                <w:shd w:val="clear" w:color="auto" w:fill="0A7D82"/>
                <w:lang w:val="en-GB"/>
              </w:rPr>
              <w:t>T</w:t>
            </w:r>
            <w:r w:rsidRPr="00E97FC1">
              <w:rPr>
                <w:rFonts w:ascii="Courier New" w:eastAsia="Times New Roman" w:hAnsi="Courier New" w:cs="Courier New"/>
                <w:b/>
                <w:bCs/>
                <w:color w:val="000000"/>
                <w:sz w:val="25"/>
                <w:szCs w:val="25"/>
                <w:bdr w:val="none" w:sz="0" w:space="0" w:color="auto" w:frame="1"/>
                <w:shd w:val="clear" w:color="auto" w:fill="4BAFBE"/>
                <w:lang w:val="en-GB"/>
              </w:rPr>
              <w:t>ELL</w:t>
            </w:r>
            <w:r w:rsidRPr="00E97FC1">
              <w:rPr>
                <w:rFonts w:ascii="Courier New" w:eastAsia="Times New Roman" w:hAnsi="Courier New" w:cs="Courier New"/>
                <w:b/>
                <w:bCs/>
                <w:color w:val="000000"/>
                <w:sz w:val="25"/>
                <w:szCs w:val="25"/>
                <w:bdr w:val="none" w:sz="0" w:space="0" w:color="auto" w:frame="1"/>
                <w:shd w:val="clear" w:color="auto" w:fill="D7F0F0"/>
                <w:lang w:val="en-GB"/>
              </w:rPr>
              <w:t>VL</w:t>
            </w:r>
            <w:r w:rsidRPr="00E97FC1">
              <w:rPr>
                <w:rFonts w:ascii="Courier New" w:eastAsia="Times New Roman" w:hAnsi="Courier New" w:cs="Courier New"/>
                <w:b/>
                <w:bCs/>
                <w:color w:val="000000"/>
                <w:sz w:val="25"/>
                <w:szCs w:val="25"/>
                <w:bdr w:val="none" w:sz="0" w:space="0" w:color="auto" w:frame="1"/>
                <w:lang w:val="en-GB"/>
              </w:rPr>
              <w:t> </w:t>
            </w:r>
            <w:r w:rsidRPr="00E97FC1">
              <w:rPr>
                <w:rFonts w:ascii="Courier New" w:eastAsia="Times New Roman" w:hAnsi="Courier New" w:cs="Courier New"/>
                <w:b/>
                <w:bCs/>
                <w:color w:val="FFFFFF"/>
                <w:sz w:val="25"/>
                <w:szCs w:val="25"/>
                <w:bdr w:val="none" w:sz="0" w:space="0" w:color="auto" w:frame="1"/>
                <w:shd w:val="clear" w:color="auto" w:fill="0A7D82"/>
                <w:lang w:val="en-GB"/>
              </w:rPr>
              <w:t>G</w:t>
            </w:r>
            <w:r w:rsidRPr="00E97FC1">
              <w:rPr>
                <w:rFonts w:ascii="Courier New" w:eastAsia="Times New Roman" w:hAnsi="Courier New" w:cs="Courier New"/>
                <w:b/>
                <w:bCs/>
                <w:color w:val="000000"/>
                <w:sz w:val="25"/>
                <w:szCs w:val="25"/>
                <w:bdr w:val="none" w:sz="0" w:space="0" w:color="auto" w:frame="1"/>
                <w:shd w:val="clear" w:color="auto" w:fill="D7F0F0"/>
                <w:lang w:val="en-GB"/>
              </w:rPr>
              <w:t>V</w:t>
            </w:r>
            <w:r w:rsidRPr="00E97FC1">
              <w:rPr>
                <w:rFonts w:ascii="Courier New" w:eastAsia="Times New Roman" w:hAnsi="Courier New" w:cs="Courier New"/>
                <w:b/>
                <w:bCs/>
                <w:color w:val="000000"/>
                <w:sz w:val="25"/>
                <w:szCs w:val="25"/>
                <w:bdr w:val="none" w:sz="0" w:space="0" w:color="auto" w:frame="1"/>
                <w:shd w:val="clear" w:color="auto" w:fill="F07DAA"/>
                <w:lang w:val="en-GB"/>
              </w:rPr>
              <w:t>Y</w:t>
            </w:r>
            <w:r w:rsidRPr="00E97FC1">
              <w:rPr>
                <w:rFonts w:ascii="Courier New" w:eastAsia="Times New Roman" w:hAnsi="Courier New" w:cs="Courier New"/>
                <w:b/>
                <w:bCs/>
                <w:color w:val="FFFFFF"/>
                <w:sz w:val="25"/>
                <w:szCs w:val="25"/>
                <w:bdr w:val="none" w:sz="0" w:space="0" w:color="auto" w:frame="1"/>
                <w:shd w:val="clear" w:color="auto" w:fill="0A7D82"/>
                <w:lang w:val="en-GB"/>
              </w:rPr>
              <w:t>GA</w:t>
            </w:r>
            <w:r w:rsidRPr="00E97FC1">
              <w:rPr>
                <w:rFonts w:ascii="Courier New" w:eastAsia="Times New Roman" w:hAnsi="Courier New" w:cs="Courier New"/>
                <w:b/>
                <w:bCs/>
                <w:color w:val="000000"/>
                <w:sz w:val="25"/>
                <w:szCs w:val="25"/>
                <w:bdr w:val="none" w:sz="0" w:space="0" w:color="auto" w:frame="1"/>
                <w:shd w:val="clear" w:color="auto" w:fill="FAC8DC"/>
                <w:lang w:val="en-GB"/>
              </w:rPr>
              <w:t>L</w:t>
            </w:r>
            <w:r w:rsidRPr="00E97FC1">
              <w:rPr>
                <w:rFonts w:ascii="Courier New" w:eastAsia="Times New Roman" w:hAnsi="Courier New" w:cs="Courier New"/>
                <w:b/>
                <w:bCs/>
                <w:color w:val="000000"/>
                <w:sz w:val="25"/>
                <w:szCs w:val="25"/>
                <w:bdr w:val="none" w:sz="0" w:space="0" w:color="auto" w:frame="1"/>
                <w:shd w:val="clear" w:color="auto" w:fill="FFFFFF"/>
                <w:lang w:val="en-GB"/>
              </w:rPr>
              <w:t>A</w:t>
            </w:r>
            <w:r w:rsidRPr="00E97FC1">
              <w:rPr>
                <w:rFonts w:ascii="Courier New" w:eastAsia="Times New Roman" w:hAnsi="Courier New" w:cs="Courier New"/>
                <w:b/>
                <w:bCs/>
                <w:color w:val="000000"/>
                <w:sz w:val="25"/>
                <w:szCs w:val="25"/>
                <w:bdr w:val="none" w:sz="0" w:space="0" w:color="auto" w:frame="1"/>
                <w:shd w:val="clear" w:color="auto" w:fill="A5DCE6"/>
                <w:lang w:val="en-GB"/>
              </w:rPr>
              <w:t>G</w:t>
            </w:r>
            <w:r w:rsidRPr="00E97FC1">
              <w:rPr>
                <w:rFonts w:ascii="Courier New" w:eastAsia="Times New Roman" w:hAnsi="Courier New" w:cs="Courier New"/>
                <w:b/>
                <w:bCs/>
                <w:color w:val="000000"/>
                <w:sz w:val="25"/>
                <w:szCs w:val="25"/>
                <w:bdr w:val="none" w:sz="0" w:space="0" w:color="auto" w:frame="1"/>
                <w:shd w:val="clear" w:color="auto" w:fill="4BAFBE"/>
                <w:lang w:val="en-GB"/>
              </w:rPr>
              <w:t>L</w:t>
            </w:r>
            <w:r w:rsidRPr="00E97FC1">
              <w:rPr>
                <w:rFonts w:ascii="Courier New" w:eastAsia="Times New Roman" w:hAnsi="Courier New" w:cs="Courier New"/>
                <w:b/>
                <w:bCs/>
                <w:color w:val="FFFFFF"/>
                <w:sz w:val="25"/>
                <w:szCs w:val="25"/>
                <w:bdr w:val="none" w:sz="0" w:space="0" w:color="auto" w:frame="1"/>
                <w:shd w:val="clear" w:color="auto" w:fill="A0285F"/>
                <w:lang w:val="en-GB"/>
              </w:rPr>
              <w:t>Y</w:t>
            </w:r>
            <w:r w:rsidRPr="00E97FC1">
              <w:rPr>
                <w:rFonts w:ascii="Courier New" w:eastAsia="Times New Roman" w:hAnsi="Courier New" w:cs="Courier New"/>
                <w:b/>
                <w:bCs/>
                <w:color w:val="000000"/>
                <w:sz w:val="25"/>
                <w:szCs w:val="25"/>
                <w:bdr w:val="none" w:sz="0" w:space="0" w:color="auto" w:frame="1"/>
                <w:lang w:val="en-GB"/>
              </w:rPr>
              <w:t> </w:t>
            </w:r>
            <w:r w:rsidRPr="00E97FC1">
              <w:rPr>
                <w:rFonts w:ascii="Courier New" w:eastAsia="Times New Roman" w:hAnsi="Courier New" w:cs="Courier New"/>
                <w:b/>
                <w:bCs/>
                <w:color w:val="FFFFFF"/>
                <w:sz w:val="25"/>
                <w:szCs w:val="25"/>
                <w:bdr w:val="none" w:sz="0" w:space="0" w:color="auto" w:frame="1"/>
                <w:shd w:val="clear" w:color="auto" w:fill="A0285F"/>
                <w:lang w:val="en-GB"/>
              </w:rPr>
              <w:t>L</w:t>
            </w:r>
            <w:r w:rsidRPr="00E97FC1">
              <w:rPr>
                <w:rFonts w:ascii="Courier New" w:eastAsia="Times New Roman" w:hAnsi="Courier New" w:cs="Courier New"/>
                <w:b/>
                <w:bCs/>
                <w:color w:val="000000"/>
                <w:sz w:val="25"/>
                <w:szCs w:val="25"/>
                <w:bdr w:val="none" w:sz="0" w:space="0" w:color="auto" w:frame="1"/>
                <w:shd w:val="clear" w:color="auto" w:fill="D7F0F0"/>
                <w:lang w:val="en-GB"/>
              </w:rPr>
              <w:t>L</w:t>
            </w:r>
            <w:r w:rsidRPr="00E97FC1">
              <w:rPr>
                <w:rFonts w:ascii="Courier New" w:eastAsia="Times New Roman" w:hAnsi="Courier New" w:cs="Courier New"/>
                <w:b/>
                <w:bCs/>
                <w:color w:val="000000"/>
                <w:sz w:val="25"/>
                <w:szCs w:val="25"/>
                <w:bdr w:val="none" w:sz="0" w:space="0" w:color="auto" w:frame="1"/>
                <w:shd w:val="clear" w:color="auto" w:fill="FAC8DC"/>
                <w:lang w:val="en-GB"/>
              </w:rPr>
              <w:t>V</w:t>
            </w:r>
            <w:r w:rsidRPr="00E97FC1">
              <w:rPr>
                <w:rFonts w:ascii="Courier New" w:eastAsia="Times New Roman" w:hAnsi="Courier New" w:cs="Courier New"/>
                <w:b/>
                <w:bCs/>
                <w:color w:val="FFFFFF"/>
                <w:sz w:val="25"/>
                <w:szCs w:val="25"/>
                <w:bdr w:val="none" w:sz="0" w:space="0" w:color="auto" w:frame="1"/>
                <w:shd w:val="clear" w:color="auto" w:fill="0A7D82"/>
                <w:lang w:val="en-GB"/>
              </w:rPr>
              <w:t>V</w:t>
            </w:r>
            <w:r w:rsidRPr="00E97FC1">
              <w:rPr>
                <w:rFonts w:ascii="Courier New" w:eastAsia="Times New Roman" w:hAnsi="Courier New" w:cs="Courier New"/>
                <w:b/>
                <w:bCs/>
                <w:color w:val="FFFFFF"/>
                <w:sz w:val="25"/>
                <w:szCs w:val="25"/>
                <w:bdr w:val="none" w:sz="0" w:space="0" w:color="auto" w:frame="1"/>
                <w:shd w:val="clear" w:color="auto" w:fill="A0285F"/>
                <w:lang w:val="en-GB"/>
              </w:rPr>
              <w:t>P</w:t>
            </w:r>
            <w:r w:rsidRPr="00E97FC1">
              <w:rPr>
                <w:rFonts w:ascii="Courier New" w:eastAsia="Times New Roman" w:hAnsi="Courier New" w:cs="Courier New"/>
                <w:b/>
                <w:bCs/>
                <w:color w:val="FFFFFF"/>
                <w:sz w:val="25"/>
                <w:szCs w:val="25"/>
                <w:bdr w:val="none" w:sz="0" w:space="0" w:color="auto" w:frame="1"/>
                <w:shd w:val="clear" w:color="auto" w:fill="0A7D82"/>
                <w:lang w:val="en-GB"/>
              </w:rPr>
              <w:t>AI</w:t>
            </w:r>
            <w:r w:rsidRPr="00E97FC1">
              <w:rPr>
                <w:rFonts w:ascii="Courier New" w:eastAsia="Times New Roman" w:hAnsi="Courier New" w:cs="Courier New"/>
                <w:b/>
                <w:bCs/>
                <w:color w:val="000000"/>
                <w:sz w:val="25"/>
                <w:szCs w:val="25"/>
                <w:bdr w:val="none" w:sz="0" w:space="0" w:color="auto" w:frame="1"/>
                <w:shd w:val="clear" w:color="auto" w:fill="A5DCE6"/>
                <w:lang w:val="en-GB"/>
              </w:rPr>
              <w:t>VY</w:t>
            </w:r>
            <w:r w:rsidRPr="00E97FC1">
              <w:rPr>
                <w:rFonts w:ascii="Courier New" w:eastAsia="Times New Roman" w:hAnsi="Courier New" w:cs="Courier New"/>
                <w:b/>
                <w:bCs/>
                <w:color w:val="FFFFFF"/>
                <w:sz w:val="25"/>
                <w:szCs w:val="25"/>
                <w:bdr w:val="none" w:sz="0" w:space="0" w:color="auto" w:frame="1"/>
                <w:shd w:val="clear" w:color="auto" w:fill="0A7D82"/>
                <w:lang w:val="en-GB"/>
              </w:rPr>
              <w:t>A</w:t>
            </w:r>
            <w:r w:rsidRPr="00E97FC1">
              <w:rPr>
                <w:rFonts w:ascii="Courier New" w:eastAsia="Times New Roman" w:hAnsi="Courier New" w:cs="Courier New"/>
                <w:b/>
                <w:bCs/>
                <w:color w:val="000000"/>
                <w:sz w:val="25"/>
                <w:szCs w:val="25"/>
                <w:bdr w:val="none" w:sz="0" w:space="0" w:color="auto" w:frame="1"/>
                <w:lang w:val="en-GB"/>
              </w:rPr>
              <w:t> </w:t>
            </w:r>
            <w:r w:rsidRPr="00E97FC1">
              <w:rPr>
                <w:rFonts w:ascii="Courier New" w:eastAsia="Times New Roman" w:hAnsi="Courier New" w:cs="Courier New"/>
                <w:b/>
                <w:bCs/>
                <w:color w:val="FFFFFF"/>
                <w:sz w:val="25"/>
                <w:szCs w:val="25"/>
                <w:bdr w:val="none" w:sz="0" w:space="0" w:color="auto" w:frame="1"/>
                <w:shd w:val="clear" w:color="auto" w:fill="A0285F"/>
                <w:lang w:val="en-GB"/>
              </w:rPr>
              <w:t>Y</w:t>
            </w:r>
            <w:r w:rsidRPr="00E97FC1">
              <w:rPr>
                <w:rFonts w:ascii="Courier New" w:eastAsia="Times New Roman" w:hAnsi="Courier New" w:cs="Courier New"/>
                <w:b/>
                <w:bCs/>
                <w:color w:val="000000"/>
                <w:sz w:val="25"/>
                <w:szCs w:val="25"/>
                <w:bdr w:val="none" w:sz="0" w:space="0" w:color="auto" w:frame="1"/>
                <w:shd w:val="clear" w:color="auto" w:fill="F07DAA"/>
                <w:lang w:val="en-GB"/>
              </w:rPr>
              <w:t>L</w:t>
            </w:r>
            <w:r w:rsidRPr="00E97FC1">
              <w:rPr>
                <w:rFonts w:ascii="Courier New" w:eastAsia="Times New Roman" w:hAnsi="Courier New" w:cs="Courier New"/>
                <w:b/>
                <w:bCs/>
                <w:color w:val="000000"/>
                <w:sz w:val="25"/>
                <w:szCs w:val="25"/>
                <w:bdr w:val="none" w:sz="0" w:space="0" w:color="auto" w:frame="1"/>
                <w:shd w:val="clear" w:color="auto" w:fill="A5DCE6"/>
                <w:lang w:val="en-GB"/>
              </w:rPr>
              <w:t>N</w:t>
            </w:r>
            <w:r w:rsidRPr="00E97FC1">
              <w:rPr>
                <w:rFonts w:ascii="Courier New" w:eastAsia="Times New Roman" w:hAnsi="Courier New" w:cs="Courier New"/>
                <w:b/>
                <w:bCs/>
                <w:color w:val="FFFFFF"/>
                <w:sz w:val="25"/>
                <w:szCs w:val="25"/>
                <w:bdr w:val="none" w:sz="0" w:space="0" w:color="auto" w:frame="1"/>
                <w:shd w:val="clear" w:color="auto" w:fill="0A7D82"/>
                <w:lang w:val="en-GB"/>
              </w:rPr>
              <w:t>A</w:t>
            </w:r>
            <w:r w:rsidRPr="00E97FC1">
              <w:rPr>
                <w:rFonts w:ascii="Courier New" w:eastAsia="Times New Roman" w:hAnsi="Courier New" w:cs="Courier New"/>
                <w:b/>
                <w:bCs/>
                <w:color w:val="FFFFFF"/>
                <w:sz w:val="25"/>
                <w:szCs w:val="25"/>
                <w:bdr w:val="none" w:sz="0" w:space="0" w:color="auto" w:frame="1"/>
                <w:shd w:val="clear" w:color="auto" w:fill="A0285F"/>
                <w:lang w:val="en-GB"/>
              </w:rPr>
              <w:t>RW</w:t>
            </w:r>
            <w:r w:rsidRPr="00E97FC1">
              <w:rPr>
                <w:rFonts w:ascii="Courier New" w:eastAsia="Times New Roman" w:hAnsi="Courier New" w:cs="Courier New"/>
                <w:b/>
                <w:bCs/>
                <w:color w:val="000000"/>
                <w:sz w:val="25"/>
                <w:szCs w:val="25"/>
                <w:bdr w:val="none" w:sz="0" w:space="0" w:color="auto" w:frame="1"/>
                <w:shd w:val="clear" w:color="auto" w:fill="FAEBF5"/>
                <w:lang w:val="en-GB"/>
              </w:rPr>
              <w:t>Y</w:t>
            </w:r>
            <w:r w:rsidRPr="00E97FC1">
              <w:rPr>
                <w:rFonts w:ascii="Courier New" w:eastAsia="Times New Roman" w:hAnsi="Courier New" w:cs="Courier New"/>
                <w:b/>
                <w:bCs/>
                <w:color w:val="000000"/>
                <w:sz w:val="25"/>
                <w:szCs w:val="25"/>
                <w:bdr w:val="none" w:sz="0" w:space="0" w:color="auto" w:frame="1"/>
                <w:shd w:val="clear" w:color="auto" w:fill="A5DCE6"/>
                <w:lang w:val="en-GB"/>
              </w:rPr>
              <w:t>V</w:t>
            </w:r>
            <w:r w:rsidRPr="00E97FC1">
              <w:rPr>
                <w:rFonts w:ascii="Courier New" w:eastAsia="Times New Roman" w:hAnsi="Courier New" w:cs="Courier New"/>
                <w:b/>
                <w:bCs/>
                <w:color w:val="000000"/>
                <w:sz w:val="25"/>
                <w:szCs w:val="25"/>
                <w:bdr w:val="none" w:sz="0" w:space="0" w:color="auto" w:frame="1"/>
                <w:shd w:val="clear" w:color="auto" w:fill="FAC8DC"/>
                <w:lang w:val="en-GB"/>
              </w:rPr>
              <w:t>A</w:t>
            </w:r>
            <w:r w:rsidRPr="00E97FC1">
              <w:rPr>
                <w:rFonts w:ascii="Courier New" w:eastAsia="Times New Roman" w:hAnsi="Courier New" w:cs="Courier New"/>
                <w:b/>
                <w:bCs/>
                <w:color w:val="000000"/>
                <w:sz w:val="25"/>
                <w:szCs w:val="25"/>
                <w:bdr w:val="none" w:sz="0" w:space="0" w:color="auto" w:frame="1"/>
                <w:shd w:val="clear" w:color="auto" w:fill="FAEBF5"/>
                <w:lang w:val="en-GB"/>
              </w:rPr>
              <w:t>S</w:t>
            </w:r>
            <w:r w:rsidRPr="00E97FC1">
              <w:rPr>
                <w:rFonts w:ascii="Courier New" w:eastAsia="Times New Roman" w:hAnsi="Courier New" w:cs="Courier New"/>
                <w:b/>
                <w:bCs/>
                <w:color w:val="000000"/>
                <w:sz w:val="25"/>
                <w:szCs w:val="25"/>
                <w:bdr w:val="none" w:sz="0" w:space="0" w:color="auto" w:frame="1"/>
                <w:lang w:val="en-GB"/>
              </w:rPr>
              <w:t> </w:t>
            </w:r>
            <w:r w:rsidRPr="00E97FC1">
              <w:rPr>
                <w:rFonts w:ascii="Courier New" w:eastAsia="Times New Roman" w:hAnsi="Courier New" w:cs="Courier New"/>
                <w:b/>
                <w:bCs/>
                <w:color w:val="FFFFFF"/>
                <w:sz w:val="25"/>
                <w:szCs w:val="25"/>
                <w:bdr w:val="none" w:sz="0" w:space="0" w:color="auto" w:frame="1"/>
                <w:shd w:val="clear" w:color="auto" w:fill="A0285F"/>
                <w:lang w:val="en-GB"/>
              </w:rPr>
              <w:t>S</w:t>
            </w:r>
            <w:r w:rsidRPr="00E97FC1">
              <w:rPr>
                <w:rFonts w:ascii="Courier New" w:eastAsia="Times New Roman" w:hAnsi="Courier New" w:cs="Courier New"/>
                <w:b/>
                <w:bCs/>
                <w:color w:val="FFFFFF"/>
                <w:sz w:val="25"/>
                <w:szCs w:val="25"/>
                <w:bdr w:val="none" w:sz="0" w:space="0" w:color="auto" w:frame="1"/>
                <w:shd w:val="clear" w:color="auto" w:fill="0A7D82"/>
                <w:lang w:val="en-GB"/>
              </w:rPr>
              <w:t>F</w:t>
            </w:r>
            <w:r w:rsidRPr="00E97FC1">
              <w:rPr>
                <w:rFonts w:ascii="Courier New" w:eastAsia="Times New Roman" w:hAnsi="Courier New" w:cs="Courier New"/>
                <w:b/>
                <w:bCs/>
                <w:color w:val="FFFFFF"/>
                <w:sz w:val="25"/>
                <w:szCs w:val="25"/>
                <w:bdr w:val="none" w:sz="0" w:space="0" w:color="auto" w:frame="1"/>
                <w:shd w:val="clear" w:color="auto" w:fill="A0285F"/>
                <w:lang w:val="en-GB"/>
              </w:rPr>
              <w:t>ER</w:t>
            </w:r>
            <w:r w:rsidRPr="00E97FC1">
              <w:rPr>
                <w:rFonts w:ascii="Courier New" w:eastAsia="Times New Roman" w:hAnsi="Courier New" w:cs="Courier New"/>
                <w:b/>
                <w:bCs/>
                <w:color w:val="FFFFFF"/>
                <w:sz w:val="25"/>
                <w:szCs w:val="25"/>
                <w:bdr w:val="none" w:sz="0" w:space="0" w:color="auto" w:frame="1"/>
                <w:shd w:val="clear" w:color="auto" w:fill="0A7D82"/>
                <w:lang w:val="en-GB"/>
              </w:rPr>
              <w:t>A</w:t>
            </w:r>
            <w:r w:rsidRPr="00E97FC1">
              <w:rPr>
                <w:rFonts w:ascii="Courier New" w:eastAsia="Times New Roman" w:hAnsi="Courier New" w:cs="Courier New"/>
                <w:b/>
                <w:bCs/>
                <w:color w:val="000000"/>
                <w:sz w:val="25"/>
                <w:szCs w:val="25"/>
                <w:bdr w:val="none" w:sz="0" w:space="0" w:color="auto" w:frame="1"/>
                <w:shd w:val="clear" w:color="auto" w:fill="4BAFBE"/>
                <w:lang w:val="en-GB"/>
              </w:rPr>
              <w:t>F</w:t>
            </w:r>
            <w:r w:rsidRPr="00E97FC1">
              <w:rPr>
                <w:rFonts w:ascii="Courier New" w:eastAsia="Times New Roman" w:hAnsi="Courier New" w:cs="Courier New"/>
                <w:b/>
                <w:bCs/>
                <w:color w:val="000000"/>
                <w:sz w:val="25"/>
                <w:szCs w:val="25"/>
                <w:bdr w:val="none" w:sz="0" w:space="0" w:color="auto" w:frame="1"/>
                <w:shd w:val="clear" w:color="auto" w:fill="F07DAA"/>
                <w:lang w:val="en-GB"/>
              </w:rPr>
              <w:t>M</w:t>
            </w:r>
            <w:r w:rsidRPr="00E97FC1">
              <w:rPr>
                <w:rFonts w:ascii="Courier New" w:eastAsia="Times New Roman" w:hAnsi="Courier New" w:cs="Courier New"/>
                <w:b/>
                <w:bCs/>
                <w:color w:val="FFFFFF"/>
                <w:sz w:val="25"/>
                <w:szCs w:val="25"/>
                <w:bdr w:val="none" w:sz="0" w:space="0" w:color="auto" w:frame="1"/>
                <w:shd w:val="clear" w:color="auto" w:fill="A0285F"/>
                <w:lang w:val="en-GB"/>
              </w:rPr>
              <w:t>Y</w:t>
            </w:r>
            <w:r w:rsidRPr="00E97FC1">
              <w:rPr>
                <w:rFonts w:ascii="Courier New" w:eastAsia="Times New Roman" w:hAnsi="Courier New" w:cs="Courier New"/>
                <w:b/>
                <w:bCs/>
                <w:color w:val="000000"/>
                <w:sz w:val="25"/>
                <w:szCs w:val="25"/>
                <w:bdr w:val="none" w:sz="0" w:space="0" w:color="auto" w:frame="1"/>
                <w:shd w:val="clear" w:color="auto" w:fill="FAC8DC"/>
                <w:lang w:val="en-GB"/>
              </w:rPr>
              <w:t>F</w:t>
            </w:r>
            <w:r w:rsidRPr="00E97FC1">
              <w:rPr>
                <w:rFonts w:ascii="Courier New" w:eastAsia="Times New Roman" w:hAnsi="Courier New" w:cs="Courier New"/>
                <w:b/>
                <w:bCs/>
                <w:color w:val="000000"/>
                <w:sz w:val="25"/>
                <w:szCs w:val="25"/>
                <w:bdr w:val="none" w:sz="0" w:space="0" w:color="auto" w:frame="1"/>
                <w:shd w:val="clear" w:color="auto" w:fill="FFFFFF"/>
                <w:lang w:val="en-GB"/>
              </w:rPr>
              <w:t>L</w:t>
            </w:r>
          </w:p>
        </w:tc>
      </w:tr>
      <w:tr w:rsidR="00CC32F9" w:rsidRPr="00E97FC1" w14:paraId="1E1D26F5" w14:textId="77777777" w:rsidTr="001221BB">
        <w:tc>
          <w:tcPr>
            <w:tcW w:w="0" w:type="auto"/>
            <w:shd w:val="clear" w:color="auto" w:fill="FFFFFF"/>
            <w:vAlign w:val="center"/>
            <w:hideMark/>
          </w:tcPr>
          <w:p w14:paraId="3EFF29F0" w14:textId="072BA1F6" w:rsidR="00CC32F9" w:rsidRPr="00E97FC1" w:rsidRDefault="00CC32F9" w:rsidP="001221BB">
            <w:pPr>
              <w:spacing w:line="240" w:lineRule="auto"/>
              <w:rPr>
                <w:rFonts w:ascii="Courier New" w:eastAsia="Times New Roman" w:hAnsi="Courier New" w:cs="Courier New"/>
                <w:b/>
                <w:bCs/>
                <w:color w:val="000000"/>
                <w:sz w:val="25"/>
                <w:szCs w:val="25"/>
                <w:bdr w:val="none" w:sz="0" w:space="0" w:color="auto" w:frame="1"/>
                <w:shd w:val="clear" w:color="auto" w:fill="F07DAA"/>
                <w:lang w:val="en-GB"/>
              </w:rPr>
            </w:pPr>
            <w:r w:rsidRPr="00E97FC1">
              <w:rPr>
                <w:rFonts w:ascii="Courier New" w:eastAsia="Times New Roman" w:hAnsi="Courier New" w:cs="Courier New"/>
                <w:color w:val="000000"/>
                <w:sz w:val="25"/>
                <w:szCs w:val="25"/>
                <w:lang w:val="en-GB"/>
              </w:rPr>
              <w:t>51         61         71         </w:t>
            </w:r>
            <w:r w:rsidRPr="00E97FC1">
              <w:rPr>
                <w:rFonts w:ascii="Arial" w:eastAsia="Times New Roman" w:hAnsi="Arial" w:cs="Arial"/>
                <w:color w:val="000000"/>
                <w:sz w:val="25"/>
                <w:szCs w:val="25"/>
                <w:lang w:val="en-GB"/>
              </w:rPr>
              <w:br/>
            </w:r>
            <w:r w:rsidRPr="00E97FC1">
              <w:rPr>
                <w:rFonts w:ascii="Courier New" w:eastAsia="Times New Roman" w:hAnsi="Courier New" w:cs="Courier New"/>
                <w:b/>
                <w:bCs/>
                <w:color w:val="000000"/>
                <w:sz w:val="25"/>
                <w:szCs w:val="25"/>
                <w:bdr w:val="none" w:sz="0" w:space="0" w:color="auto" w:frame="1"/>
                <w:shd w:val="clear" w:color="auto" w:fill="F07DAA"/>
                <w:lang w:val="en-GB"/>
              </w:rPr>
              <w:t>V</w:t>
            </w:r>
            <w:r w:rsidRPr="00E97FC1">
              <w:rPr>
                <w:rFonts w:ascii="Courier New" w:eastAsia="Times New Roman" w:hAnsi="Courier New" w:cs="Courier New"/>
                <w:b/>
                <w:bCs/>
                <w:color w:val="FFFFFF"/>
                <w:sz w:val="25"/>
                <w:szCs w:val="25"/>
                <w:bdr w:val="none" w:sz="0" w:space="0" w:color="auto" w:frame="1"/>
                <w:shd w:val="clear" w:color="auto" w:fill="A0285F"/>
                <w:lang w:val="en-GB"/>
              </w:rPr>
              <w:t>T</w:t>
            </w:r>
            <w:r w:rsidRPr="00E97FC1">
              <w:rPr>
                <w:rFonts w:ascii="Courier New" w:eastAsia="Times New Roman" w:hAnsi="Courier New" w:cs="Courier New"/>
                <w:b/>
                <w:bCs/>
                <w:color w:val="000000"/>
                <w:sz w:val="25"/>
                <w:szCs w:val="25"/>
                <w:bdr w:val="none" w:sz="0" w:space="0" w:color="auto" w:frame="1"/>
                <w:shd w:val="clear" w:color="auto" w:fill="FAEBF5"/>
                <w:lang w:val="en-GB"/>
              </w:rPr>
              <w:t>F</w:t>
            </w:r>
            <w:r w:rsidRPr="00E97FC1">
              <w:rPr>
                <w:rFonts w:ascii="Courier New" w:eastAsia="Times New Roman" w:hAnsi="Courier New" w:cs="Courier New"/>
                <w:b/>
                <w:bCs/>
                <w:color w:val="000000"/>
                <w:sz w:val="25"/>
                <w:szCs w:val="25"/>
                <w:bdr w:val="none" w:sz="0" w:space="0" w:color="auto" w:frame="1"/>
                <w:shd w:val="clear" w:color="auto" w:fill="FAC8DC"/>
                <w:lang w:val="en-GB"/>
              </w:rPr>
              <w:t>F</w:t>
            </w:r>
            <w:r w:rsidRPr="00E97FC1">
              <w:rPr>
                <w:rFonts w:ascii="Courier New" w:eastAsia="Times New Roman" w:hAnsi="Courier New" w:cs="Courier New"/>
                <w:b/>
                <w:bCs/>
                <w:color w:val="FFFFFF"/>
                <w:sz w:val="25"/>
                <w:szCs w:val="25"/>
                <w:bdr w:val="none" w:sz="0" w:space="0" w:color="auto" w:frame="1"/>
                <w:shd w:val="clear" w:color="auto" w:fill="A0285F"/>
                <w:lang w:val="en-GB"/>
              </w:rPr>
              <w:t>FPG</w:t>
            </w:r>
            <w:r w:rsidRPr="00E97FC1">
              <w:rPr>
                <w:rFonts w:ascii="Courier New" w:eastAsia="Times New Roman" w:hAnsi="Courier New" w:cs="Courier New"/>
                <w:b/>
                <w:bCs/>
                <w:color w:val="000000"/>
                <w:sz w:val="25"/>
                <w:szCs w:val="25"/>
                <w:bdr w:val="none" w:sz="0" w:space="0" w:color="auto" w:frame="1"/>
                <w:shd w:val="clear" w:color="auto" w:fill="FAEBF5"/>
                <w:lang w:val="en-GB"/>
              </w:rPr>
              <w:t>L</w:t>
            </w:r>
            <w:r w:rsidRPr="00E97FC1">
              <w:rPr>
                <w:rFonts w:ascii="Courier New" w:eastAsia="Times New Roman" w:hAnsi="Courier New" w:cs="Courier New"/>
                <w:b/>
                <w:bCs/>
                <w:color w:val="000000"/>
                <w:sz w:val="25"/>
                <w:szCs w:val="25"/>
                <w:bdr w:val="none" w:sz="0" w:space="0" w:color="auto" w:frame="1"/>
                <w:shd w:val="clear" w:color="auto" w:fill="FAC8DC"/>
                <w:lang w:val="en-GB"/>
              </w:rPr>
              <w:t>L</w:t>
            </w:r>
            <w:r w:rsidRPr="00E97FC1">
              <w:rPr>
                <w:rFonts w:ascii="Courier New" w:eastAsia="Times New Roman" w:hAnsi="Courier New" w:cs="Courier New"/>
                <w:b/>
                <w:bCs/>
                <w:color w:val="000000"/>
                <w:sz w:val="25"/>
                <w:szCs w:val="25"/>
                <w:bdr w:val="none" w:sz="0" w:space="0" w:color="auto" w:frame="1"/>
                <w:shd w:val="clear" w:color="auto" w:fill="FAEBF5"/>
                <w:lang w:val="en-GB"/>
              </w:rPr>
              <w:t>L</w:t>
            </w:r>
            <w:r w:rsidRPr="00E97FC1">
              <w:rPr>
                <w:rFonts w:ascii="Courier New" w:eastAsia="Times New Roman" w:hAnsi="Courier New" w:cs="Courier New"/>
                <w:b/>
                <w:bCs/>
                <w:color w:val="000000"/>
                <w:sz w:val="25"/>
                <w:szCs w:val="25"/>
                <w:bdr w:val="none" w:sz="0" w:space="0" w:color="auto" w:frame="1"/>
                <w:lang w:val="en-GB"/>
              </w:rPr>
              <w:t> </w:t>
            </w:r>
            <w:r w:rsidRPr="00E97FC1">
              <w:rPr>
                <w:rFonts w:ascii="Courier New" w:eastAsia="Times New Roman" w:hAnsi="Courier New" w:cs="Courier New"/>
                <w:b/>
                <w:bCs/>
                <w:color w:val="000000"/>
                <w:sz w:val="25"/>
                <w:szCs w:val="25"/>
                <w:bdr w:val="none" w:sz="0" w:space="0" w:color="auto" w:frame="1"/>
                <w:shd w:val="clear" w:color="auto" w:fill="FAEBF5"/>
                <w:lang w:val="en-GB"/>
              </w:rPr>
              <w:t>L</w:t>
            </w:r>
            <w:r w:rsidRPr="00E97FC1">
              <w:rPr>
                <w:rFonts w:ascii="Courier New" w:eastAsia="Times New Roman" w:hAnsi="Courier New" w:cs="Courier New"/>
                <w:b/>
                <w:bCs/>
                <w:color w:val="000000"/>
                <w:sz w:val="25"/>
                <w:szCs w:val="25"/>
                <w:bdr w:val="none" w:sz="0" w:space="0" w:color="auto" w:frame="1"/>
                <w:shd w:val="clear" w:color="auto" w:fill="FAC8DC"/>
                <w:lang w:val="en-GB"/>
              </w:rPr>
              <w:t>A</w:t>
            </w:r>
            <w:r w:rsidRPr="00E97FC1">
              <w:rPr>
                <w:rFonts w:ascii="Courier New" w:eastAsia="Times New Roman" w:hAnsi="Courier New" w:cs="Courier New"/>
                <w:b/>
                <w:bCs/>
                <w:color w:val="FFFFFF"/>
                <w:sz w:val="25"/>
                <w:szCs w:val="25"/>
                <w:bdr w:val="none" w:sz="0" w:space="0" w:color="auto" w:frame="1"/>
                <w:shd w:val="clear" w:color="auto" w:fill="A0285F"/>
                <w:lang w:val="en-GB"/>
              </w:rPr>
              <w:t>P</w:t>
            </w:r>
            <w:r w:rsidRPr="00E97FC1">
              <w:rPr>
                <w:rFonts w:ascii="Courier New" w:eastAsia="Times New Roman" w:hAnsi="Courier New" w:cs="Courier New"/>
                <w:b/>
                <w:bCs/>
                <w:color w:val="000000"/>
                <w:sz w:val="25"/>
                <w:szCs w:val="25"/>
                <w:bdr w:val="none" w:sz="0" w:space="0" w:color="auto" w:frame="1"/>
                <w:shd w:val="clear" w:color="auto" w:fill="FAEBF5"/>
                <w:lang w:val="en-GB"/>
              </w:rPr>
              <w:t>FI</w:t>
            </w:r>
            <w:r w:rsidRPr="00E97FC1">
              <w:rPr>
                <w:rFonts w:ascii="Courier New" w:eastAsia="Times New Roman" w:hAnsi="Courier New" w:cs="Courier New"/>
                <w:b/>
                <w:bCs/>
                <w:color w:val="FFFFFF"/>
                <w:sz w:val="25"/>
                <w:szCs w:val="25"/>
                <w:bdr w:val="none" w:sz="0" w:space="0" w:color="auto" w:frame="1"/>
                <w:shd w:val="clear" w:color="auto" w:fill="A0285F"/>
                <w:lang w:val="en-GB"/>
              </w:rPr>
              <w:t>N</w:t>
            </w:r>
            <w:r w:rsidRPr="00E97FC1">
              <w:rPr>
                <w:rFonts w:ascii="Courier New" w:eastAsia="Times New Roman" w:hAnsi="Courier New" w:cs="Courier New"/>
                <w:b/>
                <w:bCs/>
                <w:color w:val="000000"/>
                <w:sz w:val="25"/>
                <w:szCs w:val="25"/>
                <w:bdr w:val="none" w:sz="0" w:space="0" w:color="auto" w:frame="1"/>
                <w:shd w:val="clear" w:color="auto" w:fill="FFFFFF"/>
                <w:lang w:val="en-GB"/>
              </w:rPr>
              <w:t>F</w:t>
            </w:r>
            <w:r w:rsidRPr="00E97FC1">
              <w:rPr>
                <w:rFonts w:ascii="Courier New" w:eastAsia="Times New Roman" w:hAnsi="Courier New" w:cs="Courier New"/>
                <w:b/>
                <w:bCs/>
                <w:color w:val="FFFFFF"/>
                <w:sz w:val="25"/>
                <w:szCs w:val="25"/>
                <w:bdr w:val="none" w:sz="0" w:space="0" w:color="auto" w:frame="1"/>
                <w:shd w:val="clear" w:color="auto" w:fill="A0285F"/>
                <w:lang w:val="en-GB"/>
              </w:rPr>
              <w:t>R</w:t>
            </w:r>
            <w:r w:rsidRPr="00E97FC1">
              <w:rPr>
                <w:rFonts w:ascii="Courier New" w:eastAsia="Times New Roman" w:hAnsi="Courier New" w:cs="Courier New"/>
                <w:b/>
                <w:bCs/>
                <w:color w:val="000000"/>
                <w:sz w:val="25"/>
                <w:szCs w:val="25"/>
                <w:bdr w:val="none" w:sz="0" w:space="0" w:color="auto" w:frame="1"/>
                <w:shd w:val="clear" w:color="auto" w:fill="FAEBF5"/>
                <w:lang w:val="en-GB"/>
              </w:rPr>
              <w:t>P</w:t>
            </w:r>
            <w:r w:rsidRPr="00E97FC1">
              <w:rPr>
                <w:rFonts w:ascii="Courier New" w:eastAsia="Times New Roman" w:hAnsi="Courier New" w:cs="Courier New"/>
                <w:b/>
                <w:bCs/>
                <w:color w:val="000000"/>
                <w:sz w:val="25"/>
                <w:szCs w:val="25"/>
                <w:bdr w:val="none" w:sz="0" w:space="0" w:color="auto" w:frame="1"/>
                <w:shd w:val="clear" w:color="auto" w:fill="A5DCE6"/>
                <w:lang w:val="en-GB"/>
              </w:rPr>
              <w:t>Q</w:t>
            </w:r>
            <w:r w:rsidRPr="00E97FC1">
              <w:rPr>
                <w:rFonts w:ascii="Courier New" w:eastAsia="Times New Roman" w:hAnsi="Courier New" w:cs="Courier New"/>
                <w:b/>
                <w:bCs/>
                <w:color w:val="000000"/>
                <w:sz w:val="25"/>
                <w:szCs w:val="25"/>
                <w:bdr w:val="none" w:sz="0" w:space="0" w:color="auto" w:frame="1"/>
                <w:lang w:val="en-GB"/>
              </w:rPr>
              <w:t> </w:t>
            </w:r>
            <w:r w:rsidRPr="00E97FC1">
              <w:rPr>
                <w:rFonts w:ascii="Courier New" w:eastAsia="Times New Roman" w:hAnsi="Courier New" w:cs="Courier New"/>
                <w:b/>
                <w:bCs/>
                <w:color w:val="FFFFFF"/>
                <w:sz w:val="25"/>
                <w:szCs w:val="25"/>
                <w:bdr w:val="none" w:sz="0" w:space="0" w:color="auto" w:frame="1"/>
                <w:shd w:val="clear" w:color="auto" w:fill="0A7D82"/>
                <w:lang w:val="en-GB"/>
              </w:rPr>
              <w:t>P</w:t>
            </w:r>
            <w:r w:rsidRPr="00E97FC1">
              <w:rPr>
                <w:rFonts w:ascii="Courier New" w:eastAsia="Times New Roman" w:hAnsi="Courier New" w:cs="Courier New"/>
                <w:b/>
                <w:bCs/>
                <w:color w:val="FFFFFF"/>
                <w:sz w:val="25"/>
                <w:szCs w:val="25"/>
                <w:bdr w:val="none" w:sz="0" w:space="0" w:color="auto" w:frame="1"/>
                <w:shd w:val="clear" w:color="auto" w:fill="A0285F"/>
                <w:lang w:val="en-GB"/>
              </w:rPr>
              <w:t>R</w:t>
            </w:r>
            <w:r w:rsidRPr="00E97FC1">
              <w:rPr>
                <w:rFonts w:ascii="Courier New" w:eastAsia="Times New Roman" w:hAnsi="Courier New" w:cs="Courier New"/>
                <w:b/>
                <w:bCs/>
                <w:color w:val="000000"/>
                <w:sz w:val="25"/>
                <w:szCs w:val="25"/>
                <w:bdr w:val="none" w:sz="0" w:space="0" w:color="auto" w:frame="1"/>
                <w:shd w:val="clear" w:color="auto" w:fill="4BAFBE"/>
                <w:lang w:val="en-GB"/>
              </w:rPr>
              <w:t>S</w:t>
            </w:r>
            <w:r w:rsidRPr="00E97FC1">
              <w:rPr>
                <w:rFonts w:ascii="Courier New" w:eastAsia="Times New Roman" w:hAnsi="Courier New" w:cs="Courier New"/>
                <w:b/>
                <w:bCs/>
                <w:color w:val="000000"/>
                <w:sz w:val="25"/>
                <w:szCs w:val="25"/>
                <w:bdr w:val="none" w:sz="0" w:space="0" w:color="auto" w:frame="1"/>
                <w:shd w:val="clear" w:color="auto" w:fill="FFFFFF"/>
                <w:lang w:val="en-GB"/>
              </w:rPr>
              <w:t>L</w:t>
            </w:r>
            <w:r w:rsidRPr="00E97FC1">
              <w:rPr>
                <w:rFonts w:ascii="Courier New" w:eastAsia="Times New Roman" w:hAnsi="Courier New" w:cs="Courier New"/>
                <w:b/>
                <w:bCs/>
                <w:color w:val="FFFFFF"/>
                <w:sz w:val="25"/>
                <w:szCs w:val="25"/>
                <w:bdr w:val="none" w:sz="0" w:space="0" w:color="auto" w:frame="1"/>
                <w:shd w:val="clear" w:color="auto" w:fill="0A7D82"/>
                <w:lang w:val="en-GB"/>
              </w:rPr>
              <w:t>N</w:t>
            </w:r>
            <w:r w:rsidRPr="00E97FC1">
              <w:rPr>
                <w:rFonts w:ascii="Courier New" w:eastAsia="Times New Roman" w:hAnsi="Courier New" w:cs="Courier New"/>
                <w:b/>
                <w:bCs/>
                <w:color w:val="000000"/>
                <w:sz w:val="25"/>
                <w:szCs w:val="25"/>
                <w:bdr w:val="none" w:sz="0" w:space="0" w:color="auto" w:frame="1"/>
                <w:shd w:val="clear" w:color="auto" w:fill="F07DAA"/>
                <w:lang w:val="en-GB"/>
              </w:rPr>
              <w:t>S</w:t>
            </w:r>
          </w:p>
          <w:p w14:paraId="2FF10C92" w14:textId="2D1C3E4E" w:rsidR="00B4120F" w:rsidRDefault="00B4120F" w:rsidP="001221BB">
            <w:pPr>
              <w:spacing w:line="240" w:lineRule="auto"/>
              <w:rPr>
                <w:rFonts w:ascii="Courier New" w:eastAsia="Times New Roman" w:hAnsi="Courier New" w:cs="Courier New"/>
                <w:b/>
                <w:bCs/>
                <w:color w:val="000000"/>
                <w:sz w:val="25"/>
                <w:szCs w:val="25"/>
                <w:bdr w:val="none" w:sz="0" w:space="0" w:color="auto" w:frame="1"/>
                <w:shd w:val="clear" w:color="auto" w:fill="F07DAA"/>
                <w:lang w:val="en-GB"/>
              </w:rPr>
            </w:pPr>
          </w:p>
          <w:p w14:paraId="3ACE969A" w14:textId="77777777" w:rsidR="00901578" w:rsidRPr="00E97FC1" w:rsidRDefault="00901578" w:rsidP="00901578">
            <w:pPr>
              <w:spacing w:line="240" w:lineRule="auto"/>
              <w:rPr>
                <w:rFonts w:ascii="Arial" w:eastAsia="Times New Roman" w:hAnsi="Arial" w:cs="Arial"/>
                <w:b/>
                <w:color w:val="000000"/>
                <w:sz w:val="32"/>
                <w:szCs w:val="25"/>
                <w:lang w:val="en-GB"/>
              </w:rPr>
            </w:pPr>
            <w:r w:rsidRPr="00E97FC1">
              <w:rPr>
                <w:rFonts w:ascii="Arial" w:eastAsia="Times New Roman" w:hAnsi="Arial" w:cs="Arial"/>
                <w:b/>
                <w:color w:val="000000"/>
                <w:sz w:val="32"/>
                <w:szCs w:val="25"/>
                <w:lang w:val="en-GB"/>
              </w:rPr>
              <w:t>B)</w:t>
            </w:r>
          </w:p>
          <w:p w14:paraId="2F8EF37B" w14:textId="77777777" w:rsidR="00901578" w:rsidRPr="00E97FC1" w:rsidRDefault="00901578" w:rsidP="001221BB">
            <w:pPr>
              <w:spacing w:line="240" w:lineRule="auto"/>
              <w:rPr>
                <w:rFonts w:ascii="Courier New" w:eastAsia="Times New Roman" w:hAnsi="Courier New" w:cs="Courier New"/>
                <w:b/>
                <w:bCs/>
                <w:color w:val="000000"/>
                <w:sz w:val="25"/>
                <w:szCs w:val="25"/>
                <w:bdr w:val="none" w:sz="0" w:space="0" w:color="auto" w:frame="1"/>
                <w:shd w:val="clear" w:color="auto" w:fill="F07DAA"/>
                <w:lang w:val="en-GB"/>
              </w:rPr>
            </w:pPr>
          </w:p>
          <w:p w14:paraId="4AAE5C71" w14:textId="5D64D6B7" w:rsidR="00F705B7" w:rsidRPr="00E97FC1" w:rsidRDefault="00FF00BA" w:rsidP="00FF00BA">
            <w:pPr>
              <w:spacing w:line="240" w:lineRule="auto"/>
              <w:rPr>
                <w:rFonts w:ascii="Arial" w:eastAsia="Times New Roman" w:hAnsi="Arial" w:cs="Arial"/>
                <w:color w:val="000000"/>
                <w:sz w:val="25"/>
                <w:szCs w:val="25"/>
                <w:lang w:val="en-GB"/>
              </w:rPr>
            </w:pPr>
            <w:r>
              <w:rPr>
                <w:noProof/>
              </w:rPr>
              <w:drawing>
                <wp:inline distT="0" distB="0" distL="0" distR="0" wp14:anchorId="3CA6E7A6" wp14:editId="16535D7E">
                  <wp:extent cx="5194300" cy="5901690"/>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94300" cy="5901690"/>
                          </a:xfrm>
                          <a:prstGeom prst="rect">
                            <a:avLst/>
                          </a:prstGeom>
                          <a:noFill/>
                        </pic:spPr>
                      </pic:pic>
                    </a:graphicData>
                  </a:graphic>
                </wp:inline>
              </w:drawing>
            </w:r>
          </w:p>
        </w:tc>
      </w:tr>
    </w:tbl>
    <w:p w14:paraId="04E67D85" w14:textId="48A7AD1C" w:rsidR="00CC7652" w:rsidRDefault="00CC7652" w:rsidP="00CC7652">
      <w:pPr>
        <w:pStyle w:val="Caption"/>
      </w:pPr>
      <w:bookmarkStart w:id="141" w:name="_Toc128136643"/>
      <w:r>
        <w:t xml:space="preserve">Figure </w:t>
      </w:r>
      <w:r>
        <w:fldChar w:fldCharType="begin"/>
      </w:r>
      <w:r>
        <w:instrText xml:space="preserve"> STYLEREF 1 \s </w:instrText>
      </w:r>
      <w:r>
        <w:fldChar w:fldCharType="separate"/>
      </w:r>
      <w:r w:rsidR="00ED1816">
        <w:rPr>
          <w:noProof/>
        </w:rPr>
        <w:t>4</w:t>
      </w:r>
      <w:r>
        <w:fldChar w:fldCharType="end"/>
      </w:r>
      <w:r>
        <w:t>.</w:t>
      </w:r>
      <w:r>
        <w:fldChar w:fldCharType="begin"/>
      </w:r>
      <w:r>
        <w:instrText xml:space="preserve"> SEQ Figure \* ARABIC \s 1 </w:instrText>
      </w:r>
      <w:r>
        <w:fldChar w:fldCharType="separate"/>
      </w:r>
      <w:r w:rsidR="00ED1816">
        <w:rPr>
          <w:noProof/>
        </w:rPr>
        <w:t>5</w:t>
      </w:r>
      <w:r>
        <w:fldChar w:fldCharType="end"/>
      </w:r>
      <w:r>
        <w:t xml:space="preserve"> </w:t>
      </w:r>
      <w:r w:rsidRPr="00E97FC1">
        <w:t>ndhL</w:t>
      </w:r>
      <w:r>
        <w:t xml:space="preserve"> conservation</w:t>
      </w:r>
      <w:r w:rsidRPr="00E97FC1">
        <w:t xml:space="preserve"> sequence analysis</w:t>
      </w:r>
      <w:bookmarkEnd w:id="141"/>
    </w:p>
    <w:p w14:paraId="55C2783A" w14:textId="28C767D1" w:rsidR="00CC32F9" w:rsidRPr="00CF7C36" w:rsidRDefault="00901578" w:rsidP="003921D9">
      <w:pPr>
        <w:pStyle w:val="Caption"/>
      </w:pPr>
      <w:r w:rsidRPr="00CF7C36">
        <w:t>A-</w:t>
      </w:r>
      <w:r w:rsidR="003921D9" w:rsidRPr="00CF7C36">
        <w:t>B) Conservation profile. Residues a coloured by conservation score using web-server ConSurf</w:t>
      </w:r>
      <w:r w:rsidR="001221BB" w:rsidRPr="00CF7C36">
        <w:t xml:space="preserve"> </w:t>
      </w:r>
      <w:r w:rsidR="001221BB" w:rsidRPr="00CF7C36">
        <w:fldChar w:fldCharType="begin" w:fldLock="1"/>
      </w:r>
      <w:r w:rsidR="00776703" w:rsidRPr="00CF7C36">
        <w:instrText>ADDIN CSL_CITATION {"citationItems":[{"id":"ITEM-1","itemData":{"DOI":"10.1093/nar/gkw408","ISSN":"1362-4962 (Electronic)","PMID":"27166375","abstract":"The degree of evolutionary conservation of an amino acid in a protein or a  nucleic acid in DNA/RNA reflects a balance between its natural tendency to mutate and the overall need to retain the structural integrity and function of the macromolecule. The ConSurf web server (http://consurf.tau.ac.il), established over 15 years ago, analyses the evolutionary pattern of the amino/nucleic acids of the macromolecule to reveal regions that are important for structure and/or function. Starting from a query sequence or structure, the server automatically collects homologues, infers their multiple sequence alignment and reconstructs a phylogenetic tree that reflects their evolutionary relations. These data are then used, within a probabilistic framework, to estimate the evolutionary rates of each sequence position. Here we introduce several new features into ConSurf, including automatic selection of the best evolutionary model used to infer the rates, the ability to homology-model query proteins, prediction of the secondary structure of query RNA molecules from sequence, the ability to view the biological assembly of a query (in addition to the single chain), mapping of the conservation grades onto 2D RNA models and an advanced view of the phylogenetic tree that enables interactively rerunning ConSurf with the taxa of a sub-tree.","author":[{"dropping-particle":"","family":"Ashkenazy","given":"Haim","non-dropping-particle":"","parse-names":false,"suffix":""},{"dropping-particle":"","family":"Abadi","given":"Shiran","non-dropping-particle":"","parse-names":false,"suffix":""},{"dropping-particle":"","family":"Martz","given":"Eric","non-dropping-particle":"","parse-names":false,"suffix":""},{"dropping-particle":"","family":"Chay","given":"Ofer","non-dropping-particle":"","parse-names":false,"suffix":""},{"dropping-particle":"","family":"Mayrose","given":"Itay","non-dropping-particle":"","parse-names":false,"suffix":""},{"dropping-particle":"","family":"Pupko","given":"Tal","non-dropping-particle":"","parse-names":false,"suffix":""},{"dropping-particle":"","family":"Ben-Tal","given":"Nir","non-dropping-particle":"","parse-names":false,"suffix":""}],"container-title":"Nucleic acids research","id":"ITEM-1","issue":"W1","issued":{"date-parts":[["2016","7"]]},"language":"eng","page":"W344-50","publisher-place":"England","title":"ConSurf 2016: an improved methodology to estimate and visualize evolutionary  conservation in macromolecules.","type":"article-journal","volume":"44"},"uris":["http://www.mendeley.com/documents/?uuid=90ee74ba-5c1b-4c39-b2b7-b815eaa57efa"]}],"mendeley":{"formattedCitation":"(Ashkenazy &lt;i&gt;et al&lt;/i&gt;, 2016)","plainTextFormattedCitation":"(Ashkenazy et al, 2016)","previouslyFormattedCitation":"(Ashkenazy &lt;i&gt;et al&lt;/i&gt;, 2016)"},"properties":{"noteIndex":0},"schema":"https://github.com/citation-style-language/schema/raw/master/csl-citation.json"}</w:instrText>
      </w:r>
      <w:r w:rsidR="001221BB" w:rsidRPr="00CF7C36">
        <w:fldChar w:fldCharType="separate"/>
      </w:r>
      <w:r w:rsidR="00E55873" w:rsidRPr="00CF7C36">
        <w:rPr>
          <w:i w:val="0"/>
          <w:noProof/>
        </w:rPr>
        <w:t xml:space="preserve">(Ashkenazy </w:t>
      </w:r>
      <w:r w:rsidR="00E55873" w:rsidRPr="00CF7C36">
        <w:rPr>
          <w:noProof/>
        </w:rPr>
        <w:t>et al</w:t>
      </w:r>
      <w:r w:rsidR="00E55873" w:rsidRPr="00CF7C36">
        <w:rPr>
          <w:i w:val="0"/>
          <w:noProof/>
        </w:rPr>
        <w:t>, 2016)</w:t>
      </w:r>
      <w:r w:rsidR="001221BB" w:rsidRPr="00CF7C36">
        <w:fldChar w:fldCharType="end"/>
      </w:r>
      <w:r w:rsidR="003921D9" w:rsidRPr="00CF7C36">
        <w:t>.</w:t>
      </w:r>
      <w:r w:rsidR="00F705B7" w:rsidRPr="00CF7C36">
        <w:t xml:space="preserve"> The most conserved residues are shown in sticks.</w:t>
      </w:r>
    </w:p>
    <w:p w14:paraId="1567F2F5" w14:textId="77777777" w:rsidR="00BF450C" w:rsidRPr="00E97FC1" w:rsidRDefault="00BF450C" w:rsidP="006828BB">
      <w:pPr>
        <w:ind w:firstLine="720"/>
        <w:rPr>
          <w:rFonts w:cs="Times New Roman"/>
          <w:lang w:val="en-GB"/>
        </w:rPr>
      </w:pPr>
    </w:p>
    <w:p w14:paraId="1417BE35" w14:textId="49167BEE" w:rsidR="006828BB" w:rsidRPr="00E97FC1" w:rsidRDefault="006828BB" w:rsidP="006828BB">
      <w:pPr>
        <w:ind w:firstLine="720"/>
        <w:rPr>
          <w:rFonts w:cs="Times New Roman"/>
          <w:lang w:val="en-GB"/>
        </w:rPr>
      </w:pPr>
      <w:r w:rsidRPr="00E97FC1">
        <w:rPr>
          <w:rFonts w:cs="Times New Roman"/>
          <w:lang w:val="en-GB"/>
        </w:rPr>
        <w:t>Thus, we suggest</w:t>
      </w:r>
      <w:r w:rsidR="00C20A47" w:rsidRPr="00E97FC1">
        <w:rPr>
          <w:rFonts w:cs="Times New Roman"/>
          <w:lang w:val="en-GB"/>
        </w:rPr>
        <w:t xml:space="preserve"> that this conformational change plays a</w:t>
      </w:r>
      <w:r w:rsidRPr="00E97FC1">
        <w:rPr>
          <w:rFonts w:cs="Times New Roman"/>
          <w:lang w:val="en-GB"/>
        </w:rPr>
        <w:t>n essential</w:t>
      </w:r>
      <w:r w:rsidR="00C20A47" w:rsidRPr="00E97FC1">
        <w:rPr>
          <w:rFonts w:cs="Times New Roman"/>
          <w:lang w:val="en-GB"/>
        </w:rPr>
        <w:t xml:space="preserve"> role in NDH regulation. </w:t>
      </w:r>
      <w:r w:rsidRPr="00E97FC1">
        <w:rPr>
          <w:rFonts w:cs="Times New Roman"/>
          <w:lang w:val="en-GB"/>
        </w:rPr>
        <w:t xml:space="preserve">In the open state and potentially </w:t>
      </w:r>
      <w:r w:rsidR="009A42B6">
        <w:rPr>
          <w:rFonts w:cs="Times New Roman"/>
          <w:lang w:val="en-GB"/>
        </w:rPr>
        <w:t xml:space="preserve">also in </w:t>
      </w:r>
      <w:r w:rsidRPr="00E97FC1">
        <w:rPr>
          <w:rFonts w:cs="Times New Roman"/>
          <w:lang w:val="en-GB"/>
        </w:rPr>
        <w:t>closed state ndhL interacts with ndhJ and provides support for the PA-MA interface. In the resting state, the support is no longer available, so the PA-MA angle loosens</w:t>
      </w:r>
      <w:r w:rsidR="00830123">
        <w:rPr>
          <w:rFonts w:cs="Times New Roman"/>
          <w:lang w:val="en-GB"/>
        </w:rPr>
        <w:t>, Q cavity is disassembled</w:t>
      </w:r>
      <w:r w:rsidRPr="00E97FC1">
        <w:rPr>
          <w:rFonts w:cs="Times New Roman"/>
          <w:lang w:val="en-GB"/>
        </w:rPr>
        <w:t xml:space="preserve"> and the complex deactivates (Figure</w:t>
      </w:r>
      <w:r w:rsidR="006433AC">
        <w:rPr>
          <w:rFonts w:cs="Times New Roman"/>
          <w:lang w:val="en-GB"/>
        </w:rPr>
        <w:t xml:space="preserve"> 4.2, 4.3 and</w:t>
      </w:r>
      <w:r w:rsidRPr="00E97FC1">
        <w:rPr>
          <w:rFonts w:cs="Times New Roman"/>
          <w:lang w:val="en-GB"/>
        </w:rPr>
        <w:t xml:space="preserve"> 4.</w:t>
      </w:r>
      <w:r w:rsidR="006433AC">
        <w:rPr>
          <w:rFonts w:cs="Times New Roman"/>
          <w:lang w:val="en-GB"/>
        </w:rPr>
        <w:t>6</w:t>
      </w:r>
      <w:r w:rsidRPr="00E97FC1">
        <w:rPr>
          <w:rFonts w:cs="Times New Roman"/>
          <w:lang w:val="en-GB"/>
        </w:rPr>
        <w:t>).</w:t>
      </w:r>
      <w:r w:rsidR="009A5952" w:rsidRPr="00E97FC1">
        <w:rPr>
          <w:rFonts w:cs="Times New Roman"/>
          <w:lang w:val="en-GB"/>
        </w:rPr>
        <w:t xml:space="preserve"> The robust deactivation may thus be achieved via double action of ndhL: destabilisation of PA-MA interface and </w:t>
      </w:r>
      <w:r w:rsidR="00381BBC" w:rsidRPr="00E97FC1">
        <w:rPr>
          <w:rFonts w:cs="Times New Roman"/>
          <w:lang w:val="en-GB"/>
        </w:rPr>
        <w:t>hindrance for Q access. The deactivation</w:t>
      </w:r>
      <w:r w:rsidR="00823921" w:rsidRPr="00E97FC1">
        <w:rPr>
          <w:rFonts w:cs="Times New Roman"/>
          <w:lang w:val="en-GB"/>
        </w:rPr>
        <w:t xml:space="preserve"> and switch to the linear electron flow is</w:t>
      </w:r>
      <w:r w:rsidR="00381BBC" w:rsidRPr="00E97FC1">
        <w:rPr>
          <w:rFonts w:cs="Times New Roman"/>
          <w:lang w:val="en-GB"/>
        </w:rPr>
        <w:t xml:space="preserve"> important</w:t>
      </w:r>
      <w:r w:rsidR="00823921" w:rsidRPr="00E97FC1">
        <w:rPr>
          <w:rFonts w:cs="Times New Roman"/>
          <w:lang w:val="en-GB"/>
        </w:rPr>
        <w:t xml:space="preserve"> to balance</w:t>
      </w:r>
      <w:r w:rsidR="00381BBC" w:rsidRPr="00E97FC1">
        <w:rPr>
          <w:rFonts w:cs="Times New Roman"/>
          <w:lang w:val="en-GB"/>
        </w:rPr>
        <w:t xml:space="preserve"> </w:t>
      </w:r>
      <w:r w:rsidR="00823921" w:rsidRPr="00E97FC1">
        <w:rPr>
          <w:rFonts w:cs="Times New Roman"/>
          <w:lang w:val="en-GB"/>
        </w:rPr>
        <w:t>NADPH/ATP ratio as during the cyclic electron flow only ATP is produced</w:t>
      </w:r>
      <w:r w:rsidR="00C574A9" w:rsidRPr="00E97FC1">
        <w:rPr>
          <w:rFonts w:cs="Times New Roman"/>
          <w:lang w:val="en-GB"/>
        </w:rPr>
        <w:t xml:space="preserve"> </w:t>
      </w:r>
      <w:r w:rsidR="00C574A9" w:rsidRPr="00E97FC1">
        <w:rPr>
          <w:rFonts w:cs="Times New Roman"/>
          <w:lang w:val="en-GB"/>
        </w:rPr>
        <w:fldChar w:fldCharType="begin" w:fldLock="1"/>
      </w:r>
      <w:r w:rsidR="00DC25DF" w:rsidRPr="00E97FC1">
        <w:rPr>
          <w:rFonts w:cs="Times New Roman"/>
          <w:lang w:val="en-GB"/>
        </w:rPr>
        <w:instrText>ADDIN CSL_CITATION {"citationItems":[{"id":"ITEM-1","itemData":{"DOI":"10.3389/fpls.2015.00923","ISSN":"1664-462X (Print)","PMID":"26579169","abstract":"In higher plants, the generation of proton gradient across the thylakoid membrane  (ΔpH) through cyclic electron flow (CEF) has mainly two functions: (1) to generate ATP and balance the ATP/NADPH energy budget, and (2) to protect photosystems I and II against photoinhibition. The intensity of light under which plants are grown alters both CEF activity and the ATP/NADPH demand for primary metabolic processes. However, it is unclear how the role of CEF is affected by the level of irradiance that is applied during the growth and measurement periods. We studied the role of CEF at different light intensities in leaves from sun- and shade-grown plants. At 849 μmol photons m(-2) s(-1), both types of leaves had nearly the same degree of CEF activation. Modeling of the ATP/NADPH demand revealed that, at this light intensity, the contribution of CEF toward supplying ATP was much higher in the sun leaves. Meanwhile, the shade leaves showed higher levels of non-photochemical quenching and the P700 oxidation ratio. Therefore, at 849 μmol photons m(-2) s(-1), CEF mainly helped in the synthesis of ATP in the sun leaves, but functioned in photoprotection for the shade leaves. When the light intensity increased to 1976 μmol photons m(-2) s(-1), CEF activation was greatly enhanced in the sun leaves, but its contribution to supplying ATP changed slightly. These results indicate that the main role of CEF is altered flexibly in response to light intensity. In particular, CEF mainly contributes to balancing the ATP/NADPH energy budget under sub-saturating light intensities. When exposed to saturating light intensities, CEF mainly protects photosynthetic apparatus against photoinhibition.","author":[{"dropping-particle":"","family":"Huang","given":"Wei","non-dropping-particle":"","parse-names":false,"suffix":""},{"dropping-particle":"","family":"Yang","given":"Ying-Jie","non-dropping-particle":"","parse-names":false,"suffix":""},{"dropping-particle":"","family":"Hu","given":"Hong","non-dropping-particle":"","parse-names":false,"suffix":""},{"dropping-particle":"","family":"Zhang","given":"Shi-Bao","non-dropping-particle":"","parse-names":false,"suffix":""}],"container-title":"Frontiers in plant science","id":"ITEM-1","issued":{"date-parts":[["2015"]]},"language":"eng","page":"923","publisher-place":"Switzerland","title":"Different roles of cyclic electron flow around photosystem I under sub-saturating  and saturating light intensities in tobacco leaves.","type":"article-journal","volume":"6"},"uris":["http://www.mendeley.com/documents/?uuid=4907c50c-7059-41e1-a778-bf8b04115407"]}],"mendeley":{"formattedCitation":"(Huang &lt;i&gt;et al&lt;/i&gt;, 2015)","plainTextFormattedCitation":"(Huang et al, 2015)","previouslyFormattedCitation":"(Huang &lt;i&gt;et al&lt;/i&gt;, 2015)"},"properties":{"noteIndex":0},"schema":"https://github.com/citation-style-language/schema/raw/master/csl-citation.json"}</w:instrText>
      </w:r>
      <w:r w:rsidR="00C574A9" w:rsidRPr="00E97FC1">
        <w:rPr>
          <w:rFonts w:cs="Times New Roman"/>
          <w:lang w:val="en-GB"/>
        </w:rPr>
        <w:fldChar w:fldCharType="separate"/>
      </w:r>
      <w:r w:rsidR="00C574A9" w:rsidRPr="00E97FC1">
        <w:rPr>
          <w:rFonts w:cs="Times New Roman"/>
          <w:noProof/>
          <w:lang w:val="en-GB"/>
        </w:rPr>
        <w:t xml:space="preserve">(Huang </w:t>
      </w:r>
      <w:r w:rsidR="00C574A9" w:rsidRPr="00E97FC1">
        <w:rPr>
          <w:rFonts w:cs="Times New Roman"/>
          <w:i/>
          <w:noProof/>
          <w:lang w:val="en-GB"/>
        </w:rPr>
        <w:t>et al</w:t>
      </w:r>
      <w:r w:rsidR="00C574A9" w:rsidRPr="00E97FC1">
        <w:rPr>
          <w:rFonts w:cs="Times New Roman"/>
          <w:noProof/>
          <w:lang w:val="en-GB"/>
        </w:rPr>
        <w:t>, 2015)</w:t>
      </w:r>
      <w:r w:rsidR="00C574A9" w:rsidRPr="00E97FC1">
        <w:rPr>
          <w:rFonts w:cs="Times New Roman"/>
          <w:lang w:val="en-GB"/>
        </w:rPr>
        <w:fldChar w:fldCharType="end"/>
      </w:r>
      <w:r w:rsidR="00823921" w:rsidRPr="00E97FC1">
        <w:rPr>
          <w:rFonts w:cs="Times New Roman"/>
          <w:lang w:val="en-GB"/>
        </w:rPr>
        <w:t>.</w:t>
      </w:r>
    </w:p>
    <w:p w14:paraId="6DE8BF7B" w14:textId="77777777" w:rsidR="005C6B7E" w:rsidRPr="00E97FC1" w:rsidRDefault="006828BB" w:rsidP="006828BB">
      <w:pPr>
        <w:ind w:firstLine="720"/>
        <w:jc w:val="center"/>
        <w:rPr>
          <w:rFonts w:cs="Times New Roman"/>
          <w:lang w:val="en-GB"/>
        </w:rPr>
      </w:pPr>
      <w:r w:rsidRPr="00E97FC1">
        <w:rPr>
          <w:rFonts w:cs="Times New Roman"/>
          <w:noProof/>
        </w:rPr>
        <w:drawing>
          <wp:inline distT="0" distB="0" distL="0" distR="0" wp14:anchorId="41118299" wp14:editId="57CC02D8">
            <wp:extent cx="4172956" cy="1646987"/>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194468" cy="1655477"/>
                    </a:xfrm>
                    <a:prstGeom prst="rect">
                      <a:avLst/>
                    </a:prstGeom>
                    <a:noFill/>
                  </pic:spPr>
                </pic:pic>
              </a:graphicData>
            </a:graphic>
          </wp:inline>
        </w:drawing>
      </w:r>
    </w:p>
    <w:p w14:paraId="1506D5C9" w14:textId="507506FC" w:rsidR="006828BB" w:rsidRPr="00E97FC1" w:rsidRDefault="006828BB" w:rsidP="006828BB">
      <w:pPr>
        <w:pStyle w:val="Caption"/>
      </w:pPr>
      <w:bookmarkStart w:id="142" w:name="_Toc128136644"/>
      <w:r w:rsidRPr="00E97FC1">
        <w:t xml:space="preserve">Figure </w:t>
      </w:r>
      <w:r w:rsidR="00CC7652">
        <w:fldChar w:fldCharType="begin"/>
      </w:r>
      <w:r w:rsidR="00CC7652">
        <w:instrText xml:space="preserve"> STYLEREF 1 \s </w:instrText>
      </w:r>
      <w:r w:rsidR="00CC7652">
        <w:fldChar w:fldCharType="separate"/>
      </w:r>
      <w:r w:rsidR="00ED1816">
        <w:rPr>
          <w:noProof/>
        </w:rPr>
        <w:t>4</w:t>
      </w:r>
      <w:r w:rsidR="00CC7652">
        <w:fldChar w:fldCharType="end"/>
      </w:r>
      <w:r w:rsidR="00CC7652">
        <w:t>.</w:t>
      </w:r>
      <w:r w:rsidR="00CC7652">
        <w:fldChar w:fldCharType="begin"/>
      </w:r>
      <w:r w:rsidR="00CC7652">
        <w:instrText xml:space="preserve"> SEQ Figure \* ARABIC \s 1 </w:instrText>
      </w:r>
      <w:r w:rsidR="00CC7652">
        <w:fldChar w:fldCharType="separate"/>
      </w:r>
      <w:r w:rsidR="00ED1816">
        <w:rPr>
          <w:noProof/>
        </w:rPr>
        <w:t>6</w:t>
      </w:r>
      <w:r w:rsidR="00CC7652">
        <w:fldChar w:fldCharType="end"/>
      </w:r>
      <w:r w:rsidRPr="00E97FC1">
        <w:t xml:space="preserve"> Schematic representation of NDH deactivation mechanism</w:t>
      </w:r>
      <w:bookmarkEnd w:id="142"/>
    </w:p>
    <w:p w14:paraId="764DACCC" w14:textId="77777777" w:rsidR="0039643B" w:rsidRPr="00CF7C36" w:rsidRDefault="0039643B" w:rsidP="0039643B">
      <w:pPr>
        <w:pStyle w:val="Caption"/>
      </w:pPr>
      <w:r w:rsidRPr="00CF7C36">
        <w:t>Peripheral arm of the complex is depicted as grey triangle and the membrane part as grey rectangle. NdhL subunit is depicted as red line. NdhL acts a support between two domains in the open state while in the resting state, the conformation change of ndhL leads to loosening of interdomain interface and disorder of the active site.</w:t>
      </w:r>
    </w:p>
    <w:p w14:paraId="42443C7D" w14:textId="77777777" w:rsidR="007E16A6" w:rsidRPr="00E97FC1" w:rsidRDefault="007E16A6" w:rsidP="005C6B7E">
      <w:pPr>
        <w:rPr>
          <w:lang w:val="en-GB"/>
        </w:rPr>
      </w:pPr>
    </w:p>
    <w:p w14:paraId="4ED1514A" w14:textId="77777777" w:rsidR="00306433" w:rsidRPr="00E97FC1" w:rsidRDefault="003C3D28" w:rsidP="00F016AD">
      <w:pPr>
        <w:pStyle w:val="Heading2"/>
      </w:pPr>
      <w:bookmarkStart w:id="143" w:name="_Toc132640024"/>
      <w:r w:rsidRPr="00E97FC1">
        <w:t>Co</w:t>
      </w:r>
      <w:r w:rsidR="00E27EC8" w:rsidRPr="00E97FC1">
        <w:t>nclusion</w:t>
      </w:r>
      <w:bookmarkEnd w:id="143"/>
    </w:p>
    <w:p w14:paraId="4F286178" w14:textId="2D4AD31E" w:rsidR="006F0701" w:rsidRPr="00E97FC1" w:rsidRDefault="006F0701" w:rsidP="006F0701">
      <w:pPr>
        <w:ind w:firstLine="720"/>
        <w:rPr>
          <w:lang w:val="en-GB"/>
        </w:rPr>
      </w:pPr>
      <w:r w:rsidRPr="00E97FC1">
        <w:rPr>
          <w:lang w:val="en-GB"/>
        </w:rPr>
        <w:t xml:space="preserve">In photosynthesis, NDH plays a crucial role in the transfer of electrons from ferredoxin, a small iron-sulfur protein, to plastoquinone. The transfer of electrons from ferredoxin to plastoquinone </w:t>
      </w:r>
      <w:r w:rsidR="00344AAB" w:rsidRPr="00E97FC1">
        <w:rPr>
          <w:lang w:val="en-GB"/>
        </w:rPr>
        <w:t xml:space="preserve">in cyclic electron transport </w:t>
      </w:r>
      <w:r w:rsidRPr="00E97FC1">
        <w:rPr>
          <w:lang w:val="en-GB"/>
        </w:rPr>
        <w:t xml:space="preserve">generates proton gradient and results in the production of ATP, a molecule that is used as an energy currency in cells. NDH is </w:t>
      </w:r>
      <w:r w:rsidR="00344AAB" w:rsidRPr="00E97FC1">
        <w:rPr>
          <w:lang w:val="en-GB"/>
        </w:rPr>
        <w:t xml:space="preserve">thus </w:t>
      </w:r>
      <w:r w:rsidRPr="00E97FC1">
        <w:rPr>
          <w:lang w:val="en-GB"/>
        </w:rPr>
        <w:t>important in the regulation of the photosynthetic electron transport chain. It can act as a "bottleneck" in the electron transport chain, limiting the rate at which electrons can be transferred and, as a result, the rate at which ATP is produced. This allows the cell to fine-tune its energy production to match its energy demands. H</w:t>
      </w:r>
      <w:r w:rsidR="002F4CBD" w:rsidRPr="00E97FC1">
        <w:rPr>
          <w:lang w:val="en-GB"/>
        </w:rPr>
        <w:t xml:space="preserve">ere </w:t>
      </w:r>
      <w:r w:rsidRPr="00E97FC1">
        <w:rPr>
          <w:lang w:val="en-GB"/>
        </w:rPr>
        <w:t>we resolved two states of the enzyme: open and resting</w:t>
      </w:r>
      <w:r w:rsidR="002F4CBD" w:rsidRPr="00E97FC1">
        <w:rPr>
          <w:lang w:val="en-GB"/>
        </w:rPr>
        <w:t xml:space="preserve"> and suggested the mechanism of NDH activity regulation through the conformational change of ndhL subunit. </w:t>
      </w:r>
    </w:p>
    <w:p w14:paraId="3B8BC184" w14:textId="1B6A9B0B" w:rsidR="00A54A4D" w:rsidRPr="00E97FC1" w:rsidRDefault="00A54A4D" w:rsidP="006F0701">
      <w:pPr>
        <w:ind w:firstLine="720"/>
        <w:rPr>
          <w:lang w:val="en-GB"/>
        </w:rPr>
      </w:pPr>
    </w:p>
    <w:p w14:paraId="63CAC6D1" w14:textId="390C6558" w:rsidR="00A54A4D" w:rsidRPr="00E97FC1" w:rsidRDefault="00A54A4D" w:rsidP="006F0701">
      <w:pPr>
        <w:ind w:firstLine="720"/>
        <w:rPr>
          <w:lang w:val="en-GB"/>
        </w:rPr>
      </w:pPr>
    </w:p>
    <w:p w14:paraId="5D7F66A9" w14:textId="77777777" w:rsidR="002F4CBD" w:rsidRPr="00E97FC1" w:rsidRDefault="002F4CBD">
      <w:pPr>
        <w:spacing w:after="160" w:line="259" w:lineRule="auto"/>
        <w:jc w:val="left"/>
        <w:rPr>
          <w:lang w:val="en-GB"/>
        </w:rPr>
      </w:pPr>
      <w:r w:rsidRPr="00E97FC1">
        <w:rPr>
          <w:lang w:val="en-GB"/>
        </w:rPr>
        <w:br w:type="page"/>
      </w:r>
    </w:p>
    <w:p w14:paraId="7B924259" w14:textId="77777777" w:rsidR="00306433" w:rsidRPr="00E97FC1" w:rsidRDefault="00306433" w:rsidP="00147B03">
      <w:pPr>
        <w:pStyle w:val="Heading1"/>
        <w:numPr>
          <w:ilvl w:val="0"/>
          <w:numId w:val="0"/>
        </w:numPr>
        <w:ind w:left="360"/>
      </w:pPr>
      <w:bookmarkStart w:id="144" w:name="_Toc132640025"/>
      <w:r w:rsidRPr="00E97FC1">
        <w:lastRenderedPageBreak/>
        <w:t>References</w:t>
      </w:r>
      <w:bookmarkEnd w:id="144"/>
    </w:p>
    <w:p w14:paraId="3FA1BFAC" w14:textId="55927E20" w:rsidR="00BF1B30" w:rsidRPr="00E97FC1" w:rsidRDefault="00E55873" w:rsidP="00BF1B30">
      <w:pPr>
        <w:widowControl w:val="0"/>
        <w:autoSpaceDE w:val="0"/>
        <w:autoSpaceDN w:val="0"/>
        <w:adjustRightInd w:val="0"/>
        <w:ind w:left="480" w:hanging="480"/>
        <w:rPr>
          <w:rFonts w:cs="Times New Roman"/>
          <w:noProof/>
          <w:szCs w:val="24"/>
          <w:lang w:val="en-GB"/>
        </w:rPr>
      </w:pPr>
      <w:r w:rsidRPr="00E97FC1">
        <w:rPr>
          <w:b/>
          <w:szCs w:val="24"/>
          <w:lang w:val="en-GB"/>
        </w:rPr>
        <w:fldChar w:fldCharType="begin" w:fldLock="1"/>
      </w:r>
      <w:r w:rsidRPr="00E97FC1">
        <w:rPr>
          <w:b/>
          <w:szCs w:val="24"/>
          <w:lang w:val="en-GB"/>
        </w:rPr>
        <w:instrText xml:space="preserve">ADDIN Mendeley Bibliography CSL_BIBLIOGRAPHY </w:instrText>
      </w:r>
      <w:r w:rsidRPr="00E97FC1">
        <w:rPr>
          <w:b/>
          <w:szCs w:val="24"/>
          <w:lang w:val="en-GB"/>
        </w:rPr>
        <w:fldChar w:fldCharType="separate"/>
      </w:r>
      <w:r w:rsidR="00BF1B30" w:rsidRPr="00E97FC1">
        <w:rPr>
          <w:rFonts w:cs="Times New Roman"/>
          <w:noProof/>
          <w:szCs w:val="24"/>
          <w:lang w:val="en-GB"/>
        </w:rPr>
        <w:t xml:space="preserve">Adams PD, Afonine P V, Bunkoczi G, Chen VB, Davis IW, Echols N, Headd JJ, Hung L-W, Kapral GJ, Grosse-Kunstleve RW, </w:t>
      </w:r>
      <w:r w:rsidR="00BF1B30" w:rsidRPr="00E97FC1">
        <w:rPr>
          <w:rFonts w:cs="Times New Roman"/>
          <w:i/>
          <w:iCs/>
          <w:noProof/>
          <w:szCs w:val="24"/>
          <w:lang w:val="en-GB"/>
        </w:rPr>
        <w:t>et al</w:t>
      </w:r>
      <w:r w:rsidR="00BF1B30" w:rsidRPr="00E97FC1">
        <w:rPr>
          <w:rFonts w:cs="Times New Roman"/>
          <w:noProof/>
          <w:szCs w:val="24"/>
          <w:lang w:val="en-GB"/>
        </w:rPr>
        <w:t xml:space="preserve"> (2010) PHENIX: a comprehensive Python-based system for macromolecular structure solution. </w:t>
      </w:r>
      <w:r w:rsidR="00BF1B30" w:rsidRPr="00E97FC1">
        <w:rPr>
          <w:rFonts w:cs="Times New Roman"/>
          <w:i/>
          <w:iCs/>
          <w:noProof/>
          <w:szCs w:val="24"/>
          <w:lang w:val="en-GB"/>
        </w:rPr>
        <w:t>Acta Crystallogr D Biol Crystallogr</w:t>
      </w:r>
      <w:r w:rsidR="00BF1B30" w:rsidRPr="00E97FC1">
        <w:rPr>
          <w:rFonts w:cs="Times New Roman"/>
          <w:noProof/>
          <w:szCs w:val="24"/>
          <w:lang w:val="en-GB"/>
        </w:rPr>
        <w:t xml:space="preserve"> 66: 213–221</w:t>
      </w:r>
    </w:p>
    <w:p w14:paraId="3B42F277"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Agip A-NA, Blaza JN, Bridges HR, Viscomi C, Rawson S, Muench SP &amp; Hirst J (2018) Cryo-EM structures of complex I from mouse heart mitochondria in two biochemically defined states. </w:t>
      </w:r>
      <w:r w:rsidRPr="00E97FC1">
        <w:rPr>
          <w:rFonts w:cs="Times New Roman"/>
          <w:i/>
          <w:iCs/>
          <w:noProof/>
          <w:szCs w:val="24"/>
          <w:lang w:val="en-GB"/>
        </w:rPr>
        <w:t>Nat Struct Mol Biol</w:t>
      </w:r>
      <w:r w:rsidRPr="00E97FC1">
        <w:rPr>
          <w:rFonts w:cs="Times New Roman"/>
          <w:noProof/>
          <w:szCs w:val="24"/>
          <w:lang w:val="en-GB"/>
        </w:rPr>
        <w:t xml:space="preserve"> 25: 548–556</w:t>
      </w:r>
    </w:p>
    <w:p w14:paraId="125C95ED"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Amarneh B &amp; Vik SB (2003) Mutagenesis of subunit N of the Escherichia coli complex I. Identification of the  initiation codon and the sensitivity of mutants to decylubiquinone. </w:t>
      </w:r>
      <w:r w:rsidRPr="00E97FC1">
        <w:rPr>
          <w:rFonts w:cs="Times New Roman"/>
          <w:i/>
          <w:iCs/>
          <w:noProof/>
          <w:szCs w:val="24"/>
          <w:lang w:val="en-GB"/>
        </w:rPr>
        <w:t>Biochemistry</w:t>
      </w:r>
      <w:r w:rsidRPr="00E97FC1">
        <w:rPr>
          <w:rFonts w:cs="Times New Roman"/>
          <w:noProof/>
          <w:szCs w:val="24"/>
          <w:lang w:val="en-GB"/>
        </w:rPr>
        <w:t xml:space="preserve"> 42: 4800–4808</w:t>
      </w:r>
    </w:p>
    <w:p w14:paraId="04F05EA6"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Ando T (2018) High-speed atomic force microscopy and its future prospects. </w:t>
      </w:r>
      <w:r w:rsidRPr="00E97FC1">
        <w:rPr>
          <w:rFonts w:cs="Times New Roman"/>
          <w:i/>
          <w:iCs/>
          <w:noProof/>
          <w:szCs w:val="24"/>
          <w:lang w:val="en-GB"/>
        </w:rPr>
        <w:t>Biophys Rev</w:t>
      </w:r>
      <w:r w:rsidRPr="00E97FC1">
        <w:rPr>
          <w:rFonts w:cs="Times New Roman"/>
          <w:noProof/>
          <w:szCs w:val="24"/>
          <w:lang w:val="en-GB"/>
        </w:rPr>
        <w:t xml:space="preserve"> 10: 285–292</w:t>
      </w:r>
    </w:p>
    <w:p w14:paraId="146BA69A"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Ashkenazy H, Abadi S, Martz E, Chay O, Mayrose I, Pupko T &amp; Ben-Tal N (2016) ConSurf 2016: an improved methodology to estimate and visualize evolutionary  conservation in macromolecules. </w:t>
      </w:r>
      <w:r w:rsidRPr="00E97FC1">
        <w:rPr>
          <w:rFonts w:cs="Times New Roman"/>
          <w:i/>
          <w:iCs/>
          <w:noProof/>
          <w:szCs w:val="24"/>
          <w:lang w:val="en-GB"/>
        </w:rPr>
        <w:t>Nucleic Acids Res</w:t>
      </w:r>
      <w:r w:rsidRPr="00E97FC1">
        <w:rPr>
          <w:rFonts w:cs="Times New Roman"/>
          <w:noProof/>
          <w:szCs w:val="24"/>
          <w:lang w:val="en-GB"/>
        </w:rPr>
        <w:t xml:space="preserve"> 44: W344-50</w:t>
      </w:r>
    </w:p>
    <w:p w14:paraId="00E32071"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Barad BA, Echols N, Wang RY-R, Cheng Y, DiMaio F, Adams PD &amp; Fraser JS (2015) EMRinger: side chain-directed model and map validation for 3D cryo-electron  microscopy. </w:t>
      </w:r>
      <w:r w:rsidRPr="00E97FC1">
        <w:rPr>
          <w:rFonts w:cs="Times New Roman"/>
          <w:i/>
          <w:iCs/>
          <w:noProof/>
          <w:szCs w:val="24"/>
          <w:lang w:val="en-GB"/>
        </w:rPr>
        <w:t>Nat Methods</w:t>
      </w:r>
      <w:r w:rsidRPr="00E97FC1">
        <w:rPr>
          <w:rFonts w:cs="Times New Roman"/>
          <w:noProof/>
          <w:szCs w:val="24"/>
          <w:lang w:val="en-GB"/>
        </w:rPr>
        <w:t xml:space="preserve"> 12: 943–946</w:t>
      </w:r>
    </w:p>
    <w:p w14:paraId="24602EE6"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Baradaran R, Berrisford JM, Minhas GS &amp; Sazanov LA (2013) Crystal structure of the entire respiratory complex I. </w:t>
      </w:r>
      <w:r w:rsidRPr="00E97FC1">
        <w:rPr>
          <w:rFonts w:cs="Times New Roman"/>
          <w:i/>
          <w:iCs/>
          <w:noProof/>
          <w:szCs w:val="24"/>
          <w:lang w:val="en-GB"/>
        </w:rPr>
        <w:t>Nature</w:t>
      </w:r>
      <w:r w:rsidRPr="00E97FC1">
        <w:rPr>
          <w:rFonts w:cs="Times New Roman"/>
          <w:noProof/>
          <w:szCs w:val="24"/>
          <w:lang w:val="en-GB"/>
        </w:rPr>
        <w:t xml:space="preserve"> 494: 443</w:t>
      </w:r>
    </w:p>
    <w:p w14:paraId="18F3E89A"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Battchikova N, Zhang P, Rudd S, Ogawa T &amp; Aro E-M (2005) Identification of NdhL and Ssl1690 (NdhO) in NDH-1L and NDH-1M Complexes of Synechocystis sp. PCC 6803*. </w:t>
      </w:r>
      <w:r w:rsidRPr="00E97FC1">
        <w:rPr>
          <w:rFonts w:cs="Times New Roman"/>
          <w:i/>
          <w:iCs/>
          <w:noProof/>
          <w:szCs w:val="24"/>
          <w:lang w:val="en-GB"/>
        </w:rPr>
        <w:t>J Biol Chem</w:t>
      </w:r>
      <w:r w:rsidRPr="00E97FC1">
        <w:rPr>
          <w:rFonts w:cs="Times New Roman"/>
          <w:noProof/>
          <w:szCs w:val="24"/>
          <w:lang w:val="en-GB"/>
        </w:rPr>
        <w:t xml:space="preserve"> 280: 2587–2595</w:t>
      </w:r>
    </w:p>
    <w:p w14:paraId="602F2004"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Belevich G, Euro L, Wikström M &amp; Verkhovskaya M (2007) Role of the conserved arginine 274 and histidine 224 and 228 residues in the NuoCD  subunit of complex I from Escherichia coli. </w:t>
      </w:r>
      <w:r w:rsidRPr="00E97FC1">
        <w:rPr>
          <w:rFonts w:cs="Times New Roman"/>
          <w:i/>
          <w:iCs/>
          <w:noProof/>
          <w:szCs w:val="24"/>
          <w:lang w:val="en-GB"/>
        </w:rPr>
        <w:t>Biochemistry</w:t>
      </w:r>
      <w:r w:rsidRPr="00E97FC1">
        <w:rPr>
          <w:rFonts w:cs="Times New Roman"/>
          <w:noProof/>
          <w:szCs w:val="24"/>
          <w:lang w:val="en-GB"/>
        </w:rPr>
        <w:t xml:space="preserve"> 46: 526–533</w:t>
      </w:r>
    </w:p>
    <w:p w14:paraId="0AEC2744"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Belevich G, Knuuti J, Verkhovsky MI, Wikström M &amp; Verkhovskaya M (2011) Probing the mechanistic role of the long α-helix in subunit L of respiratory Complex  I from Escherichia coli by site-directed mutagenesis. </w:t>
      </w:r>
      <w:r w:rsidRPr="00E97FC1">
        <w:rPr>
          <w:rFonts w:cs="Times New Roman"/>
          <w:i/>
          <w:iCs/>
          <w:noProof/>
          <w:szCs w:val="24"/>
          <w:lang w:val="en-GB"/>
        </w:rPr>
        <w:t>Mol Microbiol</w:t>
      </w:r>
      <w:r w:rsidRPr="00E97FC1">
        <w:rPr>
          <w:rFonts w:cs="Times New Roman"/>
          <w:noProof/>
          <w:szCs w:val="24"/>
          <w:lang w:val="en-GB"/>
        </w:rPr>
        <w:t xml:space="preserve"> 82: 1086–1095</w:t>
      </w:r>
    </w:p>
    <w:p w14:paraId="20AB036B"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Belevich N, von Ballmoos C &amp; Verkhovskaya M (2017) Activation of Proton Translocation by Respiratory Complex I. </w:t>
      </w:r>
      <w:r w:rsidRPr="00E97FC1">
        <w:rPr>
          <w:rFonts w:cs="Times New Roman"/>
          <w:i/>
          <w:iCs/>
          <w:noProof/>
          <w:szCs w:val="24"/>
          <w:lang w:val="en-GB"/>
        </w:rPr>
        <w:t>Biochemistry</w:t>
      </w:r>
      <w:r w:rsidRPr="00E97FC1">
        <w:rPr>
          <w:rFonts w:cs="Times New Roman"/>
          <w:noProof/>
          <w:szCs w:val="24"/>
          <w:lang w:val="en-GB"/>
        </w:rPr>
        <w:t xml:space="preserve"> 56: 5691–5697</w:t>
      </w:r>
    </w:p>
    <w:p w14:paraId="5BAEDDB0"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Bernhofer M, Dallago C, Karl T, Satagopam V, Heinzinger M, Littmann M, Olenyi T, Qiu J, </w:t>
      </w:r>
      <w:r w:rsidRPr="00E97FC1">
        <w:rPr>
          <w:rFonts w:cs="Times New Roman"/>
          <w:noProof/>
          <w:szCs w:val="24"/>
          <w:lang w:val="en-GB"/>
        </w:rPr>
        <w:lastRenderedPageBreak/>
        <w:t xml:space="preserve">Schütze K, Yachdav G, </w:t>
      </w:r>
      <w:r w:rsidRPr="00E97FC1">
        <w:rPr>
          <w:rFonts w:cs="Times New Roman"/>
          <w:i/>
          <w:iCs/>
          <w:noProof/>
          <w:szCs w:val="24"/>
          <w:lang w:val="en-GB"/>
        </w:rPr>
        <w:t>et al</w:t>
      </w:r>
      <w:r w:rsidRPr="00E97FC1">
        <w:rPr>
          <w:rFonts w:cs="Times New Roman"/>
          <w:noProof/>
          <w:szCs w:val="24"/>
          <w:lang w:val="en-GB"/>
        </w:rPr>
        <w:t xml:space="preserve"> (2021) PredictProtein - Predicting Protein Structure and Function for 29 Years. </w:t>
      </w:r>
      <w:r w:rsidRPr="00E97FC1">
        <w:rPr>
          <w:rFonts w:cs="Times New Roman"/>
          <w:i/>
          <w:iCs/>
          <w:noProof/>
          <w:szCs w:val="24"/>
          <w:lang w:val="en-GB"/>
        </w:rPr>
        <w:t>Nucleic Acids Res</w:t>
      </w:r>
      <w:r w:rsidRPr="00E97FC1">
        <w:rPr>
          <w:rFonts w:cs="Times New Roman"/>
          <w:noProof/>
          <w:szCs w:val="24"/>
          <w:lang w:val="en-GB"/>
        </w:rPr>
        <w:t xml:space="preserve"> 49: W535–W540</w:t>
      </w:r>
    </w:p>
    <w:p w14:paraId="5E7B7D28"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Birrell JA, Morina K, Bridges HR, Friedrich T &amp; Hirst J (2013) Investigating the function of [2Fe-2S] cluster N1a, the off-pathway cluster in complex I, by manipulating its reduction potential. </w:t>
      </w:r>
      <w:r w:rsidRPr="00E97FC1">
        <w:rPr>
          <w:rFonts w:cs="Times New Roman"/>
          <w:i/>
          <w:iCs/>
          <w:noProof/>
          <w:szCs w:val="24"/>
          <w:lang w:val="en-GB"/>
        </w:rPr>
        <w:t>Biochem J</w:t>
      </w:r>
      <w:r w:rsidRPr="00E97FC1">
        <w:rPr>
          <w:rFonts w:cs="Times New Roman"/>
          <w:noProof/>
          <w:szCs w:val="24"/>
          <w:lang w:val="en-GB"/>
        </w:rPr>
        <w:t xml:space="preserve"> 456: 139–146</w:t>
      </w:r>
    </w:p>
    <w:p w14:paraId="427D47AA"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Brandt U (2011) A two-state stabilization-change mechanism for proton-pumping complex I. </w:t>
      </w:r>
      <w:r w:rsidRPr="00E97FC1">
        <w:rPr>
          <w:rFonts w:cs="Times New Roman"/>
          <w:i/>
          <w:iCs/>
          <w:noProof/>
          <w:szCs w:val="24"/>
          <w:lang w:val="en-GB"/>
        </w:rPr>
        <w:t>Biochim Biophys Acta</w:t>
      </w:r>
      <w:r w:rsidRPr="00E97FC1">
        <w:rPr>
          <w:rFonts w:cs="Times New Roman"/>
          <w:noProof/>
          <w:szCs w:val="24"/>
          <w:lang w:val="en-GB"/>
        </w:rPr>
        <w:t xml:space="preserve"> 1807: 1364–1369</w:t>
      </w:r>
    </w:p>
    <w:p w14:paraId="5B332052"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Castro-Guerrero N, Sinha PK, Torres-Bacete J, Matsuno-Yagi A &amp; Yagi T (2010) Pivotal roles of three conserved carboxyl residues of the NuoC (30k) segment in the  structural integrity of proton-translocating NADH-quinone oxidoreductase from Escherichia coli. </w:t>
      </w:r>
      <w:r w:rsidRPr="00E97FC1">
        <w:rPr>
          <w:rFonts w:cs="Times New Roman"/>
          <w:i/>
          <w:iCs/>
          <w:noProof/>
          <w:szCs w:val="24"/>
          <w:lang w:val="en-GB"/>
        </w:rPr>
        <w:t>Biochemistry</w:t>
      </w:r>
      <w:r w:rsidRPr="00E97FC1">
        <w:rPr>
          <w:rFonts w:cs="Times New Roman"/>
          <w:noProof/>
          <w:szCs w:val="24"/>
          <w:lang w:val="en-GB"/>
        </w:rPr>
        <w:t xml:space="preserve"> 49: 10072–10080</w:t>
      </w:r>
    </w:p>
    <w:p w14:paraId="536BC247"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Chen VB, Arendall WB 3rd, Headd JJ, Keedy DA, Immormino RM, Kapral GJ, Murray LW, Richardson JS &amp; Richardson DC (2010) MolProbity: all-atom structure validation for macromolecular crystallography. </w:t>
      </w:r>
      <w:r w:rsidRPr="00E97FC1">
        <w:rPr>
          <w:rFonts w:cs="Times New Roman"/>
          <w:i/>
          <w:iCs/>
          <w:noProof/>
          <w:szCs w:val="24"/>
          <w:lang w:val="en-GB"/>
        </w:rPr>
        <w:t>Acta Crystallogr D Biol Crystallogr</w:t>
      </w:r>
      <w:r w:rsidRPr="00E97FC1">
        <w:rPr>
          <w:rFonts w:cs="Times New Roman"/>
          <w:noProof/>
          <w:szCs w:val="24"/>
          <w:lang w:val="en-GB"/>
        </w:rPr>
        <w:t xml:space="preserve"> 66: 12–21</w:t>
      </w:r>
    </w:p>
    <w:p w14:paraId="68090B7C"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Chouchani ET, Pell VR, Gaude E, Aksentijević D, Sundier SY, Robb EL, Logan A, Nadtochiy SM, Ord ENJ, Smith AC, </w:t>
      </w:r>
      <w:r w:rsidRPr="00E97FC1">
        <w:rPr>
          <w:rFonts w:cs="Times New Roman"/>
          <w:i/>
          <w:iCs/>
          <w:noProof/>
          <w:szCs w:val="24"/>
          <w:lang w:val="en-GB"/>
        </w:rPr>
        <w:t>et al</w:t>
      </w:r>
      <w:r w:rsidRPr="00E97FC1">
        <w:rPr>
          <w:rFonts w:cs="Times New Roman"/>
          <w:noProof/>
          <w:szCs w:val="24"/>
          <w:lang w:val="en-GB"/>
        </w:rPr>
        <w:t xml:space="preserve"> (2014) Ischaemic accumulation of succinate controls reperfusion injury through  mitochondrial ROS. </w:t>
      </w:r>
      <w:r w:rsidRPr="00E97FC1">
        <w:rPr>
          <w:rFonts w:cs="Times New Roman"/>
          <w:i/>
          <w:iCs/>
          <w:noProof/>
          <w:szCs w:val="24"/>
          <w:lang w:val="en-GB"/>
        </w:rPr>
        <w:t>Nature</w:t>
      </w:r>
      <w:r w:rsidRPr="00E97FC1">
        <w:rPr>
          <w:rFonts w:cs="Times New Roman"/>
          <w:noProof/>
          <w:szCs w:val="24"/>
          <w:lang w:val="en-GB"/>
        </w:rPr>
        <w:t xml:space="preserve"> 515: 431–435</w:t>
      </w:r>
    </w:p>
    <w:p w14:paraId="3E0A9141"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Djurabekova A, Galemou Yoga E, Nyman A, Pirttikoski A, Zickermann V, Haapanen O &amp; Sharma V (2022) Docking and molecular simulations reveal a quinone-binding site on the surface of  respiratory complex I. </w:t>
      </w:r>
      <w:r w:rsidRPr="00E97FC1">
        <w:rPr>
          <w:rFonts w:cs="Times New Roman"/>
          <w:i/>
          <w:iCs/>
          <w:noProof/>
          <w:szCs w:val="24"/>
          <w:lang w:val="en-GB"/>
        </w:rPr>
        <w:t>FEBS Lett</w:t>
      </w:r>
      <w:r w:rsidRPr="00E97FC1">
        <w:rPr>
          <w:rFonts w:cs="Times New Roman"/>
          <w:noProof/>
          <w:szCs w:val="24"/>
          <w:lang w:val="en-GB"/>
        </w:rPr>
        <w:t xml:space="preserve"> 596: 1133–1146</w:t>
      </w:r>
    </w:p>
    <w:p w14:paraId="36733219"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Dorner K, Vranas M, Schimpf J, Straub IR, Hoeser J &amp; Friedrich T (2017) Significance of [2Fe-2S] Cluster N1a for Electron Transfer and Assembly of Escherichia coli Respiratory Complex I. </w:t>
      </w:r>
      <w:r w:rsidRPr="00E97FC1">
        <w:rPr>
          <w:rFonts w:cs="Times New Roman"/>
          <w:i/>
          <w:iCs/>
          <w:noProof/>
          <w:szCs w:val="24"/>
          <w:lang w:val="en-GB"/>
        </w:rPr>
        <w:t>Biochemistry</w:t>
      </w:r>
      <w:r w:rsidRPr="00E97FC1">
        <w:rPr>
          <w:rFonts w:cs="Times New Roman"/>
          <w:noProof/>
          <w:szCs w:val="24"/>
          <w:lang w:val="en-GB"/>
        </w:rPr>
        <w:t xml:space="preserve"> 56: 2770–2778</w:t>
      </w:r>
    </w:p>
    <w:p w14:paraId="7C55A77E"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Efremov RG &amp; Sazanov LA (2011) Structure of the membrane domain of respiratory complex I. </w:t>
      </w:r>
      <w:r w:rsidRPr="00E97FC1">
        <w:rPr>
          <w:rFonts w:cs="Times New Roman"/>
          <w:i/>
          <w:iCs/>
          <w:noProof/>
          <w:szCs w:val="24"/>
          <w:lang w:val="en-GB"/>
        </w:rPr>
        <w:t>Nature</w:t>
      </w:r>
      <w:r w:rsidRPr="00E97FC1">
        <w:rPr>
          <w:rFonts w:cs="Times New Roman"/>
          <w:noProof/>
          <w:szCs w:val="24"/>
          <w:lang w:val="en-GB"/>
        </w:rPr>
        <w:t xml:space="preserve"> 476: 414–420</w:t>
      </w:r>
    </w:p>
    <w:p w14:paraId="7D0798BC"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Efremov RG &amp; Sazanov LA (2012) The coupling mechanism of respiratory complex I - a structural and evolutionary  perspective. </w:t>
      </w:r>
      <w:r w:rsidRPr="00E97FC1">
        <w:rPr>
          <w:rFonts w:cs="Times New Roman"/>
          <w:i/>
          <w:iCs/>
          <w:noProof/>
          <w:szCs w:val="24"/>
          <w:lang w:val="en-GB"/>
        </w:rPr>
        <w:t>Biochim Biophys Acta</w:t>
      </w:r>
      <w:r w:rsidRPr="00E97FC1">
        <w:rPr>
          <w:rFonts w:cs="Times New Roman"/>
          <w:noProof/>
          <w:szCs w:val="24"/>
          <w:lang w:val="en-GB"/>
        </w:rPr>
        <w:t xml:space="preserve"> 1817: 1785–1795</w:t>
      </w:r>
    </w:p>
    <w:p w14:paraId="277B7031"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Emsley P, Lohkamp B, Scott WG &amp; Cowtan K (2010) Features and development of Coot. </w:t>
      </w:r>
      <w:r w:rsidRPr="00E97FC1">
        <w:rPr>
          <w:rFonts w:cs="Times New Roman"/>
          <w:i/>
          <w:iCs/>
          <w:noProof/>
          <w:szCs w:val="24"/>
          <w:lang w:val="en-GB"/>
        </w:rPr>
        <w:t>Acta Crystallogr D Biol Crystallogr</w:t>
      </w:r>
      <w:r w:rsidRPr="00E97FC1">
        <w:rPr>
          <w:rFonts w:cs="Times New Roman"/>
          <w:noProof/>
          <w:szCs w:val="24"/>
          <w:lang w:val="en-GB"/>
        </w:rPr>
        <w:t xml:space="preserve"> 66: 486–501</w:t>
      </w:r>
    </w:p>
    <w:p w14:paraId="458BC012"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Esterhazy D, King MS, Yakovlev G &amp; Hirst J (2008) Production of reactive oxygen species by complex I (NADH:ubiquinone oxidoreductase) from Escherichia coli and comparison to the enzyme from mitochondria. </w:t>
      </w:r>
      <w:r w:rsidRPr="00E97FC1">
        <w:rPr>
          <w:rFonts w:cs="Times New Roman"/>
          <w:i/>
          <w:iCs/>
          <w:noProof/>
          <w:szCs w:val="24"/>
          <w:lang w:val="en-GB"/>
        </w:rPr>
        <w:t>Biochemistry</w:t>
      </w:r>
      <w:r w:rsidRPr="00E97FC1">
        <w:rPr>
          <w:rFonts w:cs="Times New Roman"/>
          <w:noProof/>
          <w:szCs w:val="24"/>
          <w:lang w:val="en-GB"/>
        </w:rPr>
        <w:t xml:space="preserve"> 47: 3964–3971</w:t>
      </w:r>
    </w:p>
    <w:p w14:paraId="1D545C31"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Esterházy D, King MS, Yakovlev G &amp; Hirst J (2008) Production of reactive oxygen species by complex I (NADH:ubiquinone oxidoreductase)  from Escherichia coli and comparison to </w:t>
      </w:r>
      <w:r w:rsidRPr="00E97FC1">
        <w:rPr>
          <w:rFonts w:cs="Times New Roman"/>
          <w:noProof/>
          <w:szCs w:val="24"/>
          <w:lang w:val="en-GB"/>
        </w:rPr>
        <w:lastRenderedPageBreak/>
        <w:t xml:space="preserve">the enzyme from mitochondria. </w:t>
      </w:r>
      <w:r w:rsidRPr="00E97FC1">
        <w:rPr>
          <w:rFonts w:cs="Times New Roman"/>
          <w:i/>
          <w:iCs/>
          <w:noProof/>
          <w:szCs w:val="24"/>
          <w:lang w:val="en-GB"/>
        </w:rPr>
        <w:t>Biochemistry</w:t>
      </w:r>
      <w:r w:rsidRPr="00E97FC1">
        <w:rPr>
          <w:rFonts w:cs="Times New Roman"/>
          <w:noProof/>
          <w:szCs w:val="24"/>
          <w:lang w:val="en-GB"/>
        </w:rPr>
        <w:t xml:space="preserve"> 47: 3964–3971</w:t>
      </w:r>
    </w:p>
    <w:p w14:paraId="48617B9F"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Euro L, Belevich G, Bloch DA, Verkhovsky MI, Wikström M &amp; Verkhovskaya M (2009) The role of the invariant glutamate 95 in the catalytic site of Complex I from  Escherichia coli. </w:t>
      </w:r>
      <w:r w:rsidRPr="00E97FC1">
        <w:rPr>
          <w:rFonts w:cs="Times New Roman"/>
          <w:i/>
          <w:iCs/>
          <w:noProof/>
          <w:szCs w:val="24"/>
          <w:lang w:val="en-GB"/>
        </w:rPr>
        <w:t>Biochim Biophys Acta</w:t>
      </w:r>
      <w:r w:rsidRPr="00E97FC1">
        <w:rPr>
          <w:rFonts w:cs="Times New Roman"/>
          <w:noProof/>
          <w:szCs w:val="24"/>
          <w:lang w:val="en-GB"/>
        </w:rPr>
        <w:t xml:space="preserve"> 1787: 68–73</w:t>
      </w:r>
    </w:p>
    <w:p w14:paraId="5ED068F6"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Euro L, Belevich G, Verkhovsky MI, Wikström M &amp; Verkhovskaya M (2008a) Conserved lysine residues of the membrane subunit NuoM are involved in energy  conversion by the proton-pumping NADH:ubiquinone oxidoreductase (Complex I). </w:t>
      </w:r>
      <w:r w:rsidRPr="00E97FC1">
        <w:rPr>
          <w:rFonts w:cs="Times New Roman"/>
          <w:i/>
          <w:iCs/>
          <w:noProof/>
          <w:szCs w:val="24"/>
          <w:lang w:val="en-GB"/>
        </w:rPr>
        <w:t>Biochim Biophys Acta</w:t>
      </w:r>
      <w:r w:rsidRPr="00E97FC1">
        <w:rPr>
          <w:rFonts w:cs="Times New Roman"/>
          <w:noProof/>
          <w:szCs w:val="24"/>
          <w:lang w:val="en-GB"/>
        </w:rPr>
        <w:t xml:space="preserve"> 1777: 1166–1172</w:t>
      </w:r>
    </w:p>
    <w:p w14:paraId="7C579C46"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Euro L, Bloch DA, Wikström M, Verkhovsky MI &amp; Verkhovskaya M (2008b) Electrostatic interactions between FeS clusters in NADH:ubiquinone oxidoreductase  (Complex I) from Escherichia coli. </w:t>
      </w:r>
      <w:r w:rsidRPr="00E97FC1">
        <w:rPr>
          <w:rFonts w:cs="Times New Roman"/>
          <w:i/>
          <w:iCs/>
          <w:noProof/>
          <w:szCs w:val="24"/>
          <w:lang w:val="en-GB"/>
        </w:rPr>
        <w:t>Biochemistry</w:t>
      </w:r>
      <w:r w:rsidRPr="00E97FC1">
        <w:rPr>
          <w:rFonts w:cs="Times New Roman"/>
          <w:noProof/>
          <w:szCs w:val="24"/>
          <w:lang w:val="en-GB"/>
        </w:rPr>
        <w:t xml:space="preserve"> 47: 3185–3193</w:t>
      </w:r>
    </w:p>
    <w:p w14:paraId="481333BF"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Fiedorczuk K, Letts JA, Degliesposti G, Kaszuba K, Skehel M &amp; Sazanov LA (2016) Atomic structure of the entire mammalian mitochondrial complex I. </w:t>
      </w:r>
      <w:r w:rsidRPr="00E97FC1">
        <w:rPr>
          <w:rFonts w:cs="Times New Roman"/>
          <w:i/>
          <w:iCs/>
          <w:noProof/>
          <w:szCs w:val="24"/>
          <w:lang w:val="en-GB"/>
        </w:rPr>
        <w:t>Nature</w:t>
      </w:r>
      <w:r w:rsidRPr="00E97FC1">
        <w:rPr>
          <w:rFonts w:cs="Times New Roman"/>
          <w:noProof/>
          <w:szCs w:val="24"/>
          <w:lang w:val="en-GB"/>
        </w:rPr>
        <w:t xml:space="preserve"> 538: 406</w:t>
      </w:r>
    </w:p>
    <w:p w14:paraId="23B50C37"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Fiedorczuk K &amp; Sazanov LA (2018) Mammalian Mitochondrial Complex I Structure and Disease-Causing Mutations. </w:t>
      </w:r>
      <w:r w:rsidRPr="00E97FC1">
        <w:rPr>
          <w:rFonts w:cs="Times New Roman"/>
          <w:i/>
          <w:iCs/>
          <w:noProof/>
          <w:szCs w:val="24"/>
          <w:lang w:val="en-GB"/>
        </w:rPr>
        <w:t>Trends Cell Biol</w:t>
      </w:r>
      <w:r w:rsidRPr="00E97FC1">
        <w:rPr>
          <w:rFonts w:cs="Times New Roman"/>
          <w:noProof/>
          <w:szCs w:val="24"/>
          <w:lang w:val="en-GB"/>
        </w:rPr>
        <w:t xml:space="preserve"> 28: 835–867</w:t>
      </w:r>
    </w:p>
    <w:p w14:paraId="73A26E0C"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Flemming D, Hellwig P &amp; Friedrich T (2003) Involvement of tyrosines 114 and 139 of subunit NuoB in the proton pathway around  cluster N2 in Escherichia coli NADH:ubiquinone oxidoreductase. </w:t>
      </w:r>
      <w:r w:rsidRPr="00E97FC1">
        <w:rPr>
          <w:rFonts w:cs="Times New Roman"/>
          <w:i/>
          <w:iCs/>
          <w:noProof/>
          <w:szCs w:val="24"/>
          <w:lang w:val="en-GB"/>
        </w:rPr>
        <w:t>J Biol Chem</w:t>
      </w:r>
      <w:r w:rsidRPr="00E97FC1">
        <w:rPr>
          <w:rFonts w:cs="Times New Roman"/>
          <w:noProof/>
          <w:szCs w:val="24"/>
          <w:lang w:val="en-GB"/>
        </w:rPr>
        <w:t xml:space="preserve"> 278: 3055–3062</w:t>
      </w:r>
    </w:p>
    <w:p w14:paraId="3964BAEB"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Flemming D, Hellwig P, Lepper S, Kloer DP &amp; Friedrich T (2006) Catalytic importance of acidic amino acids on subunit NuoB of the Escherichia coli  NADH:ubiquinone oxidoreductase (complex I). </w:t>
      </w:r>
      <w:r w:rsidRPr="00E97FC1">
        <w:rPr>
          <w:rFonts w:cs="Times New Roman"/>
          <w:i/>
          <w:iCs/>
          <w:noProof/>
          <w:szCs w:val="24"/>
          <w:lang w:val="en-GB"/>
        </w:rPr>
        <w:t>J Biol Chem</w:t>
      </w:r>
      <w:r w:rsidRPr="00E97FC1">
        <w:rPr>
          <w:rFonts w:cs="Times New Roman"/>
          <w:noProof/>
          <w:szCs w:val="24"/>
          <w:lang w:val="en-GB"/>
        </w:rPr>
        <w:t xml:space="preserve"> 281: 24781–24789</w:t>
      </w:r>
    </w:p>
    <w:p w14:paraId="6863AD40"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Friedrich T, Dekovic DK &amp; Burschel S (2016) Assembly of the Escherichia coli NADH:ubiquinone oxidoreductase (respiratory complex I). </w:t>
      </w:r>
      <w:r w:rsidRPr="00E97FC1">
        <w:rPr>
          <w:rFonts w:cs="Times New Roman"/>
          <w:i/>
          <w:iCs/>
          <w:noProof/>
          <w:szCs w:val="24"/>
          <w:lang w:val="en-GB"/>
        </w:rPr>
        <w:t>Biochim Biophys Acta - Bioenerg</w:t>
      </w:r>
      <w:r w:rsidRPr="00E97FC1">
        <w:rPr>
          <w:rFonts w:cs="Times New Roman"/>
          <w:noProof/>
          <w:szCs w:val="24"/>
          <w:lang w:val="en-GB"/>
        </w:rPr>
        <w:t xml:space="preserve"> 1857: 214–223</w:t>
      </w:r>
    </w:p>
    <w:p w14:paraId="52FA4EF5"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Friedrich T, van Heek P, Leif H, Ohnishi T, Forche E, Kunze B, Jansen R, Trowitzsch-Kienast W, Höfle G &amp; Reichenbach H (1994) Two binding sites of inhibitors in NADH: ubiquinone oxidoreductase (complex I).  Relationship of one site with the ubiquinone-binding site of bacterial glucose:ubiquinone oxidoreductase. </w:t>
      </w:r>
      <w:r w:rsidRPr="00E97FC1">
        <w:rPr>
          <w:rFonts w:cs="Times New Roman"/>
          <w:i/>
          <w:iCs/>
          <w:noProof/>
          <w:szCs w:val="24"/>
          <w:lang w:val="en-GB"/>
        </w:rPr>
        <w:t>Eur J Biochem</w:t>
      </w:r>
      <w:r w:rsidRPr="00E97FC1">
        <w:rPr>
          <w:rFonts w:cs="Times New Roman"/>
          <w:noProof/>
          <w:szCs w:val="24"/>
          <w:lang w:val="en-GB"/>
        </w:rPr>
        <w:t xml:space="preserve"> 219: 691–698</w:t>
      </w:r>
    </w:p>
    <w:p w14:paraId="67B3FD9E"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Friedrich T &amp; Scheide D (2000) The respiratory complex I of bacteria, archaea and eukarya and its module common  with membrane-bound multisubunit hydrogenases. </w:t>
      </w:r>
      <w:r w:rsidRPr="00E97FC1">
        <w:rPr>
          <w:rFonts w:cs="Times New Roman"/>
          <w:i/>
          <w:iCs/>
          <w:noProof/>
          <w:szCs w:val="24"/>
          <w:lang w:val="en-GB"/>
        </w:rPr>
        <w:t>FEBS Lett</w:t>
      </w:r>
      <w:r w:rsidRPr="00E97FC1">
        <w:rPr>
          <w:rFonts w:cs="Times New Roman"/>
          <w:noProof/>
          <w:szCs w:val="24"/>
          <w:lang w:val="en-GB"/>
        </w:rPr>
        <w:t xml:space="preserve"> 479: 1–5</w:t>
      </w:r>
    </w:p>
    <w:p w14:paraId="7F1596D2"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Friedrich T, Steinmüller K &amp; Weiss H (1995) The proton-pumping respiratory complex I of bacteria and mitochondria and its homologue in chloroplasts. </w:t>
      </w:r>
      <w:r w:rsidRPr="00E97FC1">
        <w:rPr>
          <w:rFonts w:cs="Times New Roman"/>
          <w:i/>
          <w:iCs/>
          <w:noProof/>
          <w:szCs w:val="24"/>
          <w:lang w:val="en-GB"/>
        </w:rPr>
        <w:t>FEBS Lett</w:t>
      </w:r>
      <w:r w:rsidRPr="00E97FC1">
        <w:rPr>
          <w:rFonts w:cs="Times New Roman"/>
          <w:noProof/>
          <w:szCs w:val="24"/>
          <w:lang w:val="en-GB"/>
        </w:rPr>
        <w:t xml:space="preserve"> 367: 107–111</w:t>
      </w:r>
    </w:p>
    <w:p w14:paraId="7A48033A"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Galemou Yoga E, Parey K, Djurabekova A, Haapanen O, Siegmund K, Zwicker K, Sharma V, </w:t>
      </w:r>
      <w:r w:rsidRPr="00E97FC1">
        <w:rPr>
          <w:rFonts w:cs="Times New Roman"/>
          <w:noProof/>
          <w:szCs w:val="24"/>
          <w:lang w:val="en-GB"/>
        </w:rPr>
        <w:lastRenderedPageBreak/>
        <w:t xml:space="preserve">Zickermann V &amp; Angerer H (2020) Essential role of accessory subunit LYRM6 in the mechanism of mitochondrial  complex I. </w:t>
      </w:r>
      <w:r w:rsidRPr="00E97FC1">
        <w:rPr>
          <w:rFonts w:cs="Times New Roman"/>
          <w:i/>
          <w:iCs/>
          <w:noProof/>
          <w:szCs w:val="24"/>
          <w:lang w:val="en-GB"/>
        </w:rPr>
        <w:t>Nat Commun</w:t>
      </w:r>
      <w:r w:rsidRPr="00E97FC1">
        <w:rPr>
          <w:rFonts w:cs="Times New Roman"/>
          <w:noProof/>
          <w:szCs w:val="24"/>
          <w:lang w:val="en-GB"/>
        </w:rPr>
        <w:t xml:space="preserve"> 11: 6008</w:t>
      </w:r>
    </w:p>
    <w:p w14:paraId="37B0BB89"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Gnandt E, Schimpf J, Harter C, Hoeser J &amp; Friedrich T (2017) Reduction of the off-pathway iron-sulphur cluster N1a of Escherichia coli  respiratory complex I restrains NAD(+) dissociation. </w:t>
      </w:r>
      <w:r w:rsidRPr="00E97FC1">
        <w:rPr>
          <w:rFonts w:cs="Times New Roman"/>
          <w:i/>
          <w:iCs/>
          <w:noProof/>
          <w:szCs w:val="24"/>
          <w:lang w:val="en-GB"/>
        </w:rPr>
        <w:t>Sci Rep</w:t>
      </w:r>
      <w:r w:rsidRPr="00E97FC1">
        <w:rPr>
          <w:rFonts w:cs="Times New Roman"/>
          <w:noProof/>
          <w:szCs w:val="24"/>
          <w:lang w:val="en-GB"/>
        </w:rPr>
        <w:t xml:space="preserve"> 7: 8754</w:t>
      </w:r>
    </w:p>
    <w:p w14:paraId="12174D2A"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Goddard TD, Huang CC, Meng EC, Pettersen EF, Couch GS, Morris JH &amp; Ferrin TE (2018) UCSF ChimeraX: Meeting modern challenges in visualization and analysis. </w:t>
      </w:r>
      <w:r w:rsidRPr="00E97FC1">
        <w:rPr>
          <w:rFonts w:cs="Times New Roman"/>
          <w:i/>
          <w:iCs/>
          <w:noProof/>
          <w:szCs w:val="24"/>
          <w:lang w:val="en-GB"/>
        </w:rPr>
        <w:t>Protein Sci</w:t>
      </w:r>
      <w:r w:rsidRPr="00E97FC1">
        <w:rPr>
          <w:rFonts w:cs="Times New Roman"/>
          <w:noProof/>
          <w:szCs w:val="24"/>
          <w:lang w:val="en-GB"/>
        </w:rPr>
        <w:t xml:space="preserve"> 27: 14–25</w:t>
      </w:r>
    </w:p>
    <w:p w14:paraId="22F8084B"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Gostimskaya IS, Grivennikova VG, Cecchini G &amp; Vinogradov AD (2007) Reversible dissociation of flavin mononucleotide from the mammalian  membrane-bound NADH: ubiquinone oxidoreductase (complex I). </w:t>
      </w:r>
      <w:r w:rsidRPr="00E97FC1">
        <w:rPr>
          <w:rFonts w:cs="Times New Roman"/>
          <w:i/>
          <w:iCs/>
          <w:noProof/>
          <w:szCs w:val="24"/>
          <w:lang w:val="en-GB"/>
        </w:rPr>
        <w:t>FEBS Lett</w:t>
      </w:r>
      <w:r w:rsidRPr="00E97FC1">
        <w:rPr>
          <w:rFonts w:cs="Times New Roman"/>
          <w:noProof/>
          <w:szCs w:val="24"/>
          <w:lang w:val="en-GB"/>
        </w:rPr>
        <w:t xml:space="preserve"> 581: 5803–5806</w:t>
      </w:r>
    </w:p>
    <w:p w14:paraId="2062FC64"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Grba DN &amp; Hirst J (2020) Mitochondrial complex I structure reveals ordered water molecules for catalysis and  proton translocation. </w:t>
      </w:r>
      <w:r w:rsidRPr="00E97FC1">
        <w:rPr>
          <w:rFonts w:cs="Times New Roman"/>
          <w:i/>
          <w:iCs/>
          <w:noProof/>
          <w:szCs w:val="24"/>
          <w:lang w:val="en-GB"/>
        </w:rPr>
        <w:t>Nat Struct Mol Biol</w:t>
      </w:r>
    </w:p>
    <w:p w14:paraId="10794553"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Grivennikova VG &amp; Vinogradov AD (2013) Partitioning of superoxide and hydrogen peroxide production by mitochondrial respiratory complex I. </w:t>
      </w:r>
      <w:r w:rsidRPr="00E97FC1">
        <w:rPr>
          <w:rFonts w:cs="Times New Roman"/>
          <w:i/>
          <w:iCs/>
          <w:noProof/>
          <w:szCs w:val="24"/>
          <w:lang w:val="en-GB"/>
        </w:rPr>
        <w:t>Biochim Biophys Acta - Bioenerg</w:t>
      </w:r>
      <w:r w:rsidRPr="00E97FC1">
        <w:rPr>
          <w:rFonts w:cs="Times New Roman"/>
          <w:noProof/>
          <w:szCs w:val="24"/>
          <w:lang w:val="en-GB"/>
        </w:rPr>
        <w:t xml:space="preserve"> 1827: 446–454</w:t>
      </w:r>
    </w:p>
    <w:p w14:paraId="17652F16"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Gu J, Liu T, Guo R, Zhang L &amp; Yang M (2022) The coupling mechanism of mammalian mitochondrial complex I. </w:t>
      </w:r>
      <w:r w:rsidRPr="00E97FC1">
        <w:rPr>
          <w:rFonts w:cs="Times New Roman"/>
          <w:i/>
          <w:iCs/>
          <w:noProof/>
          <w:szCs w:val="24"/>
          <w:lang w:val="en-GB"/>
        </w:rPr>
        <w:t>Nat Struct Mol Biol</w:t>
      </w:r>
      <w:r w:rsidRPr="00E97FC1">
        <w:rPr>
          <w:rFonts w:cs="Times New Roman"/>
          <w:noProof/>
          <w:szCs w:val="24"/>
          <w:lang w:val="en-GB"/>
        </w:rPr>
        <w:t xml:space="preserve"> 29: 172–182</w:t>
      </w:r>
    </w:p>
    <w:p w14:paraId="1FCC1FBC"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Guerrero-Castillo S, Baertling F, Kownatzki D, Wessels HJ, Arnold S, Brandt U &amp; Nijtmans L (2017) The Assembly Pathway of Mitochondrial Respiratory Chain Complex I. </w:t>
      </w:r>
      <w:r w:rsidRPr="00E97FC1">
        <w:rPr>
          <w:rFonts w:cs="Times New Roman"/>
          <w:i/>
          <w:iCs/>
          <w:noProof/>
          <w:szCs w:val="24"/>
          <w:lang w:val="en-GB"/>
        </w:rPr>
        <w:t>Cell Metab</w:t>
      </w:r>
      <w:r w:rsidRPr="00E97FC1">
        <w:rPr>
          <w:rFonts w:cs="Times New Roman"/>
          <w:noProof/>
          <w:szCs w:val="24"/>
          <w:lang w:val="en-GB"/>
        </w:rPr>
        <w:t xml:space="preserve"> 25: 128–139</w:t>
      </w:r>
    </w:p>
    <w:p w14:paraId="74EA205F"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Gutiérrez-Fernández J, Kaszuba K, Minhas GS, Baradaran R, Tambalo M, Gallagher DT &amp; Sazanov LA (2020) Key role of quinone in the mechanism of respiratory complex I. </w:t>
      </w:r>
      <w:r w:rsidRPr="00E97FC1">
        <w:rPr>
          <w:rFonts w:cs="Times New Roman"/>
          <w:i/>
          <w:iCs/>
          <w:noProof/>
          <w:szCs w:val="24"/>
          <w:lang w:val="en-GB"/>
        </w:rPr>
        <w:t>Nat Commun</w:t>
      </w:r>
      <w:r w:rsidRPr="00E97FC1">
        <w:rPr>
          <w:rFonts w:cs="Times New Roman"/>
          <w:noProof/>
          <w:szCs w:val="24"/>
          <w:lang w:val="en-GB"/>
        </w:rPr>
        <w:t xml:space="preserve"> 11: 4135</w:t>
      </w:r>
    </w:p>
    <w:p w14:paraId="54E8DBBD"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He Z, Zheng F, Wu Y, Li Q, Lv J, Fu P &amp; Mi H (2015) NDH-1L interacts with ferredoxin via the subunit NdhS in Thermosynechococcus  elongatus. </w:t>
      </w:r>
      <w:r w:rsidRPr="00E97FC1">
        <w:rPr>
          <w:rFonts w:cs="Times New Roman"/>
          <w:i/>
          <w:iCs/>
          <w:noProof/>
          <w:szCs w:val="24"/>
          <w:lang w:val="en-GB"/>
        </w:rPr>
        <w:t>Photosynth Res</w:t>
      </w:r>
      <w:r w:rsidRPr="00E97FC1">
        <w:rPr>
          <w:rFonts w:cs="Times New Roman"/>
          <w:noProof/>
          <w:szCs w:val="24"/>
          <w:lang w:val="en-GB"/>
        </w:rPr>
        <w:t xml:space="preserve"> 126: 341–349</w:t>
      </w:r>
    </w:p>
    <w:p w14:paraId="0442CBFD"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Hedderich R (2004) Energy-converting [NiFe] hydrogenases from archaea and extremophiles: ancestors  of complex I. </w:t>
      </w:r>
      <w:r w:rsidRPr="00E97FC1">
        <w:rPr>
          <w:rFonts w:cs="Times New Roman"/>
          <w:i/>
          <w:iCs/>
          <w:noProof/>
          <w:szCs w:val="24"/>
          <w:lang w:val="en-GB"/>
        </w:rPr>
        <w:t>J Bioenerg Biomembr</w:t>
      </w:r>
      <w:r w:rsidRPr="00E97FC1">
        <w:rPr>
          <w:rFonts w:cs="Times New Roman"/>
          <w:noProof/>
          <w:szCs w:val="24"/>
          <w:lang w:val="en-GB"/>
        </w:rPr>
        <w:t xml:space="preserve"> 36: 65–75</w:t>
      </w:r>
    </w:p>
    <w:p w14:paraId="119852B9"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Hinttala R, Kervinen M, Uusimaa J, Maliniemi P, Finnilä S, Rantala H, Remes AM, Hassinen IE &amp; Majamaa K (2010) Analysis of functional consequences of haplogroup J polymorphisms m.4216T&gt;C and  m.3866T&gt;C in human MT-ND1: mutagenesis of homologous positions in Escherichia coli. </w:t>
      </w:r>
      <w:r w:rsidRPr="00E97FC1">
        <w:rPr>
          <w:rFonts w:cs="Times New Roman"/>
          <w:i/>
          <w:iCs/>
          <w:noProof/>
          <w:szCs w:val="24"/>
          <w:lang w:val="en-GB"/>
        </w:rPr>
        <w:t>Mitochondrion</w:t>
      </w:r>
      <w:r w:rsidRPr="00E97FC1">
        <w:rPr>
          <w:rFonts w:cs="Times New Roman"/>
          <w:noProof/>
          <w:szCs w:val="24"/>
          <w:lang w:val="en-GB"/>
        </w:rPr>
        <w:t xml:space="preserve"> 10: 358–361</w:t>
      </w:r>
    </w:p>
    <w:p w14:paraId="1BAA4452"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Hirst J (2013) Mitochondrial complex I. </w:t>
      </w:r>
      <w:r w:rsidRPr="00E97FC1">
        <w:rPr>
          <w:rFonts w:cs="Times New Roman"/>
          <w:i/>
          <w:iCs/>
          <w:noProof/>
          <w:szCs w:val="24"/>
          <w:lang w:val="en-GB"/>
        </w:rPr>
        <w:t>Annu Rev Biochem</w:t>
      </w:r>
      <w:r w:rsidRPr="00E97FC1">
        <w:rPr>
          <w:rFonts w:cs="Times New Roman"/>
          <w:noProof/>
          <w:szCs w:val="24"/>
          <w:lang w:val="en-GB"/>
        </w:rPr>
        <w:t xml:space="preserve"> 82: 551–575</w:t>
      </w:r>
    </w:p>
    <w:p w14:paraId="6E0BD1B5"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Holt PJ, Efremov RG, Nakamaru-Ogiso E &amp; Sazanov LA (2016) Reversible FMN dissociation </w:t>
      </w:r>
      <w:r w:rsidRPr="00E97FC1">
        <w:rPr>
          <w:rFonts w:cs="Times New Roman"/>
          <w:noProof/>
          <w:szCs w:val="24"/>
          <w:lang w:val="en-GB"/>
        </w:rPr>
        <w:lastRenderedPageBreak/>
        <w:t xml:space="preserve">from Escherichia coli respiratory complex I. </w:t>
      </w:r>
      <w:r w:rsidRPr="00E97FC1">
        <w:rPr>
          <w:rFonts w:cs="Times New Roman"/>
          <w:i/>
          <w:iCs/>
          <w:noProof/>
          <w:szCs w:val="24"/>
          <w:lang w:val="en-GB"/>
        </w:rPr>
        <w:t>Biochim Biophys Acta</w:t>
      </w:r>
      <w:r w:rsidRPr="00E97FC1">
        <w:rPr>
          <w:rFonts w:cs="Times New Roman"/>
          <w:noProof/>
          <w:szCs w:val="24"/>
          <w:lang w:val="en-GB"/>
        </w:rPr>
        <w:t xml:space="preserve"> 1857: 1777–1785</w:t>
      </w:r>
    </w:p>
    <w:p w14:paraId="5678F760"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Hualing M (2022) Cyanobacterial NDH-1 Complexes. </w:t>
      </w:r>
      <w:r w:rsidRPr="00E97FC1">
        <w:rPr>
          <w:rFonts w:cs="Times New Roman"/>
          <w:i/>
          <w:iCs/>
          <w:noProof/>
          <w:szCs w:val="24"/>
          <w:lang w:val="en-GB"/>
        </w:rPr>
        <w:t>Front Microbiol</w:t>
      </w:r>
      <w:r w:rsidRPr="00E97FC1">
        <w:rPr>
          <w:rFonts w:cs="Times New Roman"/>
          <w:noProof/>
          <w:szCs w:val="24"/>
          <w:lang w:val="en-GB"/>
        </w:rPr>
        <w:t xml:space="preserve"> 13: 933160</w:t>
      </w:r>
    </w:p>
    <w:p w14:paraId="79B709FE"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Huang W, Yang Y-J, Hu H &amp; Zhang S-B (2015) Different roles of cyclic electron flow around photosystem I under sub-saturating  and saturating light intensities in tobacco leaves. </w:t>
      </w:r>
      <w:r w:rsidRPr="00E97FC1">
        <w:rPr>
          <w:rFonts w:cs="Times New Roman"/>
          <w:i/>
          <w:iCs/>
          <w:noProof/>
          <w:szCs w:val="24"/>
          <w:lang w:val="en-GB"/>
        </w:rPr>
        <w:t>Front Plant Sci</w:t>
      </w:r>
      <w:r w:rsidRPr="00E97FC1">
        <w:rPr>
          <w:rFonts w:cs="Times New Roman"/>
          <w:noProof/>
          <w:szCs w:val="24"/>
          <w:lang w:val="en-GB"/>
        </w:rPr>
        <w:t xml:space="preserve"> 6: 923</w:t>
      </w:r>
    </w:p>
    <w:p w14:paraId="7E075998"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Ingledew WJ &amp; Ohnishi T (1980) An analysis of some thermodynamic properties of iron-sulphur centres in site I of  mitochondria. </w:t>
      </w:r>
      <w:r w:rsidRPr="00E97FC1">
        <w:rPr>
          <w:rFonts w:cs="Times New Roman"/>
          <w:i/>
          <w:iCs/>
          <w:noProof/>
          <w:szCs w:val="24"/>
          <w:lang w:val="en-GB"/>
        </w:rPr>
        <w:t>Biochem J</w:t>
      </w:r>
      <w:r w:rsidRPr="00E97FC1">
        <w:rPr>
          <w:rFonts w:cs="Times New Roman"/>
          <w:noProof/>
          <w:szCs w:val="24"/>
          <w:lang w:val="en-GB"/>
        </w:rPr>
        <w:t xml:space="preserve"> 186: 111–117</w:t>
      </w:r>
    </w:p>
    <w:p w14:paraId="7B051407"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Kaila VRI (2018) Long-range proton-coupled electron transfer in biological energy conversion: towards mechanistic understanding of respiratory complex I. </w:t>
      </w:r>
      <w:r w:rsidRPr="00E97FC1">
        <w:rPr>
          <w:rFonts w:cs="Times New Roman"/>
          <w:i/>
          <w:iCs/>
          <w:noProof/>
          <w:szCs w:val="24"/>
          <w:lang w:val="en-GB"/>
        </w:rPr>
        <w:t>J R Soc Interface</w:t>
      </w:r>
      <w:r w:rsidRPr="00E97FC1">
        <w:rPr>
          <w:rFonts w:cs="Times New Roman"/>
          <w:noProof/>
          <w:szCs w:val="24"/>
          <w:lang w:val="en-GB"/>
        </w:rPr>
        <w:t xml:space="preserve"> 15</w:t>
      </w:r>
    </w:p>
    <w:p w14:paraId="0CDE3B78"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Kaila VRI &amp; Wikström M (2021) Architecture of bacterial respiratory chains. </w:t>
      </w:r>
      <w:r w:rsidRPr="00E97FC1">
        <w:rPr>
          <w:rFonts w:cs="Times New Roman"/>
          <w:i/>
          <w:iCs/>
          <w:noProof/>
          <w:szCs w:val="24"/>
          <w:lang w:val="en-GB"/>
        </w:rPr>
        <w:t>Nat Rev Microbiol</w:t>
      </w:r>
      <w:r w:rsidRPr="00E97FC1">
        <w:rPr>
          <w:rFonts w:cs="Times New Roman"/>
          <w:noProof/>
          <w:szCs w:val="24"/>
          <w:lang w:val="en-GB"/>
        </w:rPr>
        <w:t xml:space="preserve"> 19: 319–330</w:t>
      </w:r>
    </w:p>
    <w:p w14:paraId="449C25DD"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Kampjut D &amp; Sazanov LA (2020) The coupling mechanism of mammalian respiratory complex I. </w:t>
      </w:r>
      <w:r w:rsidRPr="00E97FC1">
        <w:rPr>
          <w:rFonts w:cs="Times New Roman"/>
          <w:i/>
          <w:iCs/>
          <w:noProof/>
          <w:szCs w:val="24"/>
          <w:lang w:val="en-GB"/>
        </w:rPr>
        <w:t>Science</w:t>
      </w:r>
      <w:r w:rsidRPr="00E97FC1">
        <w:rPr>
          <w:rFonts w:cs="Times New Roman"/>
          <w:noProof/>
          <w:szCs w:val="24"/>
          <w:lang w:val="en-GB"/>
        </w:rPr>
        <w:t xml:space="preserve"> 370</w:t>
      </w:r>
    </w:p>
    <w:p w14:paraId="35655CC3"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Kampjut D &amp; Sazanov LA (2022) Structure of respiratory complex I - An emerging blueprint for the mechanism. </w:t>
      </w:r>
      <w:r w:rsidRPr="00E97FC1">
        <w:rPr>
          <w:rFonts w:cs="Times New Roman"/>
          <w:i/>
          <w:iCs/>
          <w:noProof/>
          <w:szCs w:val="24"/>
          <w:lang w:val="en-GB"/>
        </w:rPr>
        <w:t>Curr Opin Struct Biol</w:t>
      </w:r>
      <w:r w:rsidRPr="00E97FC1">
        <w:rPr>
          <w:rFonts w:cs="Times New Roman"/>
          <w:noProof/>
          <w:szCs w:val="24"/>
          <w:lang w:val="en-GB"/>
        </w:rPr>
        <w:t xml:space="preserve"> 74: 102350</w:t>
      </w:r>
    </w:p>
    <w:p w14:paraId="0CA477A4"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Kao M-C, Di Bernardo S, Nakamaru-Ogiso E, Miyoshi H, Matsuno-Yagi A &amp; Yagi T (2005a) Characterization of the membrane domain subunit NuoJ (ND6) of the NADH-quinone  oxidoreductase from Escherichia coli by chromosomal DNA manipulation. </w:t>
      </w:r>
      <w:r w:rsidRPr="00E97FC1">
        <w:rPr>
          <w:rFonts w:cs="Times New Roman"/>
          <w:i/>
          <w:iCs/>
          <w:noProof/>
          <w:szCs w:val="24"/>
          <w:lang w:val="en-GB"/>
        </w:rPr>
        <w:t>Biochemistry</w:t>
      </w:r>
      <w:r w:rsidRPr="00E97FC1">
        <w:rPr>
          <w:rFonts w:cs="Times New Roman"/>
          <w:noProof/>
          <w:szCs w:val="24"/>
          <w:lang w:val="en-GB"/>
        </w:rPr>
        <w:t xml:space="preserve"> 44: 3562–3571</w:t>
      </w:r>
    </w:p>
    <w:p w14:paraId="1C8E770B"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Kao M-C, Di Bernardo S, Perego M, Nakamaru-Ogiso E, Matsuno-Yagi A &amp; Yagi T (2004) Functional roles of four conserved charged residues in the membrane domain subunit  NuoA of the proton-translocating NADH-quinone oxidoreductase from Escherichia coli. </w:t>
      </w:r>
      <w:r w:rsidRPr="00E97FC1">
        <w:rPr>
          <w:rFonts w:cs="Times New Roman"/>
          <w:i/>
          <w:iCs/>
          <w:noProof/>
          <w:szCs w:val="24"/>
          <w:lang w:val="en-GB"/>
        </w:rPr>
        <w:t>J Biol Chem</w:t>
      </w:r>
      <w:r w:rsidRPr="00E97FC1">
        <w:rPr>
          <w:rFonts w:cs="Times New Roman"/>
          <w:noProof/>
          <w:szCs w:val="24"/>
          <w:lang w:val="en-GB"/>
        </w:rPr>
        <w:t xml:space="preserve"> 279: 32360–32366</w:t>
      </w:r>
    </w:p>
    <w:p w14:paraId="207997C5"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Kao M-C, Nakamaru-Ogiso E, Matsuno-Yagi A &amp; Yagi T (2005b) Characterization of the membrane domain subunit NuoK (ND4L) of the NADH-quinone  oxidoreductase from Escherichia coli. </w:t>
      </w:r>
      <w:r w:rsidRPr="00E97FC1">
        <w:rPr>
          <w:rFonts w:cs="Times New Roman"/>
          <w:i/>
          <w:iCs/>
          <w:noProof/>
          <w:szCs w:val="24"/>
          <w:lang w:val="en-GB"/>
        </w:rPr>
        <w:t>Biochemistry</w:t>
      </w:r>
      <w:r w:rsidRPr="00E97FC1">
        <w:rPr>
          <w:rFonts w:cs="Times New Roman"/>
          <w:noProof/>
          <w:szCs w:val="24"/>
          <w:lang w:val="en-GB"/>
        </w:rPr>
        <w:t xml:space="preserve"> 44: 9545–9554</w:t>
      </w:r>
    </w:p>
    <w:p w14:paraId="73C031F0"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Kelley LA, Mezulis S, Yates CM, Wass MN &amp; Sternberg MJE (2015) The Phyre2 web portal for protein modeling, prediction and analysis. </w:t>
      </w:r>
      <w:r w:rsidRPr="00E97FC1">
        <w:rPr>
          <w:rFonts w:cs="Times New Roman"/>
          <w:i/>
          <w:iCs/>
          <w:noProof/>
          <w:szCs w:val="24"/>
          <w:lang w:val="en-GB"/>
        </w:rPr>
        <w:t>Nat Protoc</w:t>
      </w:r>
      <w:r w:rsidRPr="00E97FC1">
        <w:rPr>
          <w:rFonts w:cs="Times New Roman"/>
          <w:noProof/>
          <w:szCs w:val="24"/>
          <w:lang w:val="en-GB"/>
        </w:rPr>
        <w:t xml:space="preserve"> 10: 845–858</w:t>
      </w:r>
    </w:p>
    <w:p w14:paraId="2F48A811"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Kervinen M, Hinttala R, Helander HM, Kurki S, Uusimaa J, Finel M, Majamaa K &amp; Hassinen IE (2006) The MELAS mutations 3946 and 3949 perturb the critical structure in a conserved loop  of the ND1 subunit of mitochondrial complex I. </w:t>
      </w:r>
      <w:r w:rsidRPr="00E97FC1">
        <w:rPr>
          <w:rFonts w:cs="Times New Roman"/>
          <w:i/>
          <w:iCs/>
          <w:noProof/>
          <w:szCs w:val="24"/>
          <w:lang w:val="en-GB"/>
        </w:rPr>
        <w:t>Hum Mol Genet</w:t>
      </w:r>
      <w:r w:rsidRPr="00E97FC1">
        <w:rPr>
          <w:rFonts w:cs="Times New Roman"/>
          <w:noProof/>
          <w:szCs w:val="24"/>
          <w:lang w:val="en-GB"/>
        </w:rPr>
        <w:t xml:space="preserve"> 15: 2543–2552</w:t>
      </w:r>
    </w:p>
    <w:p w14:paraId="116472F7"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Kervinen M, Pätsi J, Finel M &amp; Hassinen IE (2004) A pair of membrane-embedded acidic </w:t>
      </w:r>
      <w:r w:rsidRPr="00E97FC1">
        <w:rPr>
          <w:rFonts w:cs="Times New Roman"/>
          <w:noProof/>
          <w:szCs w:val="24"/>
          <w:lang w:val="en-GB"/>
        </w:rPr>
        <w:lastRenderedPageBreak/>
        <w:t xml:space="preserve">residues in the NuoK subunit of Escherichia coli  NDH-1, a counterpart of the ND4L subunit of the mitochondrial complex I, are required for high ubiquinone reductase activity. </w:t>
      </w:r>
      <w:r w:rsidRPr="00E97FC1">
        <w:rPr>
          <w:rFonts w:cs="Times New Roman"/>
          <w:i/>
          <w:iCs/>
          <w:noProof/>
          <w:szCs w:val="24"/>
          <w:lang w:val="en-GB"/>
        </w:rPr>
        <w:t>Biochemistry</w:t>
      </w:r>
      <w:r w:rsidRPr="00E97FC1">
        <w:rPr>
          <w:rFonts w:cs="Times New Roman"/>
          <w:noProof/>
          <w:szCs w:val="24"/>
          <w:lang w:val="en-GB"/>
        </w:rPr>
        <w:t xml:space="preserve"> 43: 773–781</w:t>
      </w:r>
    </w:p>
    <w:p w14:paraId="559B1897"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Klusch N, Senkler J, Yildiz Ö, Kühlbrandt W &amp; Braun H-P (2021) A ferredoxin bridge connects the two arms of plant mitochondrial complex I. </w:t>
      </w:r>
      <w:r w:rsidRPr="00E97FC1">
        <w:rPr>
          <w:rFonts w:cs="Times New Roman"/>
          <w:i/>
          <w:iCs/>
          <w:noProof/>
          <w:szCs w:val="24"/>
          <w:lang w:val="en-GB"/>
        </w:rPr>
        <w:t>Plant Cell</w:t>
      </w:r>
      <w:r w:rsidRPr="00E97FC1">
        <w:rPr>
          <w:rFonts w:cs="Times New Roman"/>
          <w:noProof/>
          <w:szCs w:val="24"/>
          <w:lang w:val="en-GB"/>
        </w:rPr>
        <w:t xml:space="preserve"> 33: 2072–2091</w:t>
      </w:r>
    </w:p>
    <w:p w14:paraId="3A0B2ECD"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Kolata P &amp; Efremov RG (2021) Structure of Escherichia coli respiratory complex I reconstituted into lipid  nanodiscs reveals an uncoupled conformation. </w:t>
      </w:r>
      <w:r w:rsidRPr="00E97FC1">
        <w:rPr>
          <w:rFonts w:cs="Times New Roman"/>
          <w:i/>
          <w:iCs/>
          <w:noProof/>
          <w:szCs w:val="24"/>
          <w:lang w:val="en-GB"/>
        </w:rPr>
        <w:t>Elife</w:t>
      </w:r>
      <w:r w:rsidRPr="00E97FC1">
        <w:rPr>
          <w:rFonts w:cs="Times New Roman"/>
          <w:noProof/>
          <w:szCs w:val="24"/>
          <w:lang w:val="en-GB"/>
        </w:rPr>
        <w:t xml:space="preserve"> 10</w:t>
      </w:r>
    </w:p>
    <w:p w14:paraId="5A0F2F0F"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Kotlyar AB &amp; Vinogradov AD (1990) Slow active/inactive transition of the mitochondrial NADH-ubiquinone reductase. </w:t>
      </w:r>
      <w:r w:rsidRPr="00E97FC1">
        <w:rPr>
          <w:rFonts w:cs="Times New Roman"/>
          <w:i/>
          <w:iCs/>
          <w:noProof/>
          <w:szCs w:val="24"/>
          <w:lang w:val="en-GB"/>
        </w:rPr>
        <w:t>Biochim Biophys Acta</w:t>
      </w:r>
      <w:r w:rsidRPr="00E97FC1">
        <w:rPr>
          <w:rFonts w:cs="Times New Roman"/>
          <w:noProof/>
          <w:szCs w:val="24"/>
          <w:lang w:val="en-GB"/>
        </w:rPr>
        <w:t xml:space="preserve"> 1019: 151–158</w:t>
      </w:r>
    </w:p>
    <w:p w14:paraId="138D4252"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Kramer DM &amp; Evans JR (2011) The importance of energy balance in improving photosynthetic productivity. </w:t>
      </w:r>
      <w:r w:rsidRPr="00E97FC1">
        <w:rPr>
          <w:rFonts w:cs="Times New Roman"/>
          <w:i/>
          <w:iCs/>
          <w:noProof/>
          <w:szCs w:val="24"/>
          <w:lang w:val="en-GB"/>
        </w:rPr>
        <w:t>Plant Physiol</w:t>
      </w:r>
      <w:r w:rsidRPr="00E97FC1">
        <w:rPr>
          <w:rFonts w:cs="Times New Roman"/>
          <w:noProof/>
          <w:szCs w:val="24"/>
          <w:lang w:val="en-GB"/>
        </w:rPr>
        <w:t xml:space="preserve"> 155: 70–78</w:t>
      </w:r>
    </w:p>
    <w:p w14:paraId="2D35FE89"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Kravchuk V, Petrova O, Kampjut D, Wojciechowska-Bason A, Breese Z &amp; Sazanov L (2022) A universal coupling mechanism of respiratory complex I. </w:t>
      </w:r>
      <w:r w:rsidRPr="00E97FC1">
        <w:rPr>
          <w:rFonts w:cs="Times New Roman"/>
          <w:i/>
          <w:iCs/>
          <w:noProof/>
          <w:szCs w:val="24"/>
          <w:lang w:val="en-GB"/>
        </w:rPr>
        <w:t>Nature</w:t>
      </w:r>
      <w:r w:rsidRPr="00E97FC1">
        <w:rPr>
          <w:rFonts w:cs="Times New Roman"/>
          <w:noProof/>
          <w:szCs w:val="24"/>
          <w:lang w:val="en-GB"/>
        </w:rPr>
        <w:t xml:space="preserve"> 609: 808–814</w:t>
      </w:r>
    </w:p>
    <w:p w14:paraId="0B7290D5"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Kühlbrandt W (2014) The Resolution Revolution. </w:t>
      </w:r>
      <w:r w:rsidRPr="00E97FC1">
        <w:rPr>
          <w:rFonts w:cs="Times New Roman"/>
          <w:i/>
          <w:iCs/>
          <w:noProof/>
          <w:szCs w:val="24"/>
          <w:lang w:val="en-GB"/>
        </w:rPr>
        <w:t>Science (80- )</w:t>
      </w:r>
      <w:r w:rsidRPr="00E97FC1">
        <w:rPr>
          <w:rFonts w:cs="Times New Roman"/>
          <w:noProof/>
          <w:szCs w:val="24"/>
          <w:lang w:val="en-GB"/>
        </w:rPr>
        <w:t xml:space="preserve"> 343: 1443–1444</w:t>
      </w:r>
    </w:p>
    <w:p w14:paraId="452B04A9"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Langen R, Jensen GM, Jacob U, Stephens PJ &amp; Warshel A (1992) Protein control of iron-sulfur cluster redox potentials. </w:t>
      </w:r>
      <w:r w:rsidRPr="00E97FC1">
        <w:rPr>
          <w:rFonts w:cs="Times New Roman"/>
          <w:i/>
          <w:iCs/>
          <w:noProof/>
          <w:szCs w:val="24"/>
          <w:lang w:val="en-GB"/>
        </w:rPr>
        <w:t>J Biol Chem</w:t>
      </w:r>
      <w:r w:rsidRPr="00E97FC1">
        <w:rPr>
          <w:rFonts w:cs="Times New Roman"/>
          <w:noProof/>
          <w:szCs w:val="24"/>
          <w:lang w:val="en-GB"/>
        </w:rPr>
        <w:t xml:space="preserve"> 267: 25625–25627</w:t>
      </w:r>
    </w:p>
    <w:p w14:paraId="1E5E9399"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Letts JA, Fiedorczuk K, Degliesposti G, Skehel M &amp; Sazanov LA (2019) Structures of Respiratory Supercomplex I+III2 Reveal Functional and Conformational Crosstalk. </w:t>
      </w:r>
      <w:r w:rsidRPr="00E97FC1">
        <w:rPr>
          <w:rFonts w:cs="Times New Roman"/>
          <w:i/>
          <w:iCs/>
          <w:noProof/>
          <w:szCs w:val="24"/>
          <w:lang w:val="en-GB"/>
        </w:rPr>
        <w:t>Mol Cell</w:t>
      </w:r>
      <w:r w:rsidRPr="00E97FC1">
        <w:rPr>
          <w:rFonts w:cs="Times New Roman"/>
          <w:noProof/>
          <w:szCs w:val="24"/>
          <w:lang w:val="en-GB"/>
        </w:rPr>
        <w:t xml:space="preserve"> 75: 1131-1146.e6</w:t>
      </w:r>
    </w:p>
    <w:p w14:paraId="2D512402"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Letts JA &amp; Sazanov LA (2015) Gaining mass: the structure of respiratory complex I-from bacterial towards mitochondrial versions. </w:t>
      </w:r>
      <w:r w:rsidRPr="00E97FC1">
        <w:rPr>
          <w:rFonts w:cs="Times New Roman"/>
          <w:i/>
          <w:iCs/>
          <w:noProof/>
          <w:szCs w:val="24"/>
          <w:lang w:val="en-GB"/>
        </w:rPr>
        <w:t>Curr Opin Struct Biol</w:t>
      </w:r>
      <w:r w:rsidRPr="00E97FC1">
        <w:rPr>
          <w:rFonts w:cs="Times New Roman"/>
          <w:noProof/>
          <w:szCs w:val="24"/>
          <w:lang w:val="en-GB"/>
        </w:rPr>
        <w:t xml:space="preserve"> 33: 135–145</w:t>
      </w:r>
    </w:p>
    <w:p w14:paraId="1CDF28E3"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Maliniemi P, Kervinen M &amp; Hassinen IE (2009) Modeling of human pathogenic mutations in Escherichia coli complex I reveals a  sensitive region in the fourth inside loop of NuoH. </w:t>
      </w:r>
      <w:r w:rsidRPr="00E97FC1">
        <w:rPr>
          <w:rFonts w:cs="Times New Roman"/>
          <w:i/>
          <w:iCs/>
          <w:noProof/>
          <w:szCs w:val="24"/>
          <w:lang w:val="en-GB"/>
        </w:rPr>
        <w:t>Mitochondrion</w:t>
      </w:r>
      <w:r w:rsidRPr="00E97FC1">
        <w:rPr>
          <w:rFonts w:cs="Times New Roman"/>
          <w:noProof/>
          <w:szCs w:val="24"/>
          <w:lang w:val="en-GB"/>
        </w:rPr>
        <w:t xml:space="preserve"> 9: 394–401</w:t>
      </w:r>
    </w:p>
    <w:p w14:paraId="38303CDF"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Masuya T, Uno S, Murai M &amp; Miyoshi H (2021) Pinpoint Dual Chemical Cross-Linking Explores the Structural Dynamics of the  Ubiquinone Reaction Site in Mitochondrial Complex I. </w:t>
      </w:r>
      <w:r w:rsidRPr="00E97FC1">
        <w:rPr>
          <w:rFonts w:cs="Times New Roman"/>
          <w:i/>
          <w:iCs/>
          <w:noProof/>
          <w:szCs w:val="24"/>
          <w:lang w:val="en-GB"/>
        </w:rPr>
        <w:t>Biochemistry</w:t>
      </w:r>
      <w:r w:rsidRPr="00E97FC1">
        <w:rPr>
          <w:rFonts w:cs="Times New Roman"/>
          <w:noProof/>
          <w:szCs w:val="24"/>
          <w:lang w:val="en-GB"/>
        </w:rPr>
        <w:t xml:space="preserve"> 60: 813–824</w:t>
      </w:r>
    </w:p>
    <w:p w14:paraId="2D9BF787"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Michel J, DeLeon-Rangel J, Zhu S, Van Ree K &amp; Vik SB (2011) Mutagenesis of the L, M, and N subunits of Complex I from Escherichia coli indicates  a common role in function. </w:t>
      </w:r>
      <w:r w:rsidRPr="00E97FC1">
        <w:rPr>
          <w:rFonts w:cs="Times New Roman"/>
          <w:i/>
          <w:iCs/>
          <w:noProof/>
          <w:szCs w:val="24"/>
          <w:lang w:val="en-GB"/>
        </w:rPr>
        <w:t>PLoS One</w:t>
      </w:r>
      <w:r w:rsidRPr="00E97FC1">
        <w:rPr>
          <w:rFonts w:cs="Times New Roman"/>
          <w:noProof/>
          <w:szCs w:val="24"/>
          <w:lang w:val="en-GB"/>
        </w:rPr>
        <w:t xml:space="preserve"> 6: e17420</w:t>
      </w:r>
    </w:p>
    <w:p w14:paraId="5373B894"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Millar AH, Whelan J, Soole KL &amp; Day DA (2011) Organization and Regulation of Mitochondrial Respiration in Plants. </w:t>
      </w:r>
      <w:r w:rsidRPr="00E97FC1">
        <w:rPr>
          <w:rFonts w:cs="Times New Roman"/>
          <w:i/>
          <w:iCs/>
          <w:noProof/>
          <w:szCs w:val="24"/>
          <w:lang w:val="en-GB"/>
        </w:rPr>
        <w:t>Annu Rev Plant Biol</w:t>
      </w:r>
      <w:r w:rsidRPr="00E97FC1">
        <w:rPr>
          <w:rFonts w:cs="Times New Roman"/>
          <w:noProof/>
          <w:szCs w:val="24"/>
          <w:lang w:val="en-GB"/>
        </w:rPr>
        <w:t xml:space="preserve"> 62: 79–104</w:t>
      </w:r>
    </w:p>
    <w:p w14:paraId="197CEAFF"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MITCHELL P (1961) Coupling of Phosphorylation to Electron and Hydrogen Transfer by a Chemi-Osmotic type of Mechanism. </w:t>
      </w:r>
      <w:r w:rsidRPr="00E97FC1">
        <w:rPr>
          <w:rFonts w:cs="Times New Roman"/>
          <w:i/>
          <w:iCs/>
          <w:noProof/>
          <w:szCs w:val="24"/>
          <w:lang w:val="en-GB"/>
        </w:rPr>
        <w:t>Nature</w:t>
      </w:r>
      <w:r w:rsidRPr="00E97FC1">
        <w:rPr>
          <w:rFonts w:cs="Times New Roman"/>
          <w:noProof/>
          <w:szCs w:val="24"/>
          <w:lang w:val="en-GB"/>
        </w:rPr>
        <w:t xml:space="preserve"> 191: 144–148</w:t>
      </w:r>
    </w:p>
    <w:p w14:paraId="684FFB52"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lastRenderedPageBreak/>
        <w:t xml:space="preserve">Möller S, Croning MD &amp; Apweiler R (2001) Evaluation of methods for the prediction of membrane spanning regions. </w:t>
      </w:r>
      <w:r w:rsidRPr="00E97FC1">
        <w:rPr>
          <w:rFonts w:cs="Times New Roman"/>
          <w:i/>
          <w:iCs/>
          <w:noProof/>
          <w:szCs w:val="24"/>
          <w:lang w:val="en-GB"/>
        </w:rPr>
        <w:t>Bioinformatics</w:t>
      </w:r>
      <w:r w:rsidRPr="00E97FC1">
        <w:rPr>
          <w:rFonts w:cs="Times New Roman"/>
          <w:noProof/>
          <w:szCs w:val="24"/>
          <w:lang w:val="en-GB"/>
        </w:rPr>
        <w:t xml:space="preserve"> 17: 646–653</w:t>
      </w:r>
    </w:p>
    <w:p w14:paraId="5F696BF4"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Moparthi VK &amp; Hägerhäll C (2011) The evolution of respiratory chain complex I from a smaller last common ancestor  consisting of 11 protein subunits. </w:t>
      </w:r>
      <w:r w:rsidRPr="00E97FC1">
        <w:rPr>
          <w:rFonts w:cs="Times New Roman"/>
          <w:i/>
          <w:iCs/>
          <w:noProof/>
          <w:szCs w:val="24"/>
          <w:lang w:val="en-GB"/>
        </w:rPr>
        <w:t>J Mol Evol</w:t>
      </w:r>
      <w:r w:rsidRPr="00E97FC1">
        <w:rPr>
          <w:rFonts w:cs="Times New Roman"/>
          <w:noProof/>
          <w:szCs w:val="24"/>
          <w:lang w:val="en-GB"/>
        </w:rPr>
        <w:t xml:space="preserve"> 72: 484–497</w:t>
      </w:r>
    </w:p>
    <w:p w14:paraId="6A5F5072"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Mühlbauer ME, Saura P, Nuber F, Di Luca A, Friedrich T &amp; Kaila VRI (2020) Water-Gated Proton Transfer Dynamics in Respiratory Complex I. </w:t>
      </w:r>
      <w:r w:rsidRPr="00E97FC1">
        <w:rPr>
          <w:rFonts w:cs="Times New Roman"/>
          <w:i/>
          <w:iCs/>
          <w:noProof/>
          <w:szCs w:val="24"/>
          <w:lang w:val="en-GB"/>
        </w:rPr>
        <w:t>J Am Chem Soc</w:t>
      </w:r>
      <w:r w:rsidRPr="00E97FC1">
        <w:rPr>
          <w:rFonts w:cs="Times New Roman"/>
          <w:noProof/>
          <w:szCs w:val="24"/>
          <w:lang w:val="en-GB"/>
        </w:rPr>
        <w:t xml:space="preserve"> 142: 13718–13728</w:t>
      </w:r>
    </w:p>
    <w:p w14:paraId="659E1953"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Nakamaru-Ogiso E, Kao M-C, Chen H, Sinha SC, Yagi T &amp; Ohnishi T (2010) The membrane subunit NuoL(ND5) is involved in the indirect proton pumping mechanism  of Escherichia coli complex I. </w:t>
      </w:r>
      <w:r w:rsidRPr="00E97FC1">
        <w:rPr>
          <w:rFonts w:cs="Times New Roman"/>
          <w:i/>
          <w:iCs/>
          <w:noProof/>
          <w:szCs w:val="24"/>
          <w:lang w:val="en-GB"/>
        </w:rPr>
        <w:t>J Biol Chem</w:t>
      </w:r>
      <w:r w:rsidRPr="00E97FC1">
        <w:rPr>
          <w:rFonts w:cs="Times New Roman"/>
          <w:noProof/>
          <w:szCs w:val="24"/>
          <w:lang w:val="en-GB"/>
        </w:rPr>
        <w:t xml:space="preserve"> 285: 39070–39078</w:t>
      </w:r>
    </w:p>
    <w:p w14:paraId="7D3E8547"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Nicholls DG &amp; Ferguson SJ (2002) Bioenergetics Elsevier</w:t>
      </w:r>
    </w:p>
    <w:p w14:paraId="628BE5DC"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Nosek J &amp; Fukuhara H (1994) NADH dehydrogenase subunit genes in the mitochondrial DNA of yeasts. </w:t>
      </w:r>
      <w:r w:rsidRPr="00E97FC1">
        <w:rPr>
          <w:rFonts w:cs="Times New Roman"/>
          <w:i/>
          <w:iCs/>
          <w:noProof/>
          <w:szCs w:val="24"/>
          <w:lang w:val="en-GB"/>
        </w:rPr>
        <w:t>J Bacteriol</w:t>
      </w:r>
      <w:r w:rsidRPr="00E97FC1">
        <w:rPr>
          <w:rFonts w:cs="Times New Roman"/>
          <w:noProof/>
          <w:szCs w:val="24"/>
          <w:lang w:val="en-GB"/>
        </w:rPr>
        <w:t xml:space="preserve"> 176: 5622–5630</w:t>
      </w:r>
    </w:p>
    <w:p w14:paraId="2BFE0682"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Nowaczyk MM, Wulfhorst H, Ryan CM, Souda P, Zhang H, Cramer WA &amp; Whitelegge JP (2011) NdhP and NdhQ: two novel small subunits of the cyanobacterial NDH-1 complex. </w:t>
      </w:r>
      <w:r w:rsidRPr="00E97FC1">
        <w:rPr>
          <w:rFonts w:cs="Times New Roman"/>
          <w:i/>
          <w:iCs/>
          <w:noProof/>
          <w:szCs w:val="24"/>
          <w:lang w:val="en-GB"/>
        </w:rPr>
        <w:t>Biochemistry</w:t>
      </w:r>
      <w:r w:rsidRPr="00E97FC1">
        <w:rPr>
          <w:rFonts w:cs="Times New Roman"/>
          <w:noProof/>
          <w:szCs w:val="24"/>
          <w:lang w:val="en-GB"/>
        </w:rPr>
        <w:t xml:space="preserve"> 50: 1121–1124</w:t>
      </w:r>
    </w:p>
    <w:p w14:paraId="4B4C7E0C"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Ohnishi T (1998) Iron-sulfur clusters/semiquinones in complex I. </w:t>
      </w:r>
      <w:r w:rsidRPr="00E97FC1">
        <w:rPr>
          <w:rFonts w:cs="Times New Roman"/>
          <w:i/>
          <w:iCs/>
          <w:noProof/>
          <w:szCs w:val="24"/>
          <w:lang w:val="en-GB"/>
        </w:rPr>
        <w:t>Biochim Biophys Acta</w:t>
      </w:r>
      <w:r w:rsidRPr="00E97FC1">
        <w:rPr>
          <w:rFonts w:cs="Times New Roman"/>
          <w:noProof/>
          <w:szCs w:val="24"/>
          <w:lang w:val="en-GB"/>
        </w:rPr>
        <w:t xml:space="preserve"> 1364: 186–206</w:t>
      </w:r>
    </w:p>
    <w:p w14:paraId="508C5D83"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Ohnishi T, Ohnishi ST &amp; Salerno JC (2018) Five decades of research on mitochondrial NADH-quinone oxidoreductase (complex I). </w:t>
      </w:r>
      <w:r w:rsidRPr="00E97FC1">
        <w:rPr>
          <w:rFonts w:cs="Times New Roman"/>
          <w:i/>
          <w:iCs/>
          <w:noProof/>
          <w:szCs w:val="24"/>
          <w:lang w:val="en-GB"/>
        </w:rPr>
        <w:t>Biol Chem</w:t>
      </w:r>
      <w:r w:rsidRPr="00E97FC1">
        <w:rPr>
          <w:rFonts w:cs="Times New Roman"/>
          <w:noProof/>
          <w:szCs w:val="24"/>
          <w:lang w:val="en-GB"/>
        </w:rPr>
        <w:t xml:space="preserve"> 399: 1249–1264</w:t>
      </w:r>
    </w:p>
    <w:p w14:paraId="33EC4B8C"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Pan X, Cao D, Xie F, Xu F, Su X, Mi H, Zhang X &amp; Li M (2020) Structural basis for electron transport mechanism of complex I-like  photosynthetic NAD(P)H dehydrogenase. </w:t>
      </w:r>
      <w:r w:rsidRPr="00E97FC1">
        <w:rPr>
          <w:rFonts w:cs="Times New Roman"/>
          <w:i/>
          <w:iCs/>
          <w:noProof/>
          <w:szCs w:val="24"/>
          <w:lang w:val="en-GB"/>
        </w:rPr>
        <w:t>Nat Commun</w:t>
      </w:r>
      <w:r w:rsidRPr="00E97FC1">
        <w:rPr>
          <w:rFonts w:cs="Times New Roman"/>
          <w:noProof/>
          <w:szCs w:val="24"/>
          <w:lang w:val="en-GB"/>
        </w:rPr>
        <w:t xml:space="preserve"> 11: 610</w:t>
      </w:r>
    </w:p>
    <w:p w14:paraId="0B1B155A"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Parey K, Haapanen O, Sharma V, Köfeler H, Züllig T, Prinz S, Siegmund K, Wittig I, Mills DJ, Vonck J, </w:t>
      </w:r>
      <w:r w:rsidRPr="00E97FC1">
        <w:rPr>
          <w:rFonts w:cs="Times New Roman"/>
          <w:i/>
          <w:iCs/>
          <w:noProof/>
          <w:szCs w:val="24"/>
          <w:lang w:val="en-GB"/>
        </w:rPr>
        <w:t>et al</w:t>
      </w:r>
      <w:r w:rsidRPr="00E97FC1">
        <w:rPr>
          <w:rFonts w:cs="Times New Roman"/>
          <w:noProof/>
          <w:szCs w:val="24"/>
          <w:lang w:val="en-GB"/>
        </w:rPr>
        <w:t xml:space="preserve"> (2019) High-resolution cryo-EM structures of respiratory complex I: Mechanism, assembly,  and disease. </w:t>
      </w:r>
      <w:r w:rsidRPr="00E97FC1">
        <w:rPr>
          <w:rFonts w:cs="Times New Roman"/>
          <w:i/>
          <w:iCs/>
          <w:noProof/>
          <w:szCs w:val="24"/>
          <w:lang w:val="en-GB"/>
        </w:rPr>
        <w:t>Sci Adv</w:t>
      </w:r>
      <w:r w:rsidRPr="00E97FC1">
        <w:rPr>
          <w:rFonts w:cs="Times New Roman"/>
          <w:noProof/>
          <w:szCs w:val="24"/>
          <w:lang w:val="en-GB"/>
        </w:rPr>
        <w:t xml:space="preserve"> 5: eaax9484</w:t>
      </w:r>
    </w:p>
    <w:p w14:paraId="290EC8DB"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Parey K, Lasham J, Mills DJ, Djurabekova A, Haapanen O, Yoga EG, Xie H, Kühlbrandt W, Sharma V, Vonck J, </w:t>
      </w:r>
      <w:r w:rsidRPr="00E97FC1">
        <w:rPr>
          <w:rFonts w:cs="Times New Roman"/>
          <w:i/>
          <w:iCs/>
          <w:noProof/>
          <w:szCs w:val="24"/>
          <w:lang w:val="en-GB"/>
        </w:rPr>
        <w:t>et al</w:t>
      </w:r>
      <w:r w:rsidRPr="00E97FC1">
        <w:rPr>
          <w:rFonts w:cs="Times New Roman"/>
          <w:noProof/>
          <w:szCs w:val="24"/>
          <w:lang w:val="en-GB"/>
        </w:rPr>
        <w:t xml:space="preserve"> (2021) High-resolution structure and dynamics of mitochondrial complex I-Insights into  the proton pumping mechanism. </w:t>
      </w:r>
      <w:r w:rsidRPr="00E97FC1">
        <w:rPr>
          <w:rFonts w:cs="Times New Roman"/>
          <w:i/>
          <w:iCs/>
          <w:noProof/>
          <w:szCs w:val="24"/>
          <w:lang w:val="en-GB"/>
        </w:rPr>
        <w:t>Sci Adv</w:t>
      </w:r>
      <w:r w:rsidRPr="00E97FC1">
        <w:rPr>
          <w:rFonts w:cs="Times New Roman"/>
          <w:noProof/>
          <w:szCs w:val="24"/>
          <w:lang w:val="en-GB"/>
        </w:rPr>
        <w:t xml:space="preserve"> 7: eabj3221</w:t>
      </w:r>
    </w:p>
    <w:p w14:paraId="373C4503"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Parey K, Wirth C, Vonck J &amp; Zickermann V (2020) Respiratory complex I — structure, mechanism and evolution. </w:t>
      </w:r>
      <w:r w:rsidRPr="00E97FC1">
        <w:rPr>
          <w:rFonts w:cs="Times New Roman"/>
          <w:i/>
          <w:iCs/>
          <w:noProof/>
          <w:szCs w:val="24"/>
          <w:lang w:val="en-GB"/>
        </w:rPr>
        <w:t>Curr Opin Struct Biol</w:t>
      </w:r>
      <w:r w:rsidRPr="00E97FC1">
        <w:rPr>
          <w:rFonts w:cs="Times New Roman"/>
          <w:noProof/>
          <w:szCs w:val="24"/>
          <w:lang w:val="en-GB"/>
        </w:rPr>
        <w:t xml:space="preserve"> 63: 1–9</w:t>
      </w:r>
    </w:p>
    <w:p w14:paraId="1E305A8F"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Pätsi J, Kervinen M, Finel M &amp; Hassinen IE (2008) Leber hereditary optic neuropathy mutations in the ND6 subunit of mitochondrial  complex I affect ubiquinone reduction kinetics in a bacterial model of the enzyme. </w:t>
      </w:r>
      <w:r w:rsidRPr="00E97FC1">
        <w:rPr>
          <w:rFonts w:cs="Times New Roman"/>
          <w:i/>
          <w:iCs/>
          <w:noProof/>
          <w:szCs w:val="24"/>
          <w:lang w:val="en-GB"/>
        </w:rPr>
        <w:t>Biochem J</w:t>
      </w:r>
      <w:r w:rsidRPr="00E97FC1">
        <w:rPr>
          <w:rFonts w:cs="Times New Roman"/>
          <w:noProof/>
          <w:szCs w:val="24"/>
          <w:lang w:val="en-GB"/>
        </w:rPr>
        <w:t xml:space="preserve"> 409: 129–137</w:t>
      </w:r>
    </w:p>
    <w:p w14:paraId="400EEAF4"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Pätsi J, Maliniemi P, Pakanen S, Hinttala R, Uusimaa J, Majamaa K, Nyström T, Kervinen M </w:t>
      </w:r>
      <w:r w:rsidRPr="00E97FC1">
        <w:rPr>
          <w:rFonts w:cs="Times New Roman"/>
          <w:noProof/>
          <w:szCs w:val="24"/>
          <w:lang w:val="en-GB"/>
        </w:rPr>
        <w:lastRenderedPageBreak/>
        <w:t xml:space="preserve">&amp; Hassinen IE (2012) LHON/MELAS overlap mutation in ND1 subunit of mitochondrial complex I affects  ubiquinone binding as revealed by modeling in Escherichia coli NDH-1. </w:t>
      </w:r>
      <w:r w:rsidRPr="00E97FC1">
        <w:rPr>
          <w:rFonts w:cs="Times New Roman"/>
          <w:i/>
          <w:iCs/>
          <w:noProof/>
          <w:szCs w:val="24"/>
          <w:lang w:val="en-GB"/>
        </w:rPr>
        <w:t>Biochim Biophys Acta</w:t>
      </w:r>
      <w:r w:rsidRPr="00E97FC1">
        <w:rPr>
          <w:rFonts w:cs="Times New Roman"/>
          <w:noProof/>
          <w:szCs w:val="24"/>
          <w:lang w:val="en-GB"/>
        </w:rPr>
        <w:t xml:space="preserve"> 1817: 312–318</w:t>
      </w:r>
    </w:p>
    <w:p w14:paraId="175865AA"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Peng G, Meyer B, Sokolova L, Liu W, Bornemann S, Juli J, Zwicker K, Karas M, Brutschy B &amp; Michel H (2018) Identification and characterization two isoforms of NADH:ubiquinone oxidoreductase  from the hyperthermophilic eubacterium Aquifex aeolicus. </w:t>
      </w:r>
      <w:r w:rsidRPr="00E97FC1">
        <w:rPr>
          <w:rFonts w:cs="Times New Roman"/>
          <w:i/>
          <w:iCs/>
          <w:noProof/>
          <w:szCs w:val="24"/>
          <w:lang w:val="en-GB"/>
        </w:rPr>
        <w:t>Biochim Biophys acta Bioenerg</w:t>
      </w:r>
      <w:r w:rsidRPr="00E97FC1">
        <w:rPr>
          <w:rFonts w:cs="Times New Roman"/>
          <w:noProof/>
          <w:szCs w:val="24"/>
          <w:lang w:val="en-GB"/>
        </w:rPr>
        <w:t xml:space="preserve"> 1859: 366–373</w:t>
      </w:r>
    </w:p>
    <w:p w14:paraId="3540E820"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Pettersen EF, Goddard TD, Huang CC, Couch GS, Greenblatt DM, Meng EC &amp; Ferrin TE (2004) UCSF Chimera - A visualization system for exploratory research and analysis. </w:t>
      </w:r>
      <w:r w:rsidRPr="00E97FC1">
        <w:rPr>
          <w:rFonts w:cs="Times New Roman"/>
          <w:i/>
          <w:iCs/>
          <w:noProof/>
          <w:szCs w:val="24"/>
          <w:lang w:val="en-GB"/>
        </w:rPr>
        <w:t>J Comput Chem</w:t>
      </w:r>
      <w:r w:rsidRPr="00E97FC1">
        <w:rPr>
          <w:rFonts w:cs="Times New Roman"/>
          <w:noProof/>
          <w:szCs w:val="24"/>
          <w:lang w:val="en-GB"/>
        </w:rPr>
        <w:t xml:space="preserve"> 25: 1605–1612</w:t>
      </w:r>
    </w:p>
    <w:p w14:paraId="1615E467"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Pintilie G, Zhang K, Su Z, Li S, Schmid MF &amp; Chiu W (2020) Measurement of atom resolvability in cryo-EM maps with Q-scores. </w:t>
      </w:r>
      <w:r w:rsidRPr="00E97FC1">
        <w:rPr>
          <w:rFonts w:cs="Times New Roman"/>
          <w:i/>
          <w:iCs/>
          <w:noProof/>
          <w:szCs w:val="24"/>
          <w:lang w:val="en-GB"/>
        </w:rPr>
        <w:t>Nat Methods</w:t>
      </w:r>
      <w:r w:rsidRPr="00E97FC1">
        <w:rPr>
          <w:rFonts w:cs="Times New Roman"/>
          <w:noProof/>
          <w:szCs w:val="24"/>
          <w:lang w:val="en-GB"/>
        </w:rPr>
        <w:t xml:space="preserve"> 17: 328–334</w:t>
      </w:r>
    </w:p>
    <w:p w14:paraId="60E7EF8D"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Rochaix J-D (2011) Reprint of: Regulation of photosynthetic electron transport. </w:t>
      </w:r>
      <w:r w:rsidRPr="00E97FC1">
        <w:rPr>
          <w:rFonts w:cs="Times New Roman"/>
          <w:i/>
          <w:iCs/>
          <w:noProof/>
          <w:szCs w:val="24"/>
          <w:lang w:val="en-GB"/>
        </w:rPr>
        <w:t>Biochim Biophys Acta - Bioenerg</w:t>
      </w:r>
      <w:r w:rsidRPr="00E97FC1">
        <w:rPr>
          <w:rFonts w:cs="Times New Roman"/>
          <w:noProof/>
          <w:szCs w:val="24"/>
          <w:lang w:val="en-GB"/>
        </w:rPr>
        <w:t xml:space="preserve"> 1807: 878–886</w:t>
      </w:r>
    </w:p>
    <w:p w14:paraId="3CDDCD8A"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Rohou A &amp; Grigorieff N (2015) CTFFIND4: Fast and accurate defocus estimation from electron micrographs. </w:t>
      </w:r>
      <w:r w:rsidRPr="00E97FC1">
        <w:rPr>
          <w:rFonts w:cs="Times New Roman"/>
          <w:i/>
          <w:iCs/>
          <w:noProof/>
          <w:szCs w:val="24"/>
          <w:lang w:val="en-GB"/>
        </w:rPr>
        <w:t>J Struct Biol</w:t>
      </w:r>
      <w:r w:rsidRPr="00E97FC1">
        <w:rPr>
          <w:rFonts w:cs="Times New Roman"/>
          <w:noProof/>
          <w:szCs w:val="24"/>
          <w:lang w:val="en-GB"/>
        </w:rPr>
        <w:t xml:space="preserve"> 192: 216–221</w:t>
      </w:r>
    </w:p>
    <w:p w14:paraId="2422EE64"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Sato M, Sinha PK, Torres-Bacete J, Matsuno-Yagi A &amp; Yagi T (2013) Energy transducing roles of antiporter-like subunits in Escherichia coli NDH-1 with main focus on subunit NuoN (ND2). </w:t>
      </w:r>
      <w:r w:rsidRPr="00E97FC1">
        <w:rPr>
          <w:rFonts w:cs="Times New Roman"/>
          <w:i/>
          <w:iCs/>
          <w:noProof/>
          <w:szCs w:val="24"/>
          <w:lang w:val="en-GB"/>
        </w:rPr>
        <w:t>J Biol Chem</w:t>
      </w:r>
      <w:r w:rsidRPr="00E97FC1">
        <w:rPr>
          <w:rFonts w:cs="Times New Roman"/>
          <w:noProof/>
          <w:szCs w:val="24"/>
          <w:lang w:val="en-GB"/>
        </w:rPr>
        <w:t xml:space="preserve"> 288: 24705–24716</w:t>
      </w:r>
    </w:p>
    <w:p w14:paraId="6B204233"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Sazanov LA (2015) A giant molecular proton pump: structure and mechanism of respiratory complex I. </w:t>
      </w:r>
      <w:r w:rsidRPr="00E97FC1">
        <w:rPr>
          <w:rFonts w:cs="Times New Roman"/>
          <w:i/>
          <w:iCs/>
          <w:noProof/>
          <w:szCs w:val="24"/>
          <w:lang w:val="en-GB"/>
        </w:rPr>
        <w:t>Nat Rev Mol Cell Biol</w:t>
      </w:r>
      <w:r w:rsidRPr="00E97FC1">
        <w:rPr>
          <w:rFonts w:cs="Times New Roman"/>
          <w:noProof/>
          <w:szCs w:val="24"/>
          <w:lang w:val="en-GB"/>
        </w:rPr>
        <w:t xml:space="preserve"> 16: 375–388</w:t>
      </w:r>
    </w:p>
    <w:p w14:paraId="4F98907E"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Sazanov LA, Carroll J, Holt P, Toime L &amp; Fearnley IM (2003) A role for native lipids in the stabilization and two-dimensional crystallization of the Escherichia coli NADH-ubiquinone oxidoreductase (complex I). </w:t>
      </w:r>
      <w:r w:rsidRPr="00E97FC1">
        <w:rPr>
          <w:rFonts w:cs="Times New Roman"/>
          <w:i/>
          <w:iCs/>
          <w:noProof/>
          <w:szCs w:val="24"/>
          <w:lang w:val="en-GB"/>
        </w:rPr>
        <w:t>J Biol Chem</w:t>
      </w:r>
      <w:r w:rsidRPr="00E97FC1">
        <w:rPr>
          <w:rFonts w:cs="Times New Roman"/>
          <w:noProof/>
          <w:szCs w:val="24"/>
          <w:lang w:val="en-GB"/>
        </w:rPr>
        <w:t xml:space="preserve"> 278: 19483–19491</w:t>
      </w:r>
    </w:p>
    <w:p w14:paraId="2AEC1641"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Sazanov LA &amp; Hinchliffe P (2006) Structure of the hydrophilic domain of respiratory complex I from Thermus thermophilus. </w:t>
      </w:r>
      <w:r w:rsidRPr="00E97FC1">
        <w:rPr>
          <w:rFonts w:cs="Times New Roman"/>
          <w:i/>
          <w:iCs/>
          <w:noProof/>
          <w:szCs w:val="24"/>
          <w:lang w:val="en-GB"/>
        </w:rPr>
        <w:t>Science</w:t>
      </w:r>
      <w:r w:rsidRPr="00E97FC1">
        <w:rPr>
          <w:rFonts w:cs="Times New Roman"/>
          <w:noProof/>
          <w:szCs w:val="24"/>
          <w:lang w:val="en-GB"/>
        </w:rPr>
        <w:t xml:space="preserve"> 311: 1430–1436</w:t>
      </w:r>
    </w:p>
    <w:p w14:paraId="3E1E8558"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Schertl P &amp; Braun H-P (2014) Respiratory electron transfer pathways in plant mitochondria. </w:t>
      </w:r>
      <w:r w:rsidRPr="00E97FC1">
        <w:rPr>
          <w:rFonts w:cs="Times New Roman"/>
          <w:i/>
          <w:iCs/>
          <w:noProof/>
          <w:szCs w:val="24"/>
          <w:lang w:val="en-GB"/>
        </w:rPr>
        <w:t>Front Plant Sci</w:t>
      </w:r>
      <w:r w:rsidRPr="00E97FC1">
        <w:rPr>
          <w:rFonts w:cs="Times New Roman"/>
          <w:noProof/>
          <w:szCs w:val="24"/>
          <w:lang w:val="en-GB"/>
        </w:rPr>
        <w:t xml:space="preserve"> 5</w:t>
      </w:r>
    </w:p>
    <w:p w14:paraId="33EE509E"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Schuler B (2013) Single-molecule FRET of protein structure and dynamics - a primer. </w:t>
      </w:r>
      <w:r w:rsidRPr="00E97FC1">
        <w:rPr>
          <w:rFonts w:cs="Times New Roman"/>
          <w:i/>
          <w:iCs/>
          <w:noProof/>
          <w:szCs w:val="24"/>
          <w:lang w:val="en-GB"/>
        </w:rPr>
        <w:t>J Nanobiotechnology</w:t>
      </w:r>
      <w:r w:rsidRPr="00E97FC1">
        <w:rPr>
          <w:rFonts w:cs="Times New Roman"/>
          <w:noProof/>
          <w:szCs w:val="24"/>
          <w:lang w:val="en-GB"/>
        </w:rPr>
        <w:t xml:space="preserve"> 11: S2</w:t>
      </w:r>
    </w:p>
    <w:p w14:paraId="58979A75"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Schuller JM, Birrell JA, Tanaka H, Konuma T, Wulfhorst H, Cox N, Schuller SK, Thiemann J, Lubitz W, Setif P, </w:t>
      </w:r>
      <w:r w:rsidRPr="00E97FC1">
        <w:rPr>
          <w:rFonts w:cs="Times New Roman"/>
          <w:i/>
          <w:iCs/>
          <w:noProof/>
          <w:szCs w:val="24"/>
          <w:lang w:val="en-GB"/>
        </w:rPr>
        <w:t>et al</w:t>
      </w:r>
      <w:r w:rsidRPr="00E97FC1">
        <w:rPr>
          <w:rFonts w:cs="Times New Roman"/>
          <w:noProof/>
          <w:szCs w:val="24"/>
          <w:lang w:val="en-GB"/>
        </w:rPr>
        <w:t xml:space="preserve"> (2019) Structural adaptations of photosynthetic complex I enable ferredoxin-dependent electron transfer. </w:t>
      </w:r>
      <w:r w:rsidRPr="00E97FC1">
        <w:rPr>
          <w:rFonts w:cs="Times New Roman"/>
          <w:i/>
          <w:iCs/>
          <w:noProof/>
          <w:szCs w:val="24"/>
          <w:lang w:val="en-GB"/>
        </w:rPr>
        <w:t>Science</w:t>
      </w:r>
      <w:r w:rsidRPr="00E97FC1">
        <w:rPr>
          <w:rFonts w:cs="Times New Roman"/>
          <w:noProof/>
          <w:szCs w:val="24"/>
          <w:lang w:val="en-GB"/>
        </w:rPr>
        <w:t xml:space="preserve"> 363: 257–260</w:t>
      </w:r>
    </w:p>
    <w:p w14:paraId="4B0D6B45"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Schulte M, Frick K, Gnandt E, Jurkovic S, Burschel S, Labatzke R, Aierstock K, Fiegen D, </w:t>
      </w:r>
      <w:r w:rsidRPr="00E97FC1">
        <w:rPr>
          <w:rFonts w:cs="Times New Roman"/>
          <w:noProof/>
          <w:szCs w:val="24"/>
          <w:lang w:val="en-GB"/>
        </w:rPr>
        <w:lastRenderedPageBreak/>
        <w:t xml:space="preserve">Wohlwend D, Gerhardt S, </w:t>
      </w:r>
      <w:r w:rsidRPr="00E97FC1">
        <w:rPr>
          <w:rFonts w:cs="Times New Roman"/>
          <w:i/>
          <w:iCs/>
          <w:noProof/>
          <w:szCs w:val="24"/>
          <w:lang w:val="en-GB"/>
        </w:rPr>
        <w:t>et al</w:t>
      </w:r>
      <w:r w:rsidRPr="00E97FC1">
        <w:rPr>
          <w:rFonts w:cs="Times New Roman"/>
          <w:noProof/>
          <w:szCs w:val="24"/>
          <w:lang w:val="en-GB"/>
        </w:rPr>
        <w:t xml:space="preserve"> (2019) A mechanism to prevent production of reactive oxygen species by Escherichia coli respiratory complex I. </w:t>
      </w:r>
      <w:r w:rsidRPr="00E97FC1">
        <w:rPr>
          <w:rFonts w:cs="Times New Roman"/>
          <w:i/>
          <w:iCs/>
          <w:noProof/>
          <w:szCs w:val="24"/>
          <w:lang w:val="en-GB"/>
        </w:rPr>
        <w:t>Nat Commun</w:t>
      </w:r>
      <w:r w:rsidRPr="00E97FC1">
        <w:rPr>
          <w:rFonts w:cs="Times New Roman"/>
          <w:noProof/>
          <w:szCs w:val="24"/>
          <w:lang w:val="en-GB"/>
        </w:rPr>
        <w:t xml:space="preserve"> 10: 2551</w:t>
      </w:r>
    </w:p>
    <w:p w14:paraId="5CD91E11"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Shevela D, Eaton-Rye JJ, Shen J-R &amp; Govindjee (2012) Photosystem II and the unique role of bicarbonate: a historical perspective. </w:t>
      </w:r>
      <w:r w:rsidRPr="00E97FC1">
        <w:rPr>
          <w:rFonts w:cs="Times New Roman"/>
          <w:i/>
          <w:iCs/>
          <w:noProof/>
          <w:szCs w:val="24"/>
          <w:lang w:val="en-GB"/>
        </w:rPr>
        <w:t>Biochim Biophys Acta</w:t>
      </w:r>
      <w:r w:rsidRPr="00E97FC1">
        <w:rPr>
          <w:rFonts w:cs="Times New Roman"/>
          <w:noProof/>
          <w:szCs w:val="24"/>
          <w:lang w:val="en-GB"/>
        </w:rPr>
        <w:t xml:space="preserve"> 1817: 1134–1151</w:t>
      </w:r>
    </w:p>
    <w:p w14:paraId="10635084"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Shimizu H, Peng L, Myouga F, Motohashi R, Shinozaki K &amp; Shikanai T (2008) CRR23/NdhL is a Subunit of the Chloroplast NAD(P)H Dehydrogenase Complex in Arabidopsis. </w:t>
      </w:r>
      <w:r w:rsidRPr="00E97FC1">
        <w:rPr>
          <w:rFonts w:cs="Times New Roman"/>
          <w:i/>
          <w:iCs/>
          <w:noProof/>
          <w:szCs w:val="24"/>
          <w:lang w:val="en-GB"/>
        </w:rPr>
        <w:t>Plant Cell Physiol</w:t>
      </w:r>
      <w:r w:rsidRPr="00E97FC1">
        <w:rPr>
          <w:rFonts w:cs="Times New Roman"/>
          <w:noProof/>
          <w:szCs w:val="24"/>
          <w:lang w:val="en-GB"/>
        </w:rPr>
        <w:t xml:space="preserve"> 49: 835–842</w:t>
      </w:r>
    </w:p>
    <w:p w14:paraId="4D147F5D"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Sinha PK, Castro-Guerrero N, Patki G, Sato M, Torres-Bacete J, Sinha S, Miyoshi H, Matsuno-Yagi A &amp; Yagi T (2015) Conserved amino acid residues of the NuoD segment important for structure and  function of Escherichia coli NDH-1 (complex I). </w:t>
      </w:r>
      <w:r w:rsidRPr="00E97FC1">
        <w:rPr>
          <w:rFonts w:cs="Times New Roman"/>
          <w:i/>
          <w:iCs/>
          <w:noProof/>
          <w:szCs w:val="24"/>
          <w:lang w:val="en-GB"/>
        </w:rPr>
        <w:t>Biochemistry</w:t>
      </w:r>
      <w:r w:rsidRPr="00E97FC1">
        <w:rPr>
          <w:rFonts w:cs="Times New Roman"/>
          <w:noProof/>
          <w:szCs w:val="24"/>
          <w:lang w:val="en-GB"/>
        </w:rPr>
        <w:t xml:space="preserve"> 54: 753–764</w:t>
      </w:r>
    </w:p>
    <w:p w14:paraId="26670175"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Sinha PK, Nakamaru-Ogiso E, Torres-Bacete J, Sato M, Castro-Guerrero N, Ohnishi T, Matsuno-Yagi A &amp; Yagi T (2012) Electron transfer in subunit NuoI (TYKY) of Escherichia coli NADH:quinone  oxidoreductase (NDH-1). </w:t>
      </w:r>
      <w:r w:rsidRPr="00E97FC1">
        <w:rPr>
          <w:rFonts w:cs="Times New Roman"/>
          <w:i/>
          <w:iCs/>
          <w:noProof/>
          <w:szCs w:val="24"/>
          <w:lang w:val="en-GB"/>
        </w:rPr>
        <w:t>J Biol Chem</w:t>
      </w:r>
      <w:r w:rsidRPr="00E97FC1">
        <w:rPr>
          <w:rFonts w:cs="Times New Roman"/>
          <w:noProof/>
          <w:szCs w:val="24"/>
          <w:lang w:val="en-GB"/>
        </w:rPr>
        <w:t xml:space="preserve"> 287: 17363–17373</w:t>
      </w:r>
    </w:p>
    <w:p w14:paraId="58AFA3D8"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Sinha PK, Torres-Bacete J, Nakamaru-Ogiso E, Castro-Guerrero N, Matsuno-Yagi A &amp; Yagi T (2009) Critical roles of subunit NuoH (ND1) in the assembly of peripheral subunits with the  membrane domain of Escherichia coli NDH-1. </w:t>
      </w:r>
      <w:r w:rsidRPr="00E97FC1">
        <w:rPr>
          <w:rFonts w:cs="Times New Roman"/>
          <w:i/>
          <w:iCs/>
          <w:noProof/>
          <w:szCs w:val="24"/>
          <w:lang w:val="en-GB"/>
        </w:rPr>
        <w:t>J Biol Chem</w:t>
      </w:r>
      <w:r w:rsidRPr="00E97FC1">
        <w:rPr>
          <w:rFonts w:cs="Times New Roman"/>
          <w:noProof/>
          <w:szCs w:val="24"/>
          <w:lang w:val="en-GB"/>
        </w:rPr>
        <w:t xml:space="preserve"> 284: 9814–9823</w:t>
      </w:r>
    </w:p>
    <w:p w14:paraId="652D741A"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Steimle S, Schnick C, Burger E-M, Nuber F, Krämer D, Dawitz H, Brander S, Matlosz B, Schäfer J, Maurer K, </w:t>
      </w:r>
      <w:r w:rsidRPr="00E97FC1">
        <w:rPr>
          <w:rFonts w:cs="Times New Roman"/>
          <w:i/>
          <w:iCs/>
          <w:noProof/>
          <w:szCs w:val="24"/>
          <w:lang w:val="en-GB"/>
        </w:rPr>
        <w:t>et al</w:t>
      </w:r>
      <w:r w:rsidRPr="00E97FC1">
        <w:rPr>
          <w:rFonts w:cs="Times New Roman"/>
          <w:noProof/>
          <w:szCs w:val="24"/>
          <w:lang w:val="en-GB"/>
        </w:rPr>
        <w:t xml:space="preserve"> (2015) Cysteine scanning reveals minor local rearrangements of the horizontal helix of  respiratory complex I. </w:t>
      </w:r>
      <w:r w:rsidRPr="00E97FC1">
        <w:rPr>
          <w:rFonts w:cs="Times New Roman"/>
          <w:i/>
          <w:iCs/>
          <w:noProof/>
          <w:szCs w:val="24"/>
          <w:lang w:val="en-GB"/>
        </w:rPr>
        <w:t>Mol Microbiol</w:t>
      </w:r>
      <w:r w:rsidRPr="00E97FC1">
        <w:rPr>
          <w:rFonts w:cs="Times New Roman"/>
          <w:noProof/>
          <w:szCs w:val="24"/>
          <w:lang w:val="en-GB"/>
        </w:rPr>
        <w:t xml:space="preserve"> 98: 151–161</w:t>
      </w:r>
    </w:p>
    <w:p w14:paraId="1BCBF319"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Steimle S, Willistein M, Hegger P, Janoschke M, Erhardt H &amp; Friedrich T (2012) Asp563 of the horizontal helix of subunit NuoL is involved in proton translocation  by the respiratory complex I. </w:t>
      </w:r>
      <w:r w:rsidRPr="00E97FC1">
        <w:rPr>
          <w:rFonts w:cs="Times New Roman"/>
          <w:i/>
          <w:iCs/>
          <w:noProof/>
          <w:szCs w:val="24"/>
          <w:lang w:val="en-GB"/>
        </w:rPr>
        <w:t>FEBS Lett</w:t>
      </w:r>
      <w:r w:rsidRPr="00E97FC1">
        <w:rPr>
          <w:rFonts w:cs="Times New Roman"/>
          <w:noProof/>
          <w:szCs w:val="24"/>
          <w:lang w:val="en-GB"/>
        </w:rPr>
        <w:t xml:space="preserve"> 586: 699–704</w:t>
      </w:r>
    </w:p>
    <w:p w14:paraId="7A39BDE6"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Steiner J &amp; Sazanov L (2020) Structure and mechanism of the Mrp complex, an ancient cation/proton antiporter. </w:t>
      </w:r>
      <w:r w:rsidRPr="00E97FC1">
        <w:rPr>
          <w:rFonts w:cs="Times New Roman"/>
          <w:i/>
          <w:iCs/>
          <w:noProof/>
          <w:szCs w:val="24"/>
          <w:lang w:val="en-GB"/>
        </w:rPr>
        <w:t>Elife</w:t>
      </w:r>
      <w:r w:rsidRPr="00E97FC1">
        <w:rPr>
          <w:rFonts w:cs="Times New Roman"/>
          <w:noProof/>
          <w:szCs w:val="24"/>
          <w:lang w:val="en-GB"/>
        </w:rPr>
        <w:t xml:space="preserve"> 9: e59407</w:t>
      </w:r>
    </w:p>
    <w:p w14:paraId="14372D20"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Stroud DA, Surgenor EE, Formosa LE, Reljic B, Frazier AE, Dibley MG, Osellame LD, Stait T, Beilharz TH, Thorburn DR, </w:t>
      </w:r>
      <w:r w:rsidRPr="00E97FC1">
        <w:rPr>
          <w:rFonts w:cs="Times New Roman"/>
          <w:i/>
          <w:iCs/>
          <w:noProof/>
          <w:szCs w:val="24"/>
          <w:lang w:val="en-GB"/>
        </w:rPr>
        <w:t>et al</w:t>
      </w:r>
      <w:r w:rsidRPr="00E97FC1">
        <w:rPr>
          <w:rFonts w:cs="Times New Roman"/>
          <w:noProof/>
          <w:szCs w:val="24"/>
          <w:lang w:val="en-GB"/>
        </w:rPr>
        <w:t xml:space="preserve"> (2016) Accessory subunits are integral for assembly and function of human mitochondrial  complex I. </w:t>
      </w:r>
      <w:r w:rsidRPr="00E97FC1">
        <w:rPr>
          <w:rFonts w:cs="Times New Roman"/>
          <w:i/>
          <w:iCs/>
          <w:noProof/>
          <w:szCs w:val="24"/>
          <w:lang w:val="en-GB"/>
        </w:rPr>
        <w:t>Nature</w:t>
      </w:r>
      <w:r w:rsidRPr="00E97FC1">
        <w:rPr>
          <w:rFonts w:cs="Times New Roman"/>
          <w:noProof/>
          <w:szCs w:val="24"/>
          <w:lang w:val="en-GB"/>
        </w:rPr>
        <w:t xml:space="preserve"> 538: 123–126</w:t>
      </w:r>
    </w:p>
    <w:p w14:paraId="23CACED0"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Torres-Bacete J, Nakamaru-Ogiso E, Matsuno-Yagi A &amp; Yagi T (2007) Characterization of the NuoM (ND4) subunit in Escherichia coli NDH-1: conserved  charged residues essential for energy-coupled activities. </w:t>
      </w:r>
      <w:r w:rsidRPr="00E97FC1">
        <w:rPr>
          <w:rFonts w:cs="Times New Roman"/>
          <w:i/>
          <w:iCs/>
          <w:noProof/>
          <w:szCs w:val="24"/>
          <w:lang w:val="en-GB"/>
        </w:rPr>
        <w:t>J Biol Chem</w:t>
      </w:r>
      <w:r w:rsidRPr="00E97FC1">
        <w:rPr>
          <w:rFonts w:cs="Times New Roman"/>
          <w:noProof/>
          <w:szCs w:val="24"/>
          <w:lang w:val="en-GB"/>
        </w:rPr>
        <w:t xml:space="preserve"> 282: 36914–36922</w:t>
      </w:r>
    </w:p>
    <w:p w14:paraId="366CBF28"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Torres-Bacete J, Sinha PK, Castro-Guerrero N, Matsuno-Yagi A &amp; Yagi T (2009) Features of subunit NuoM (ND4) in Escherichia coli NDH-1: TOPOLOGY AND IMPLICATION  </w:t>
      </w:r>
      <w:r w:rsidRPr="00E97FC1">
        <w:rPr>
          <w:rFonts w:cs="Times New Roman"/>
          <w:noProof/>
          <w:szCs w:val="24"/>
          <w:lang w:val="en-GB"/>
        </w:rPr>
        <w:lastRenderedPageBreak/>
        <w:t xml:space="preserve">OF CONSERVED GLU144 FOR COUPLING SITE 1. </w:t>
      </w:r>
      <w:r w:rsidRPr="00E97FC1">
        <w:rPr>
          <w:rFonts w:cs="Times New Roman"/>
          <w:i/>
          <w:iCs/>
          <w:noProof/>
          <w:szCs w:val="24"/>
          <w:lang w:val="en-GB"/>
        </w:rPr>
        <w:t>J Biol Chem</w:t>
      </w:r>
      <w:r w:rsidRPr="00E97FC1">
        <w:rPr>
          <w:rFonts w:cs="Times New Roman"/>
          <w:noProof/>
          <w:szCs w:val="24"/>
          <w:lang w:val="en-GB"/>
        </w:rPr>
        <w:t xml:space="preserve"> 284: 33062–33069</w:t>
      </w:r>
    </w:p>
    <w:p w14:paraId="04EE20D9"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Torres-Bacete J, Sinha PK, Sato M, Patki G, Kao M-C, Matsuno-Yagi A &amp; Yagi T (2012) Roles of subunit NuoK (ND4L) in the energy-transducing mechanism of Escherichia coli  NDH-1 (NADH:quinone oxidoreductase). </w:t>
      </w:r>
      <w:r w:rsidRPr="00E97FC1">
        <w:rPr>
          <w:rFonts w:cs="Times New Roman"/>
          <w:i/>
          <w:iCs/>
          <w:noProof/>
          <w:szCs w:val="24"/>
          <w:lang w:val="en-GB"/>
        </w:rPr>
        <w:t>J Biol Chem</w:t>
      </w:r>
      <w:r w:rsidRPr="00E97FC1">
        <w:rPr>
          <w:rFonts w:cs="Times New Roman"/>
          <w:noProof/>
          <w:szCs w:val="24"/>
          <w:lang w:val="en-GB"/>
        </w:rPr>
        <w:t xml:space="preserve"> 287: 42763–42772</w:t>
      </w:r>
    </w:p>
    <w:p w14:paraId="3E6EEAF7"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Vercellino I &amp; Sazanov LA (2022) The assembly, regulation and function of the mitochondrial respiratory chain. </w:t>
      </w:r>
      <w:r w:rsidRPr="00E97FC1">
        <w:rPr>
          <w:rFonts w:cs="Times New Roman"/>
          <w:i/>
          <w:iCs/>
          <w:noProof/>
          <w:szCs w:val="24"/>
          <w:lang w:val="en-GB"/>
        </w:rPr>
        <w:t>Nat Rev Mol Cell Biol</w:t>
      </w:r>
      <w:r w:rsidRPr="00E97FC1">
        <w:rPr>
          <w:rFonts w:cs="Times New Roman"/>
          <w:noProof/>
          <w:szCs w:val="24"/>
          <w:lang w:val="en-GB"/>
        </w:rPr>
        <w:t xml:space="preserve"> 23: 141–161</w:t>
      </w:r>
    </w:p>
    <w:p w14:paraId="4038E02B"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Verkhovskaya M &amp; Bloch DA (2013) Energy-converting respiratory Complex I: on the way to the molecular mechanism of the proton pump. </w:t>
      </w:r>
      <w:r w:rsidRPr="00E97FC1">
        <w:rPr>
          <w:rFonts w:cs="Times New Roman"/>
          <w:i/>
          <w:iCs/>
          <w:noProof/>
          <w:szCs w:val="24"/>
          <w:lang w:val="en-GB"/>
        </w:rPr>
        <w:t>Int J Biochem Cell Biol</w:t>
      </w:r>
      <w:r w:rsidRPr="00E97FC1">
        <w:rPr>
          <w:rFonts w:cs="Times New Roman"/>
          <w:noProof/>
          <w:szCs w:val="24"/>
          <w:lang w:val="en-GB"/>
        </w:rPr>
        <w:t xml:space="preserve"> 45: 491–511</w:t>
      </w:r>
    </w:p>
    <w:p w14:paraId="60FCB4AD"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Verkhovskaya ML, Belevich N, Euro L, Wikstrom M &amp; Verkhovsky MI (2008) Real-time electron transfer in respiratory complex I. </w:t>
      </w:r>
      <w:r w:rsidRPr="00E97FC1">
        <w:rPr>
          <w:rFonts w:cs="Times New Roman"/>
          <w:i/>
          <w:iCs/>
          <w:noProof/>
          <w:szCs w:val="24"/>
          <w:lang w:val="en-GB"/>
        </w:rPr>
        <w:t>Proc Natl Acad Sci U S A</w:t>
      </w:r>
      <w:r w:rsidRPr="00E97FC1">
        <w:rPr>
          <w:rFonts w:cs="Times New Roman"/>
          <w:noProof/>
          <w:szCs w:val="24"/>
          <w:lang w:val="en-GB"/>
        </w:rPr>
        <w:t xml:space="preserve"> 105: 3763–3767</w:t>
      </w:r>
    </w:p>
    <w:p w14:paraId="59AC2FA1"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de Vries S, Dörner K, Strampraad MJF &amp; Friedrich T (2015) Electron tunneling rates in respiratory complex I are tuned for efficient energy  conversion. </w:t>
      </w:r>
      <w:r w:rsidRPr="00E97FC1">
        <w:rPr>
          <w:rFonts w:cs="Times New Roman"/>
          <w:i/>
          <w:iCs/>
          <w:noProof/>
          <w:szCs w:val="24"/>
          <w:lang w:val="en-GB"/>
        </w:rPr>
        <w:t>Angew Chem Int Ed Engl</w:t>
      </w:r>
      <w:r w:rsidRPr="00E97FC1">
        <w:rPr>
          <w:rFonts w:cs="Times New Roman"/>
          <w:noProof/>
          <w:szCs w:val="24"/>
          <w:lang w:val="en-GB"/>
        </w:rPr>
        <w:t xml:space="preserve"> 54: 2844–2848</w:t>
      </w:r>
    </w:p>
    <w:p w14:paraId="3DAC2B13"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Williams CJ, Headd JJ, Moriarty NW, Prisant MG, Videau LL, Deis LN, Verma V, Keedy DA, Hintze BJ, Chen VB, </w:t>
      </w:r>
      <w:r w:rsidRPr="00E97FC1">
        <w:rPr>
          <w:rFonts w:cs="Times New Roman"/>
          <w:i/>
          <w:iCs/>
          <w:noProof/>
          <w:szCs w:val="24"/>
          <w:lang w:val="en-GB"/>
        </w:rPr>
        <w:t>et al</w:t>
      </w:r>
      <w:r w:rsidRPr="00E97FC1">
        <w:rPr>
          <w:rFonts w:cs="Times New Roman"/>
          <w:noProof/>
          <w:szCs w:val="24"/>
          <w:lang w:val="en-GB"/>
        </w:rPr>
        <w:t xml:space="preserve"> (2018) MolProbity: More and better reference data for improved all-atom structure  validation. </w:t>
      </w:r>
      <w:r w:rsidRPr="00E97FC1">
        <w:rPr>
          <w:rFonts w:cs="Times New Roman"/>
          <w:i/>
          <w:iCs/>
          <w:noProof/>
          <w:szCs w:val="24"/>
          <w:lang w:val="en-GB"/>
        </w:rPr>
        <w:t>Protein Sci</w:t>
      </w:r>
      <w:r w:rsidRPr="00E97FC1">
        <w:rPr>
          <w:rFonts w:cs="Times New Roman"/>
          <w:noProof/>
          <w:szCs w:val="24"/>
          <w:lang w:val="en-GB"/>
        </w:rPr>
        <w:t xml:space="preserve"> 27: 293–315</w:t>
      </w:r>
    </w:p>
    <w:p w14:paraId="10FD4DD9"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Wright JJ, Fedor JG, Hirst J &amp; Roessler MM (2020) Using a chimeric respiratory chain and EPR spectroscopy to determine the origin  of semiquinone species previously assigned to mitochondrial complex I. </w:t>
      </w:r>
      <w:r w:rsidRPr="00E97FC1">
        <w:rPr>
          <w:rFonts w:cs="Times New Roman"/>
          <w:i/>
          <w:iCs/>
          <w:noProof/>
          <w:szCs w:val="24"/>
          <w:lang w:val="en-GB"/>
        </w:rPr>
        <w:t>BMC Biol</w:t>
      </w:r>
      <w:r w:rsidRPr="00E97FC1">
        <w:rPr>
          <w:rFonts w:cs="Times New Roman"/>
          <w:noProof/>
          <w:szCs w:val="24"/>
          <w:lang w:val="en-GB"/>
        </w:rPr>
        <w:t xml:space="preserve"> 18: 54</w:t>
      </w:r>
    </w:p>
    <w:p w14:paraId="60A03E6B"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Yip C, Harbour ME, Jayawardena K, Fearnley IM &amp; Sazanov LA (2011) Evolution of respiratory complex I: ‘supernumerary’ subunits are present in the  alpha-proteobacterial enzyme. </w:t>
      </w:r>
      <w:r w:rsidRPr="00E97FC1">
        <w:rPr>
          <w:rFonts w:cs="Times New Roman"/>
          <w:i/>
          <w:iCs/>
          <w:noProof/>
          <w:szCs w:val="24"/>
          <w:lang w:val="en-GB"/>
        </w:rPr>
        <w:t>J Biol Chem</w:t>
      </w:r>
      <w:r w:rsidRPr="00E97FC1">
        <w:rPr>
          <w:rFonts w:cs="Times New Roman"/>
          <w:noProof/>
          <w:szCs w:val="24"/>
          <w:lang w:val="en-GB"/>
        </w:rPr>
        <w:t xml:space="preserve"> 286: 5023–5033</w:t>
      </w:r>
    </w:p>
    <w:p w14:paraId="7E877EBC"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Yu H, Schut GJ, Haja DK, Adams MWW &amp; Li H (2021) Evolution of complex I-like respiratory complexes. </w:t>
      </w:r>
      <w:r w:rsidRPr="00E97FC1">
        <w:rPr>
          <w:rFonts w:cs="Times New Roman"/>
          <w:i/>
          <w:iCs/>
          <w:noProof/>
          <w:szCs w:val="24"/>
          <w:lang w:val="en-GB"/>
        </w:rPr>
        <w:t>J Biol Chem</w:t>
      </w:r>
      <w:r w:rsidRPr="00E97FC1">
        <w:rPr>
          <w:rFonts w:cs="Times New Roman"/>
          <w:noProof/>
          <w:szCs w:val="24"/>
          <w:lang w:val="en-GB"/>
        </w:rPr>
        <w:t xml:space="preserve"> 296: 100740</w:t>
      </w:r>
    </w:p>
    <w:p w14:paraId="2F15F9C5"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Zhang C, Shuai J, Ran Z, Zhao J, Wu Z, Liao R, Wu J, Ma W &amp; Lei M (2020) Structural insights into NDH-1 mediated cyclic electron transfer. </w:t>
      </w:r>
      <w:r w:rsidRPr="00E97FC1">
        <w:rPr>
          <w:rFonts w:cs="Times New Roman"/>
          <w:i/>
          <w:iCs/>
          <w:noProof/>
          <w:szCs w:val="24"/>
          <w:lang w:val="en-GB"/>
        </w:rPr>
        <w:t>Nat Commun</w:t>
      </w:r>
      <w:r w:rsidRPr="00E97FC1">
        <w:rPr>
          <w:rFonts w:cs="Times New Roman"/>
          <w:noProof/>
          <w:szCs w:val="24"/>
          <w:lang w:val="en-GB"/>
        </w:rPr>
        <w:t xml:space="preserve"> 11: 888</w:t>
      </w:r>
    </w:p>
    <w:p w14:paraId="791BBDA0" w14:textId="77777777" w:rsidR="00BF1B30" w:rsidRPr="00FC5E18"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Zheng SQ, Palovcak E, Armache J-P, Verba KA, Cheng Y &amp; Agard DA (2017) MotionCor2: anisotropic correction of beam-induced motion for improved cryo-electron microscopy. </w:t>
      </w:r>
      <w:r w:rsidRPr="00FC5E18">
        <w:rPr>
          <w:rFonts w:cs="Times New Roman"/>
          <w:i/>
          <w:iCs/>
          <w:noProof/>
          <w:szCs w:val="24"/>
          <w:lang w:val="en-GB"/>
        </w:rPr>
        <w:t>Nat Methods</w:t>
      </w:r>
      <w:r w:rsidRPr="00FC5E18">
        <w:rPr>
          <w:rFonts w:cs="Times New Roman"/>
          <w:noProof/>
          <w:szCs w:val="24"/>
          <w:lang w:val="en-GB"/>
        </w:rPr>
        <w:t xml:space="preserve"> 14: 331–332</w:t>
      </w:r>
    </w:p>
    <w:p w14:paraId="384692C5"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FC5E18">
        <w:rPr>
          <w:rFonts w:cs="Times New Roman"/>
          <w:noProof/>
          <w:szCs w:val="24"/>
          <w:lang w:val="en-GB"/>
        </w:rPr>
        <w:t xml:space="preserve">Zickermann V, Wirth C, Nasiri H, Siegmund K, Schwalbe H, Hunte C &amp; Brandt U (2015) Structural biology. </w:t>
      </w:r>
      <w:r w:rsidRPr="00E97FC1">
        <w:rPr>
          <w:rFonts w:cs="Times New Roman"/>
          <w:noProof/>
          <w:szCs w:val="24"/>
          <w:lang w:val="en-GB"/>
        </w:rPr>
        <w:t xml:space="preserve">Mechanistic insight from the crystal structure of mitochondrial complex I. </w:t>
      </w:r>
      <w:r w:rsidRPr="00E97FC1">
        <w:rPr>
          <w:rFonts w:cs="Times New Roman"/>
          <w:i/>
          <w:iCs/>
          <w:noProof/>
          <w:szCs w:val="24"/>
          <w:lang w:val="en-GB"/>
        </w:rPr>
        <w:t>Science</w:t>
      </w:r>
      <w:r w:rsidRPr="00E97FC1">
        <w:rPr>
          <w:rFonts w:cs="Times New Roman"/>
          <w:noProof/>
          <w:szCs w:val="24"/>
          <w:lang w:val="en-GB"/>
        </w:rPr>
        <w:t xml:space="preserve"> 347: 44–49</w:t>
      </w:r>
    </w:p>
    <w:p w14:paraId="06795BEC"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Zilberstein D, Agmon V, Schuldiner S &amp; Padan E (1984) Escherichia coli intracellular pH, membrane potential, and cell growth. </w:t>
      </w:r>
      <w:r w:rsidRPr="00E97FC1">
        <w:rPr>
          <w:rFonts w:cs="Times New Roman"/>
          <w:i/>
          <w:iCs/>
          <w:noProof/>
          <w:szCs w:val="24"/>
          <w:lang w:val="en-GB"/>
        </w:rPr>
        <w:t>J Bacteriol</w:t>
      </w:r>
      <w:r w:rsidRPr="00E97FC1">
        <w:rPr>
          <w:rFonts w:cs="Times New Roman"/>
          <w:noProof/>
          <w:szCs w:val="24"/>
          <w:lang w:val="en-GB"/>
        </w:rPr>
        <w:t xml:space="preserve"> 158: 246–252</w:t>
      </w:r>
    </w:p>
    <w:p w14:paraId="78C823BB"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lastRenderedPageBreak/>
        <w:t xml:space="preserve">Zivanov J, Nakane T, Forsberg BO, Kimanius D, Hagen WJ, Lindahl E &amp; Scheres SH (2018) New tools for automated high-resolution cryo-EM structure determination in RELION-3. </w:t>
      </w:r>
      <w:r w:rsidRPr="00E97FC1">
        <w:rPr>
          <w:rFonts w:cs="Times New Roman"/>
          <w:i/>
          <w:iCs/>
          <w:noProof/>
          <w:szCs w:val="24"/>
          <w:lang w:val="en-GB"/>
        </w:rPr>
        <w:t>Elife</w:t>
      </w:r>
      <w:r w:rsidRPr="00E97FC1">
        <w:rPr>
          <w:rFonts w:cs="Times New Roman"/>
          <w:noProof/>
          <w:szCs w:val="24"/>
          <w:lang w:val="en-GB"/>
        </w:rPr>
        <w:t xml:space="preserve"> 7</w:t>
      </w:r>
    </w:p>
    <w:p w14:paraId="310FA336" w14:textId="77777777" w:rsidR="00BF1B30" w:rsidRPr="00E97FC1" w:rsidRDefault="00BF1B30" w:rsidP="00BF1B30">
      <w:pPr>
        <w:widowControl w:val="0"/>
        <w:autoSpaceDE w:val="0"/>
        <w:autoSpaceDN w:val="0"/>
        <w:adjustRightInd w:val="0"/>
        <w:ind w:left="480" w:hanging="480"/>
        <w:rPr>
          <w:rFonts w:cs="Times New Roman"/>
          <w:noProof/>
          <w:szCs w:val="24"/>
          <w:lang w:val="en-GB"/>
        </w:rPr>
      </w:pPr>
      <w:r w:rsidRPr="00E97FC1">
        <w:rPr>
          <w:rFonts w:cs="Times New Roman"/>
          <w:noProof/>
          <w:szCs w:val="24"/>
          <w:lang w:val="en-GB"/>
        </w:rPr>
        <w:t xml:space="preserve">Zivanov J, Nakane T &amp; Scheres SHW (2019) A Bayesian approach to beam-induced motion correction in cryo-EM single-particle  analysis. </w:t>
      </w:r>
      <w:r w:rsidRPr="00E97FC1">
        <w:rPr>
          <w:rFonts w:cs="Times New Roman"/>
          <w:i/>
          <w:iCs/>
          <w:noProof/>
          <w:szCs w:val="24"/>
          <w:lang w:val="en-GB"/>
        </w:rPr>
        <w:t>IUCrJ</w:t>
      </w:r>
      <w:r w:rsidRPr="00E97FC1">
        <w:rPr>
          <w:rFonts w:cs="Times New Roman"/>
          <w:noProof/>
          <w:szCs w:val="24"/>
          <w:lang w:val="en-GB"/>
        </w:rPr>
        <w:t xml:space="preserve"> 6: 5–17</w:t>
      </w:r>
    </w:p>
    <w:p w14:paraId="3FF52635" w14:textId="77777777" w:rsidR="00BF1B30" w:rsidRPr="00E97FC1" w:rsidRDefault="00BF1B30" w:rsidP="00BF1B30">
      <w:pPr>
        <w:widowControl w:val="0"/>
        <w:autoSpaceDE w:val="0"/>
        <w:autoSpaceDN w:val="0"/>
        <w:adjustRightInd w:val="0"/>
        <w:ind w:left="480" w:hanging="480"/>
        <w:rPr>
          <w:rFonts w:cs="Times New Roman"/>
          <w:noProof/>
          <w:lang w:val="en-GB"/>
        </w:rPr>
      </w:pPr>
      <w:r w:rsidRPr="00E97FC1">
        <w:rPr>
          <w:rFonts w:cs="Times New Roman"/>
          <w:noProof/>
          <w:szCs w:val="24"/>
          <w:lang w:val="en-GB"/>
        </w:rPr>
        <w:t xml:space="preserve">Zu Y, Di Bernardo S, Yagi T &amp; Hirst J (2002) Redox properties of the [2Fe-2S] center in the 24 kDa (NQO2) subunit of  NADH:ubiquinone oxidoreductase (complex I). </w:t>
      </w:r>
      <w:r w:rsidRPr="00E97FC1">
        <w:rPr>
          <w:rFonts w:cs="Times New Roman"/>
          <w:i/>
          <w:iCs/>
          <w:noProof/>
          <w:szCs w:val="24"/>
          <w:lang w:val="en-GB"/>
        </w:rPr>
        <w:t>Biochemistry</w:t>
      </w:r>
      <w:r w:rsidRPr="00E97FC1">
        <w:rPr>
          <w:rFonts w:cs="Times New Roman"/>
          <w:noProof/>
          <w:szCs w:val="24"/>
          <w:lang w:val="en-GB"/>
        </w:rPr>
        <w:t xml:space="preserve"> 41: 10056–10069</w:t>
      </w:r>
    </w:p>
    <w:p w14:paraId="3636FC00" w14:textId="66ACD3FB" w:rsidR="002471A8" w:rsidRPr="00E97FC1" w:rsidRDefault="00E55873" w:rsidP="009F243C">
      <w:pPr>
        <w:rPr>
          <w:b/>
          <w:sz w:val="28"/>
          <w:lang w:val="en-GB"/>
        </w:rPr>
      </w:pPr>
      <w:r w:rsidRPr="00E97FC1">
        <w:rPr>
          <w:b/>
          <w:szCs w:val="24"/>
          <w:lang w:val="en-GB"/>
        </w:rPr>
        <w:fldChar w:fldCharType="end"/>
      </w:r>
    </w:p>
    <w:p w14:paraId="0F4D41D7" w14:textId="77777777" w:rsidR="002471A8" w:rsidRPr="00E97FC1" w:rsidRDefault="002471A8">
      <w:pPr>
        <w:spacing w:after="160" w:line="259" w:lineRule="auto"/>
        <w:jc w:val="left"/>
        <w:rPr>
          <w:b/>
          <w:sz w:val="28"/>
          <w:lang w:val="en-GB"/>
        </w:rPr>
      </w:pPr>
      <w:r w:rsidRPr="00E97FC1">
        <w:rPr>
          <w:b/>
          <w:sz w:val="28"/>
          <w:lang w:val="en-GB"/>
        </w:rPr>
        <w:br w:type="page"/>
      </w:r>
    </w:p>
    <w:p w14:paraId="191E5E31" w14:textId="77777777" w:rsidR="002471A8" w:rsidRPr="00E97FC1" w:rsidRDefault="002471A8" w:rsidP="009C223B">
      <w:pPr>
        <w:pStyle w:val="Heading1"/>
        <w:numPr>
          <w:ilvl w:val="0"/>
          <w:numId w:val="46"/>
        </w:numPr>
      </w:pPr>
      <w:bookmarkStart w:id="145" w:name="_Toc124425714"/>
      <w:bookmarkStart w:id="146" w:name="_Toc132640026"/>
      <w:r w:rsidRPr="00E97FC1">
        <w:lastRenderedPageBreak/>
        <w:t>Appendix 1. Model and data collection statistics for DDM datasets</w:t>
      </w:r>
      <w:bookmarkEnd w:id="145"/>
      <w:bookmarkEnd w:id="146"/>
    </w:p>
    <w:p w14:paraId="3D10334D" w14:textId="77777777" w:rsidR="002471A8" w:rsidRPr="00E97FC1" w:rsidRDefault="002471A8" w:rsidP="002471A8">
      <w:pPr>
        <w:rPr>
          <w:b/>
          <w:sz w:val="28"/>
          <w:lang w:val="en-GB"/>
        </w:rPr>
      </w:pPr>
      <w:r w:rsidRPr="00E97FC1">
        <w:rPr>
          <w:b/>
          <w:noProof/>
          <w:sz w:val="28"/>
        </w:rPr>
        <w:drawing>
          <wp:inline distT="0" distB="0" distL="0" distR="0" wp14:anchorId="51FCCFAA" wp14:editId="6AB7956E">
            <wp:extent cx="3846830" cy="7449820"/>
            <wp:effectExtent l="0" t="0" r="127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46830" cy="7449820"/>
                    </a:xfrm>
                    <a:prstGeom prst="rect">
                      <a:avLst/>
                    </a:prstGeom>
                    <a:noFill/>
                  </pic:spPr>
                </pic:pic>
              </a:graphicData>
            </a:graphic>
          </wp:inline>
        </w:drawing>
      </w:r>
    </w:p>
    <w:p w14:paraId="318CDEF9" w14:textId="77777777" w:rsidR="002471A8" w:rsidRPr="00E97FC1" w:rsidRDefault="002471A8" w:rsidP="002471A8">
      <w:pPr>
        <w:spacing w:after="160" w:line="259" w:lineRule="auto"/>
        <w:jc w:val="left"/>
        <w:rPr>
          <w:b/>
          <w:sz w:val="28"/>
          <w:lang w:val="en-GB"/>
        </w:rPr>
      </w:pPr>
      <w:r w:rsidRPr="00E97FC1">
        <w:rPr>
          <w:b/>
          <w:sz w:val="28"/>
          <w:lang w:val="en-GB"/>
        </w:rPr>
        <w:br w:type="page"/>
      </w:r>
    </w:p>
    <w:p w14:paraId="0452D3AC" w14:textId="77777777" w:rsidR="002471A8" w:rsidRPr="00E97FC1" w:rsidRDefault="002471A8" w:rsidP="009C223B">
      <w:pPr>
        <w:pStyle w:val="Heading1"/>
        <w:numPr>
          <w:ilvl w:val="0"/>
          <w:numId w:val="46"/>
        </w:numPr>
      </w:pPr>
      <w:bookmarkStart w:id="147" w:name="_Toc124425715"/>
      <w:bookmarkStart w:id="148" w:name="_Toc132640027"/>
      <w:r w:rsidRPr="00E97FC1">
        <w:lastRenderedPageBreak/>
        <w:t>Appendix 2. Model and data collection statistics for DDM/LMNG datasets</w:t>
      </w:r>
      <w:bookmarkEnd w:id="147"/>
      <w:bookmarkEnd w:id="148"/>
    </w:p>
    <w:p w14:paraId="788F1F75" w14:textId="77777777" w:rsidR="002471A8" w:rsidRPr="00E97FC1" w:rsidRDefault="002471A8" w:rsidP="002471A8">
      <w:pPr>
        <w:rPr>
          <w:b/>
          <w:sz w:val="28"/>
          <w:lang w:val="en-GB"/>
        </w:rPr>
      </w:pPr>
      <w:r w:rsidRPr="00E97FC1">
        <w:rPr>
          <w:b/>
          <w:noProof/>
          <w:sz w:val="28"/>
        </w:rPr>
        <w:drawing>
          <wp:inline distT="0" distB="0" distL="0" distR="0" wp14:anchorId="1FEC93A6" wp14:editId="51E9165A">
            <wp:extent cx="4951578" cy="8086299"/>
            <wp:effectExtent l="0" t="0" r="1905"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954118" cy="8090447"/>
                    </a:xfrm>
                    <a:prstGeom prst="rect">
                      <a:avLst/>
                    </a:prstGeom>
                    <a:noFill/>
                  </pic:spPr>
                </pic:pic>
              </a:graphicData>
            </a:graphic>
          </wp:inline>
        </w:drawing>
      </w:r>
    </w:p>
    <w:p w14:paraId="25B6D1A1" w14:textId="77777777" w:rsidR="002471A8" w:rsidRPr="00E97FC1" w:rsidRDefault="002471A8" w:rsidP="002471A8">
      <w:pPr>
        <w:rPr>
          <w:b/>
          <w:sz w:val="28"/>
          <w:lang w:val="en-GB"/>
        </w:rPr>
      </w:pPr>
      <w:r w:rsidRPr="00E97FC1">
        <w:rPr>
          <w:b/>
          <w:noProof/>
          <w:sz w:val="28"/>
        </w:rPr>
        <w:lastRenderedPageBreak/>
        <w:drawing>
          <wp:inline distT="0" distB="0" distL="0" distR="0" wp14:anchorId="760B6CBC" wp14:editId="2F5753AC">
            <wp:extent cx="4749165" cy="7541260"/>
            <wp:effectExtent l="0" t="0" r="0" b="254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49165" cy="7541260"/>
                    </a:xfrm>
                    <a:prstGeom prst="rect">
                      <a:avLst/>
                    </a:prstGeom>
                    <a:noFill/>
                  </pic:spPr>
                </pic:pic>
              </a:graphicData>
            </a:graphic>
          </wp:inline>
        </w:drawing>
      </w:r>
    </w:p>
    <w:p w14:paraId="7194C65B" w14:textId="77777777" w:rsidR="002471A8" w:rsidRPr="00E97FC1" w:rsidRDefault="002471A8" w:rsidP="002471A8">
      <w:pPr>
        <w:rPr>
          <w:b/>
          <w:sz w:val="28"/>
          <w:lang w:val="en-GB"/>
        </w:rPr>
      </w:pPr>
    </w:p>
    <w:p w14:paraId="738A8C17" w14:textId="77777777" w:rsidR="002471A8" w:rsidRPr="00E97FC1" w:rsidRDefault="002471A8" w:rsidP="002471A8">
      <w:pPr>
        <w:rPr>
          <w:b/>
          <w:sz w:val="28"/>
          <w:lang w:val="en-GB"/>
        </w:rPr>
      </w:pPr>
    </w:p>
    <w:p w14:paraId="252D3216" w14:textId="77777777" w:rsidR="002471A8" w:rsidRPr="00E97FC1" w:rsidRDefault="002471A8" w:rsidP="002471A8">
      <w:pPr>
        <w:rPr>
          <w:b/>
          <w:sz w:val="28"/>
          <w:lang w:val="en-GB"/>
        </w:rPr>
      </w:pPr>
    </w:p>
    <w:p w14:paraId="51E746D7" w14:textId="77777777" w:rsidR="002471A8" w:rsidRPr="00E97FC1" w:rsidRDefault="002471A8" w:rsidP="002471A8">
      <w:pPr>
        <w:rPr>
          <w:b/>
          <w:sz w:val="28"/>
          <w:lang w:val="en-GB"/>
        </w:rPr>
      </w:pPr>
    </w:p>
    <w:p w14:paraId="30957F92" w14:textId="77777777" w:rsidR="002471A8" w:rsidRPr="00E97FC1" w:rsidRDefault="002471A8" w:rsidP="002471A8">
      <w:pPr>
        <w:rPr>
          <w:b/>
          <w:sz w:val="28"/>
          <w:lang w:val="en-GB"/>
        </w:rPr>
      </w:pPr>
      <w:r w:rsidRPr="00E97FC1">
        <w:rPr>
          <w:b/>
          <w:noProof/>
          <w:sz w:val="28"/>
        </w:rPr>
        <w:lastRenderedPageBreak/>
        <w:drawing>
          <wp:inline distT="0" distB="0" distL="0" distR="0" wp14:anchorId="4431AC33" wp14:editId="40A7FBA4">
            <wp:extent cx="4828540" cy="7413625"/>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828540" cy="7413625"/>
                    </a:xfrm>
                    <a:prstGeom prst="rect">
                      <a:avLst/>
                    </a:prstGeom>
                    <a:noFill/>
                  </pic:spPr>
                </pic:pic>
              </a:graphicData>
            </a:graphic>
          </wp:inline>
        </w:drawing>
      </w:r>
    </w:p>
    <w:p w14:paraId="724BD93B" w14:textId="77777777" w:rsidR="002471A8" w:rsidRPr="00E97FC1" w:rsidRDefault="002471A8" w:rsidP="002471A8">
      <w:pPr>
        <w:rPr>
          <w:b/>
          <w:sz w:val="28"/>
          <w:lang w:val="en-GB"/>
        </w:rPr>
      </w:pPr>
    </w:p>
    <w:p w14:paraId="62D99A6D" w14:textId="77777777" w:rsidR="002471A8" w:rsidRPr="00E97FC1" w:rsidRDefault="002471A8" w:rsidP="002471A8">
      <w:pPr>
        <w:rPr>
          <w:b/>
          <w:sz w:val="28"/>
          <w:lang w:val="en-GB"/>
        </w:rPr>
      </w:pPr>
    </w:p>
    <w:p w14:paraId="51063A50" w14:textId="77777777" w:rsidR="002471A8" w:rsidRPr="00E97FC1" w:rsidRDefault="002471A8" w:rsidP="002471A8">
      <w:pPr>
        <w:rPr>
          <w:b/>
          <w:sz w:val="28"/>
          <w:lang w:val="en-GB"/>
        </w:rPr>
      </w:pPr>
    </w:p>
    <w:p w14:paraId="76F7EC6C" w14:textId="77777777" w:rsidR="002471A8" w:rsidRPr="00E97FC1" w:rsidRDefault="002471A8" w:rsidP="002471A8">
      <w:pPr>
        <w:rPr>
          <w:b/>
          <w:sz w:val="28"/>
          <w:lang w:val="en-GB"/>
        </w:rPr>
      </w:pPr>
    </w:p>
    <w:p w14:paraId="2035D184" w14:textId="77777777" w:rsidR="002471A8" w:rsidRPr="00E97FC1" w:rsidRDefault="002471A8" w:rsidP="009C223B">
      <w:pPr>
        <w:pStyle w:val="Heading1"/>
        <w:numPr>
          <w:ilvl w:val="0"/>
          <w:numId w:val="46"/>
        </w:numPr>
      </w:pPr>
      <w:bookmarkStart w:id="149" w:name="_Toc124425716"/>
      <w:bookmarkStart w:id="150" w:name="_Toc132640028"/>
      <w:r w:rsidRPr="00E97FC1">
        <w:lastRenderedPageBreak/>
        <w:t>Appendix 3. Model and data collection statistics for LMNG datasets</w:t>
      </w:r>
      <w:bookmarkEnd w:id="149"/>
      <w:bookmarkEnd w:id="150"/>
    </w:p>
    <w:p w14:paraId="4BB3662E" w14:textId="77777777" w:rsidR="002471A8" w:rsidRPr="00E97FC1" w:rsidRDefault="002471A8" w:rsidP="002471A8">
      <w:pPr>
        <w:rPr>
          <w:b/>
          <w:sz w:val="28"/>
          <w:lang w:val="en-GB"/>
        </w:rPr>
      </w:pPr>
      <w:r w:rsidRPr="00E97FC1">
        <w:rPr>
          <w:b/>
          <w:noProof/>
          <w:sz w:val="28"/>
        </w:rPr>
        <w:drawing>
          <wp:inline distT="0" distB="0" distL="0" distR="0" wp14:anchorId="076D97A0" wp14:editId="125E8ED3">
            <wp:extent cx="5117143" cy="8147713"/>
            <wp:effectExtent l="0" t="0" r="7620" b="571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120554" cy="8153144"/>
                    </a:xfrm>
                    <a:prstGeom prst="rect">
                      <a:avLst/>
                    </a:prstGeom>
                    <a:noFill/>
                  </pic:spPr>
                </pic:pic>
              </a:graphicData>
            </a:graphic>
          </wp:inline>
        </w:drawing>
      </w:r>
    </w:p>
    <w:p w14:paraId="3C63D983" w14:textId="77777777" w:rsidR="002471A8" w:rsidRPr="00E97FC1" w:rsidRDefault="002471A8" w:rsidP="009C223B">
      <w:pPr>
        <w:pStyle w:val="Heading1"/>
        <w:numPr>
          <w:ilvl w:val="0"/>
          <w:numId w:val="46"/>
        </w:numPr>
      </w:pPr>
      <w:bookmarkStart w:id="151" w:name="_Toc124425717"/>
      <w:bookmarkStart w:id="152" w:name="_Toc132640029"/>
      <w:r w:rsidRPr="00E97FC1">
        <w:lastRenderedPageBreak/>
        <w:t>Appendix 4. Model and data collection statistics for NDH dataset</w:t>
      </w:r>
      <w:bookmarkEnd w:id="151"/>
      <w:bookmarkEnd w:id="152"/>
    </w:p>
    <w:p w14:paraId="5D9C5885" w14:textId="77777777" w:rsidR="002471A8" w:rsidRPr="00E97FC1" w:rsidRDefault="002471A8" w:rsidP="002471A8">
      <w:pPr>
        <w:rPr>
          <w:b/>
          <w:sz w:val="28"/>
          <w:lang w:val="en-GB"/>
        </w:rPr>
      </w:pPr>
      <w:r w:rsidRPr="00E97FC1">
        <w:rPr>
          <w:b/>
          <w:noProof/>
          <w:sz w:val="28"/>
        </w:rPr>
        <w:drawing>
          <wp:inline distT="0" distB="0" distL="0" distR="0" wp14:anchorId="5099E2E2" wp14:editId="3AA1D4B7">
            <wp:extent cx="3846830" cy="7449820"/>
            <wp:effectExtent l="0" t="0" r="127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846830" cy="7449820"/>
                    </a:xfrm>
                    <a:prstGeom prst="rect">
                      <a:avLst/>
                    </a:prstGeom>
                    <a:noFill/>
                  </pic:spPr>
                </pic:pic>
              </a:graphicData>
            </a:graphic>
          </wp:inline>
        </w:drawing>
      </w:r>
    </w:p>
    <w:p w14:paraId="21DAEC6D" w14:textId="77777777" w:rsidR="009F243C" w:rsidRPr="00E97FC1" w:rsidRDefault="009F243C" w:rsidP="009F243C">
      <w:pPr>
        <w:rPr>
          <w:b/>
          <w:sz w:val="28"/>
          <w:lang w:val="en-GB"/>
        </w:rPr>
      </w:pPr>
    </w:p>
    <w:p w14:paraId="766E54AD" w14:textId="77777777" w:rsidR="009F243C" w:rsidRPr="00E97FC1" w:rsidRDefault="009F243C" w:rsidP="009F243C">
      <w:pPr>
        <w:rPr>
          <w:b/>
          <w:sz w:val="28"/>
          <w:lang w:val="en-GB"/>
        </w:rPr>
      </w:pPr>
    </w:p>
    <w:p w14:paraId="01B37866" w14:textId="77777777" w:rsidR="009F243C" w:rsidRPr="00E97FC1" w:rsidRDefault="009F243C" w:rsidP="009F243C">
      <w:pPr>
        <w:rPr>
          <w:b/>
          <w:sz w:val="28"/>
          <w:lang w:val="en-GB"/>
        </w:rPr>
      </w:pPr>
    </w:p>
    <w:p w14:paraId="76D9523C" w14:textId="0D9A6EAD" w:rsidR="00C017B5" w:rsidRPr="00E97FC1" w:rsidRDefault="002471A8" w:rsidP="009C223B">
      <w:pPr>
        <w:pStyle w:val="Heading1"/>
        <w:numPr>
          <w:ilvl w:val="0"/>
          <w:numId w:val="46"/>
        </w:numPr>
      </w:pPr>
      <w:bookmarkStart w:id="153" w:name="_Toc132640030"/>
      <w:r w:rsidRPr="00E97FC1">
        <w:lastRenderedPageBreak/>
        <w:t xml:space="preserve">Appendix 5. </w:t>
      </w:r>
      <w:r w:rsidRPr="00E97FC1">
        <w:rPr>
          <w:i/>
        </w:rPr>
        <w:t>E. coli</w:t>
      </w:r>
      <w:r w:rsidRPr="00E97FC1">
        <w:t xml:space="preserve"> complex I mutation data</w:t>
      </w:r>
      <w:bookmarkEnd w:id="153"/>
    </w:p>
    <w:p w14:paraId="60F38AEA" w14:textId="77777777" w:rsidR="001D4C58" w:rsidRPr="00E97FC1" w:rsidRDefault="001D4C58" w:rsidP="001D4C58">
      <w:pPr>
        <w:rPr>
          <w:rStyle w:val="Heading1Char"/>
          <w:rFonts w:ascii="Helvetica" w:eastAsiaTheme="minorHAnsi" w:hAnsi="Helvetica" w:cs="Helvetica"/>
          <w:b w:val="0"/>
          <w:sz w:val="24"/>
          <w:szCs w:val="24"/>
        </w:rPr>
      </w:pPr>
    </w:p>
    <w:p w14:paraId="795E335F" w14:textId="26FA0737" w:rsidR="002471A8" w:rsidRPr="00E97FC1" w:rsidRDefault="002471A8" w:rsidP="001D4C58">
      <w:pPr>
        <w:rPr>
          <w:lang w:val="en-GB"/>
        </w:rPr>
      </w:pPr>
      <w:r w:rsidRPr="00E97FC1">
        <w:rPr>
          <w:lang w:val="en-GB"/>
        </w:rPr>
        <w:t>The list of mutations</w:t>
      </w:r>
      <w:r w:rsidRPr="00E97FC1">
        <w:rPr>
          <w:rStyle w:val="Heading1Char"/>
          <w:rFonts w:ascii="Helvetica" w:eastAsiaTheme="minorHAnsi" w:hAnsi="Helvetica" w:cs="Helvetica"/>
          <w:b w:val="0"/>
          <w:sz w:val="24"/>
          <w:szCs w:val="24"/>
        </w:rPr>
        <w:t xml:space="preserve"> </w:t>
      </w:r>
      <w:r w:rsidRPr="00E97FC1">
        <w:rPr>
          <w:rFonts w:eastAsiaTheme="majorEastAsia"/>
          <w:lang w:val="en-GB"/>
        </w:rPr>
        <w:t xml:space="preserve">in </w:t>
      </w:r>
      <w:r w:rsidRPr="00E97FC1">
        <w:rPr>
          <w:rFonts w:eastAsiaTheme="majorEastAsia"/>
          <w:i/>
          <w:lang w:val="en-GB"/>
        </w:rPr>
        <w:t>E.coli</w:t>
      </w:r>
      <w:r w:rsidRPr="00E97FC1">
        <w:rPr>
          <w:rFonts w:eastAsiaTheme="majorEastAsia"/>
          <w:lang w:val="en-GB"/>
        </w:rPr>
        <w:t xml:space="preserve"> complex I</w:t>
      </w:r>
      <w:r w:rsidRPr="00E97FC1">
        <w:rPr>
          <w:lang w:val="en-GB"/>
        </w:rPr>
        <w:t>. Oxidoreductase activities were measured with either O</w:t>
      </w:r>
      <w:r w:rsidRPr="00E97FC1">
        <w:rPr>
          <w:vertAlign w:val="subscript"/>
          <w:lang w:val="en-GB"/>
        </w:rPr>
        <w:t>2</w:t>
      </w:r>
      <w:r w:rsidRPr="00E97FC1">
        <w:rPr>
          <w:lang w:val="en-GB"/>
        </w:rPr>
        <w:t>, DQ or UQ</w:t>
      </w:r>
      <w:r w:rsidRPr="00E97FC1">
        <w:rPr>
          <w:vertAlign w:val="subscript"/>
          <w:lang w:val="en-GB"/>
        </w:rPr>
        <w:t>1</w:t>
      </w:r>
      <w:r w:rsidRPr="00E97FC1">
        <w:rPr>
          <w:lang w:val="en-GB"/>
        </w:rPr>
        <w:t xml:space="preserve"> as final acceptor and the range observed is shown. FMN-site activities were measured with either ferricyanide or hexaammineruthenium III as final acceptor. Proton pumping rates are very approximate. “Reduced” corresponds to the value ~50-80% and “low” to below ~50%. Abbreviations: SB - salt bridge, HB – hydrogen bond, HL – helix HL.</w:t>
      </w:r>
    </w:p>
    <w:p w14:paraId="2DE5CD9B" w14:textId="77777777" w:rsidR="002471A8" w:rsidRPr="00E97FC1" w:rsidRDefault="002471A8" w:rsidP="002471A8">
      <w:pPr>
        <w:pStyle w:val="ListParagraph"/>
        <w:numPr>
          <w:ilvl w:val="0"/>
          <w:numId w:val="41"/>
        </w:numPr>
        <w:jc w:val="left"/>
        <w:rPr>
          <w:rFonts w:ascii="Helvetica" w:hAnsi="Helvetica" w:cs="Helvetica"/>
          <w:b/>
        </w:rPr>
      </w:pPr>
      <w:r w:rsidRPr="00E97FC1">
        <w:rPr>
          <w:rFonts w:ascii="Helvetica" w:hAnsi="Helvetica" w:cs="Helvetica"/>
          <w:b/>
        </w:rPr>
        <w:t>Mutations in the peripheral arm</w:t>
      </w:r>
    </w:p>
    <w:p w14:paraId="640D8428" w14:textId="77777777" w:rsidR="002471A8" w:rsidRPr="00E97FC1" w:rsidRDefault="002471A8" w:rsidP="002471A8">
      <w:pPr>
        <w:rPr>
          <w:rFonts w:ascii="Helvetica" w:hAnsi="Helvetica" w:cs="Helvetica"/>
          <w:lang w:val="en-GB"/>
        </w:rPr>
      </w:pPr>
    </w:p>
    <w:tbl>
      <w:tblPr>
        <w:tblW w:w="5541" w:type="pct"/>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0A0" w:firstRow="1" w:lastRow="0" w:firstColumn="1" w:lastColumn="0" w:noHBand="0" w:noVBand="0"/>
      </w:tblPr>
      <w:tblGrid>
        <w:gridCol w:w="1061"/>
        <w:gridCol w:w="2626"/>
        <w:gridCol w:w="1441"/>
        <w:gridCol w:w="1171"/>
        <w:gridCol w:w="1261"/>
        <w:gridCol w:w="1173"/>
        <w:gridCol w:w="1259"/>
      </w:tblGrid>
      <w:tr w:rsidR="002471A8" w:rsidRPr="00E97FC1" w14:paraId="3DE623FE" w14:textId="77777777" w:rsidTr="002471A8">
        <w:tc>
          <w:tcPr>
            <w:tcW w:w="531" w:type="pct"/>
            <w:vMerge w:val="restart"/>
          </w:tcPr>
          <w:p w14:paraId="7593CBFE" w14:textId="77777777" w:rsidR="002471A8" w:rsidRPr="00E97FC1" w:rsidRDefault="002471A8" w:rsidP="002471A8">
            <w:pPr>
              <w:rPr>
                <w:rFonts w:ascii="Helvetica" w:hAnsi="Helvetica" w:cs="Helvetica"/>
                <w:sz w:val="22"/>
                <w:lang w:val="en-GB"/>
              </w:rPr>
            </w:pPr>
            <w:r w:rsidRPr="00E97FC1">
              <w:rPr>
                <w:rFonts w:ascii="Helvetica" w:hAnsi="Helvetica" w:cs="Helvetica"/>
                <w:sz w:val="22"/>
                <w:lang w:val="en-GB"/>
              </w:rPr>
              <w:t>Mutation</w:t>
            </w:r>
          </w:p>
        </w:tc>
        <w:tc>
          <w:tcPr>
            <w:tcW w:w="1314" w:type="pct"/>
            <w:vMerge w:val="restart"/>
          </w:tcPr>
          <w:p w14:paraId="4205CAD5"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Amino acid location</w:t>
            </w:r>
          </w:p>
        </w:tc>
        <w:tc>
          <w:tcPr>
            <w:tcW w:w="721" w:type="pct"/>
            <w:vMerge w:val="restart"/>
          </w:tcPr>
          <w:p w14:paraId="73431515"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Expression/</w:t>
            </w:r>
          </w:p>
          <w:p w14:paraId="6F8CC04F"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assembly</w:t>
            </w:r>
          </w:p>
        </w:tc>
        <w:tc>
          <w:tcPr>
            <w:tcW w:w="1804" w:type="pct"/>
            <w:gridSpan w:val="3"/>
          </w:tcPr>
          <w:p w14:paraId="05BA964E"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Effect</w:t>
            </w:r>
          </w:p>
        </w:tc>
        <w:tc>
          <w:tcPr>
            <w:tcW w:w="630" w:type="pct"/>
            <w:vMerge w:val="restart"/>
          </w:tcPr>
          <w:p w14:paraId="6224EEB3"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Reference and comments</w:t>
            </w:r>
          </w:p>
        </w:tc>
      </w:tr>
      <w:tr w:rsidR="002471A8" w:rsidRPr="00E97FC1" w14:paraId="3A1F0614" w14:textId="77777777" w:rsidTr="002471A8">
        <w:tc>
          <w:tcPr>
            <w:tcW w:w="531" w:type="pct"/>
            <w:vMerge/>
          </w:tcPr>
          <w:p w14:paraId="40FF8E61" w14:textId="77777777" w:rsidR="002471A8" w:rsidRPr="00E97FC1" w:rsidRDefault="002471A8" w:rsidP="002471A8">
            <w:pPr>
              <w:jc w:val="center"/>
              <w:rPr>
                <w:rFonts w:ascii="Helvetica" w:hAnsi="Helvetica" w:cs="Helvetica"/>
                <w:sz w:val="22"/>
                <w:lang w:val="en-GB"/>
              </w:rPr>
            </w:pPr>
          </w:p>
        </w:tc>
        <w:tc>
          <w:tcPr>
            <w:tcW w:w="1314" w:type="pct"/>
            <w:vMerge/>
          </w:tcPr>
          <w:p w14:paraId="2706078A" w14:textId="77777777" w:rsidR="002471A8" w:rsidRPr="00E97FC1" w:rsidRDefault="002471A8" w:rsidP="002471A8">
            <w:pPr>
              <w:jc w:val="center"/>
              <w:rPr>
                <w:rFonts w:ascii="Helvetica" w:hAnsi="Helvetica" w:cs="Helvetica"/>
                <w:sz w:val="22"/>
                <w:lang w:val="en-GB"/>
              </w:rPr>
            </w:pPr>
          </w:p>
        </w:tc>
        <w:tc>
          <w:tcPr>
            <w:tcW w:w="721" w:type="pct"/>
            <w:vMerge/>
          </w:tcPr>
          <w:p w14:paraId="2D5C0CFB" w14:textId="77777777" w:rsidR="002471A8" w:rsidRPr="00E97FC1" w:rsidRDefault="002471A8" w:rsidP="002471A8">
            <w:pPr>
              <w:jc w:val="center"/>
              <w:rPr>
                <w:rFonts w:ascii="Helvetica" w:hAnsi="Helvetica" w:cs="Helvetica"/>
                <w:sz w:val="22"/>
                <w:lang w:val="en-GB"/>
              </w:rPr>
            </w:pPr>
          </w:p>
        </w:tc>
        <w:tc>
          <w:tcPr>
            <w:tcW w:w="586" w:type="pct"/>
          </w:tcPr>
          <w:p w14:paraId="3F6AB67A"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FMN-site</w:t>
            </w:r>
          </w:p>
          <w:p w14:paraId="7BE7301F"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activity</w:t>
            </w:r>
          </w:p>
        </w:tc>
        <w:tc>
          <w:tcPr>
            <w:tcW w:w="631" w:type="pct"/>
          </w:tcPr>
          <w:p w14:paraId="6F2E123D"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 xml:space="preserve">Oxido-reductase activity </w:t>
            </w:r>
          </w:p>
        </w:tc>
        <w:tc>
          <w:tcPr>
            <w:tcW w:w="587" w:type="pct"/>
          </w:tcPr>
          <w:p w14:paraId="557EAD76"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Proton pumping activity</w:t>
            </w:r>
          </w:p>
        </w:tc>
        <w:tc>
          <w:tcPr>
            <w:tcW w:w="630" w:type="pct"/>
            <w:vMerge/>
          </w:tcPr>
          <w:p w14:paraId="77D17915" w14:textId="77777777" w:rsidR="002471A8" w:rsidRPr="00E97FC1" w:rsidRDefault="002471A8" w:rsidP="002471A8">
            <w:pPr>
              <w:jc w:val="center"/>
              <w:rPr>
                <w:rFonts w:ascii="Helvetica" w:hAnsi="Helvetica" w:cs="Helvetica"/>
                <w:sz w:val="22"/>
                <w:lang w:val="en-GB"/>
              </w:rPr>
            </w:pPr>
          </w:p>
        </w:tc>
      </w:tr>
      <w:tr w:rsidR="002471A8" w:rsidRPr="00E97FC1" w14:paraId="4AD00B24" w14:textId="77777777" w:rsidTr="002471A8">
        <w:trPr>
          <w:trHeight w:val="65"/>
        </w:trPr>
        <w:tc>
          <w:tcPr>
            <w:tcW w:w="5000" w:type="pct"/>
            <w:gridSpan w:val="7"/>
          </w:tcPr>
          <w:p w14:paraId="5338F306" w14:textId="77777777" w:rsidR="002471A8" w:rsidRPr="00E97FC1" w:rsidRDefault="002471A8" w:rsidP="002471A8">
            <w:pPr>
              <w:rPr>
                <w:rFonts w:ascii="Helvetica" w:hAnsi="Helvetica" w:cs="Helvetica"/>
                <w:noProof/>
                <w:sz w:val="22"/>
                <w:lang w:val="en-GB"/>
              </w:rPr>
            </w:pPr>
            <w:r w:rsidRPr="00E97FC1">
              <w:rPr>
                <w:rFonts w:ascii="Helvetica" w:hAnsi="Helvetica" w:cs="Helvetica"/>
                <w:b/>
                <w:bCs/>
                <w:sz w:val="28"/>
                <w:lang w:val="en-GB"/>
              </w:rPr>
              <w:t>NuoF</w:t>
            </w:r>
          </w:p>
        </w:tc>
      </w:tr>
      <w:tr w:rsidR="002471A8" w:rsidRPr="00E97FC1" w14:paraId="487DC573" w14:textId="77777777" w:rsidTr="002471A8">
        <w:trPr>
          <w:trHeight w:val="65"/>
        </w:trPr>
        <w:tc>
          <w:tcPr>
            <w:tcW w:w="531" w:type="pct"/>
          </w:tcPr>
          <w:p w14:paraId="2A483561"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E95Q</w:t>
            </w:r>
          </w:p>
        </w:tc>
        <w:tc>
          <w:tcPr>
            <w:tcW w:w="1314" w:type="pct"/>
          </w:tcPr>
          <w:p w14:paraId="2F3480C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NADH binding site</w:t>
            </w:r>
          </w:p>
        </w:tc>
        <w:tc>
          <w:tcPr>
            <w:tcW w:w="721" w:type="pct"/>
          </w:tcPr>
          <w:p w14:paraId="0C3D81D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586" w:type="pct"/>
          </w:tcPr>
          <w:p w14:paraId="2EAB521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20-40%</w:t>
            </w:r>
          </w:p>
        </w:tc>
        <w:tc>
          <w:tcPr>
            <w:tcW w:w="631" w:type="pct"/>
          </w:tcPr>
          <w:p w14:paraId="7D78807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40%</w:t>
            </w:r>
          </w:p>
        </w:tc>
        <w:tc>
          <w:tcPr>
            <w:tcW w:w="587" w:type="pct"/>
          </w:tcPr>
          <w:p w14:paraId="12E6103B"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630" w:type="pct"/>
          </w:tcPr>
          <w:p w14:paraId="1F097297" w14:textId="6856A3FB" w:rsidR="002471A8" w:rsidRPr="00E97FC1" w:rsidRDefault="002471A8" w:rsidP="002471A8">
            <w:pPr>
              <w:rPr>
                <w:rFonts w:ascii="Helvetica" w:hAnsi="Helvetica" w:cs="Helvetica"/>
                <w:b/>
                <w:bCs/>
                <w:sz w:val="20"/>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{"citationItems":[{"id":"ITEM-1","itemData":{"DOI":"10.1016/j.bbabio.2008.11.002","ISSN":"0006-3002 (Print)","PMID":"19061856","abstract":"Replacement of glutamate 95 for glutamine in the NADH- and FMN-binding NuoF subunit  of E. coli Complex I decreased NADH oxidation activity 2.5-4.8 times depending on the used electron acceptor. The apparent K(m) for NADH was 5.2 and 10.4 microM for the mutant and wild type, respectively. Analysis of the inhibitory effect of NAD(+) on activity showed that the E95Q mutation caused a 2.4-fold decrease of K(i)(NAD+) in comparison to the wild type enzyme. ADP-ribose, which differs from NAD(+) by the absence of the positively charged nicotinamide moiety, is also a competitive inhibitor of NADH binding. The mutation caused a 7.5-fold decrease of K(i)(ADP-ribose) relative to wild type enzyme. Based on these findings we propose that the negative charge of Glu95 accelerates turnover of Complex I by electrostatic interaction with the negatively charged phosphate groups of the substrate nucleotide during operation, which facilitates release of the product NAD(+). The E95Q mutation was also found to cause a positive shift of the midpoint redox potential of the FMN, from -350 mV to -310 mV, which suggests that the negative charge of Glu95 is also involved in decreasing the midpoint potential of the primary electron acceptor of Complex I.","author":[{"dropping-particle":"","family":"Euro","given":"Liliya","non-dropping-particle":"","parse-names":false,"suffix":""},{"dropping-particle":"","family":"Belevich","given":"Galina","non-dropping-particle":"","parse-names":false,"suffix":""},{"dropping-particle":"","family":"Bloch","given":"Dmitry A","non-dropping-particle":"","parse-names":false,"suffix":""},{"dropping-particle":"","family":"Verkhovsky","given":"Michael I","non-dropping-particle":"","parse-names":false,"suffix":""},{"dropping-particle":"","family":"Wikström","given":"Mårten","non-dropping-particle":"","parse-names":false,"suffix":""},{"dropping-particle":"","family":"Verkhovskaya","given":"Marina","non-dropping-particle":"","parse-names":false,"suffix":""}],"container-title":"Biochimica et biophysica acta","id":"ITEM-1","issue":"1","issued":{"date-parts":[["2009","1"]]},"language":"eng","page":"68-73","publisher-place":"Netherlands","title":"The role of the invariant glutamate 95 in the catalytic site of Complex I from  Escherichia coli.","type":"article-journal","volume":"1787"},"uris":["http://www.mendeley.com/documents/?uuid=561a8fbc-e80a-4bb0-b2c2-6c0ddf37fb1c"]}],"mendeley":{"formattedCitation":"(Euro &lt;i&gt;et al&lt;/i&gt;, 2009)","plainTextFormattedCitation":"(Euro et al, 2009)","previouslyFormattedCitation":"(Euro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(Euro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2CA00A3A" w14:textId="77777777" w:rsidTr="002471A8">
        <w:trPr>
          <w:trHeight w:val="65"/>
        </w:trPr>
        <w:tc>
          <w:tcPr>
            <w:tcW w:w="5000" w:type="pct"/>
            <w:gridSpan w:val="7"/>
          </w:tcPr>
          <w:p w14:paraId="1C0CA844" w14:textId="77777777" w:rsidR="002471A8" w:rsidRPr="00E97FC1" w:rsidRDefault="002471A8" w:rsidP="002471A8">
            <w:pPr>
              <w:rPr>
                <w:rFonts w:ascii="Helvetica" w:hAnsi="Helvetica" w:cs="Helvetica"/>
                <w:b/>
                <w:noProof/>
                <w:sz w:val="22"/>
                <w:lang w:val="en-GB"/>
              </w:rPr>
            </w:pPr>
            <w:r w:rsidRPr="00E97FC1">
              <w:rPr>
                <w:rFonts w:ascii="Helvetica" w:hAnsi="Helvetica" w:cs="Helvetica"/>
                <w:b/>
                <w:bCs/>
                <w:sz w:val="28"/>
                <w:lang w:val="en-GB"/>
              </w:rPr>
              <w:t>NuoCD</w:t>
            </w:r>
          </w:p>
        </w:tc>
      </w:tr>
      <w:tr w:rsidR="002471A8" w:rsidRPr="00E97FC1" w14:paraId="45671249" w14:textId="77777777" w:rsidTr="002471A8">
        <w:trPr>
          <w:trHeight w:val="65"/>
        </w:trPr>
        <w:tc>
          <w:tcPr>
            <w:tcW w:w="531" w:type="pct"/>
          </w:tcPr>
          <w:p w14:paraId="12B51E8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S104A</w:t>
            </w:r>
          </w:p>
        </w:tc>
        <w:tc>
          <w:tcPr>
            <w:tcW w:w="1314" w:type="pct"/>
          </w:tcPr>
          <w:p w14:paraId="4960D12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surface</w:t>
            </w:r>
          </w:p>
        </w:tc>
        <w:tc>
          <w:tcPr>
            <w:tcW w:w="721" w:type="pct"/>
          </w:tcPr>
          <w:p w14:paraId="224469C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586" w:type="pct"/>
          </w:tcPr>
          <w:p w14:paraId="359BFD3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103%</w:t>
            </w:r>
          </w:p>
        </w:tc>
        <w:tc>
          <w:tcPr>
            <w:tcW w:w="631" w:type="pct"/>
          </w:tcPr>
          <w:p w14:paraId="3C4E311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106-114%</w:t>
            </w:r>
          </w:p>
        </w:tc>
        <w:tc>
          <w:tcPr>
            <w:tcW w:w="587" w:type="pct"/>
          </w:tcPr>
          <w:p w14:paraId="1EBD76A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630" w:type="pct"/>
          </w:tcPr>
          <w:p w14:paraId="657E9D57" w14:textId="78FA60ED" w:rsidR="002471A8" w:rsidRPr="00E97FC1" w:rsidRDefault="002471A8" w:rsidP="002471A8">
            <w:pPr>
              <w:rPr>
                <w:rFonts w:ascii="Helvetica" w:hAnsi="Helvetica" w:cs="Helvetica"/>
                <w:noProof/>
                <w:sz w:val="16"/>
                <w:szCs w:val="20"/>
                <w:lang w:val="en-GB"/>
              </w:rPr>
            </w:pPr>
            <w:r w:rsidRPr="00E97FC1">
              <w:rPr>
                <w:rFonts w:ascii="Helvetica" w:hAnsi="Helvetica" w:cs="Helvetica"/>
                <w:noProof/>
                <w:sz w:val="16"/>
                <w:szCs w:val="20"/>
                <w:lang w:val="en-GB"/>
              </w:rPr>
              <w:fldChar w:fldCharType="begin" w:fldLock="1"/>
            </w:r>
            <w:r w:rsidR="00DC25DF" w:rsidRPr="00E97FC1">
              <w:rPr>
                <w:rFonts w:ascii="Helvetica" w:hAnsi="Helvetica" w:cs="Helvetica"/>
                <w:noProof/>
                <w:sz w:val="16"/>
                <w:szCs w:val="20"/>
                <w:lang w:val="en-GB"/>
              </w:rPr>
              <w:instrText>ADDIN CSL_CITATION {"citationItems":[{"id":"ITEM-1","itemData":{"DOI":"10.1021/bi100885v","ISSN":"1520-4995 (Electronic)","PMID":"20979355","abstract":"The prokaryotic proton-translocating NADH-quinone oxidoreductase (NDH-1) is an  L-shaped membrane-bound enzyme that contains 14 subunits (NuoA-NuoN or Nqo1-Nqo14). All subunits have their counterparts in the eukaryotic enzyme (complex I). NDH-1 consists of two domains: the peripheral arm (NuoB, -C, -D, -E, -F, -G, and -I) and the membrane arm (NuoA, -H, -J, -K, -L, -M, and -N). In Escherichia coli NDH-1, the hydrophilic subunits NuoC/Nqo5/30k and NuoD/Nqo4/49k are fused together in a single polypeptide as the NuoCD subunit. The NuoCD subunit is the only subunit that does not bear a cofactor in the peripheral arm. While some roles for inhibitor and quinone association have been reported for the NuoD segment, structural and functional roles of the NuoC segment remain mostly elusive. In this work, 14 highly conserved residues of the NuoC segment were mutated and 21 mutants were constructed using the chromosomal gene manipulation technique. From the enzymatic assays and immunochemical and blue-native gel analyses, it was found that residues Glu-138, Glu-140, and Asp-143 that are thought to be in the third α-helix are absolutely required for the energy-transducing NDH-1 activities and the assembly of the whole enzyme. Together with available information for the hydrophobic subunits, we propose that Glu-138, Glu-140, and Asp-143 of the NuoC segment may have a pivotal role in the structural stability of NDH-1.","author":[{"dropping-particle":"","family":"Castro-Guerrero","given":"Norma","non-dropping-particle":"","parse-names":false,"suffix":""},{"dropping-particle":"","family":"Sinha","given":"Prem Kumar","non-dropping-particle":"","parse-names":false,"suffix":""},{"dropping-particle":"","family":"Torres-Bacete","given":"Jesus","non-dropping-particle":"","parse-names":false,"suffix":""},{"dropping-particle":"","family":"Matsuno-Yagi","given":"Akemi","non-dropping-particle":"","parse-names":false,"suffix":""},{"dropping-particle":"","family":"Yagi","given":"Takao","non-dropping-particle":"","parse-names":false,"suffix":""}],"container-title":"Biochemistry","id":"ITEM-1","issue":"47","issued":{"date-parts":[["2010","11"]]},"language":"eng","page":"10072-10080","title":"Pivotal roles of three conserved carboxyl residues of the NuoC (30k) segment in the  structural integrity of proton-translocating NADH-quinone oxidoreductase from Escherichia coli.","type":"article-journal","volume":"49"},"uris":["http://www.mendeley.com/documents/?uuid=979e1016-fd09-4d8e-bacb-e7ea36d240fe"]}],"mendeley":{"formattedCitation":"(Castro-Guerrero &lt;i&gt;et al&lt;/i&gt;, 2010)","plainTextFormattedCitation":"(Castro-Guerrero et al, 2010)","previouslyFormattedCitation":"(Castro-Guerrero &lt;i&gt;et al&lt;/i&gt;, 2010)"},"properties":{"noteIndex":0},"schema":"https://github.com/citation-style-language/schema/raw/master/csl-citation.json"}</w:instrText>
            </w:r>
            <w:r w:rsidRPr="00E97FC1">
              <w:rPr>
                <w:rFonts w:ascii="Helvetica" w:hAnsi="Helvetica" w:cs="Helvetica"/>
                <w:noProof/>
                <w:sz w:val="16"/>
                <w:szCs w:val="20"/>
                <w:lang w:val="en-GB"/>
              </w:rPr>
              <w:fldChar w:fldCharType="separate"/>
            </w:r>
            <w:r w:rsidRPr="00E97FC1">
              <w:rPr>
                <w:rFonts w:ascii="Helvetica" w:hAnsi="Helvetica" w:cs="Helvetica"/>
                <w:noProof/>
                <w:sz w:val="16"/>
                <w:szCs w:val="20"/>
                <w:lang w:val="en-GB"/>
              </w:rPr>
              <w:t xml:space="preserve">(Castro-Guerrero </w:t>
            </w:r>
            <w:r w:rsidRPr="00E97FC1">
              <w:rPr>
                <w:rFonts w:ascii="Helvetica" w:hAnsi="Helvetica" w:cs="Helvetica"/>
                <w:i/>
                <w:noProof/>
                <w:sz w:val="16"/>
                <w:szCs w:val="20"/>
                <w:lang w:val="en-GB"/>
              </w:rPr>
              <w:t>et al</w:t>
            </w:r>
            <w:r w:rsidRPr="00E97FC1">
              <w:rPr>
                <w:rFonts w:ascii="Helvetica" w:hAnsi="Helvetica" w:cs="Helvetica"/>
                <w:noProof/>
                <w:sz w:val="16"/>
                <w:szCs w:val="20"/>
                <w:lang w:val="en-GB"/>
              </w:rPr>
              <w:t>, 2010)</w:t>
            </w:r>
            <w:r w:rsidRPr="00E97FC1">
              <w:rPr>
                <w:rFonts w:ascii="Helvetica" w:hAnsi="Helvetica" w:cs="Helvetica"/>
                <w:noProof/>
                <w:sz w:val="16"/>
                <w:szCs w:val="20"/>
                <w:lang w:val="en-GB"/>
              </w:rPr>
              <w:fldChar w:fldCharType="end"/>
            </w:r>
          </w:p>
        </w:tc>
      </w:tr>
      <w:tr w:rsidR="002471A8" w:rsidRPr="00E97FC1" w14:paraId="02C9CF8C" w14:textId="77777777" w:rsidTr="002471A8">
        <w:trPr>
          <w:trHeight w:val="65"/>
        </w:trPr>
        <w:tc>
          <w:tcPr>
            <w:tcW w:w="531" w:type="pct"/>
          </w:tcPr>
          <w:p w14:paraId="1E3541C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A134S</w:t>
            </w:r>
          </w:p>
        </w:tc>
        <w:tc>
          <w:tcPr>
            <w:tcW w:w="1314" w:type="pct"/>
          </w:tcPr>
          <w:p w14:paraId="7C293F2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surface</w:t>
            </w:r>
          </w:p>
        </w:tc>
        <w:tc>
          <w:tcPr>
            <w:tcW w:w="721" w:type="pct"/>
          </w:tcPr>
          <w:p w14:paraId="5569203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586" w:type="pct"/>
          </w:tcPr>
          <w:p w14:paraId="3D060F30"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82%</w:t>
            </w:r>
          </w:p>
        </w:tc>
        <w:tc>
          <w:tcPr>
            <w:tcW w:w="631" w:type="pct"/>
          </w:tcPr>
          <w:p w14:paraId="2C816E2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587" w:type="pct"/>
          </w:tcPr>
          <w:p w14:paraId="7C6C3744"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630" w:type="pct"/>
          </w:tcPr>
          <w:p w14:paraId="5E912F20" w14:textId="18C82CF8" w:rsidR="002471A8" w:rsidRPr="00E97FC1" w:rsidRDefault="002471A8" w:rsidP="002471A8">
            <w:pPr>
              <w:rPr>
                <w:rFonts w:ascii="Helvetica" w:hAnsi="Helvetica" w:cs="Helvetica"/>
                <w:noProof/>
                <w:sz w:val="16"/>
                <w:szCs w:val="20"/>
                <w:lang w:val="en-GB"/>
              </w:rPr>
            </w:pPr>
            <w:r w:rsidRPr="00E97FC1">
              <w:rPr>
                <w:rFonts w:ascii="Helvetica" w:hAnsi="Helvetica" w:cs="Helvetica"/>
                <w:noProof/>
                <w:sz w:val="16"/>
                <w:szCs w:val="20"/>
                <w:lang w:val="en-GB"/>
              </w:rPr>
              <w:fldChar w:fldCharType="begin" w:fldLock="1"/>
            </w:r>
            <w:r w:rsidR="00DC25DF" w:rsidRPr="00E97FC1">
              <w:rPr>
                <w:rFonts w:ascii="Helvetica" w:hAnsi="Helvetica" w:cs="Helvetica"/>
                <w:noProof/>
                <w:sz w:val="16"/>
                <w:szCs w:val="20"/>
                <w:lang w:val="en-GB"/>
              </w:rPr>
              <w:instrText>ADDIN CSL_CITATION {"citationItems":[{"id":"ITEM-1","itemData":{"DOI":"10.1021/bi100885v","ISSN":"1520-4995 (Electronic)","PMID":"20979355","abstract":"The prokaryotic proton-translocating NADH-quinone oxidoreductase (NDH-1) is an  L-shaped membrane-bound enzyme that contains 14 subunits (NuoA-NuoN or Nqo1-Nqo14). All subunits have their counterparts in the eukaryotic enzyme (complex I). NDH-1 consists of two domains: the peripheral arm (NuoB, -C, -D, -E, -F, -G, and -I) and the membrane arm (NuoA, -H, -J, -K, -L, -M, and -N). In Escherichia coli NDH-1, the hydrophilic subunits NuoC/Nqo5/30k and NuoD/Nqo4/49k are fused together in a single polypeptide as the NuoCD subunit. The NuoCD subunit is the only subunit that does not bear a cofactor in the peripheral arm. While some roles for inhibitor and quinone association have been reported for the NuoD segment, structural and functional roles of the NuoC segment remain mostly elusive. In this work, 14 highly conserved residues of the NuoC segment were mutated and 21 mutants were constructed using the chromosomal gene manipulation technique. From the enzymatic assays and immunochemical and blue-native gel analyses, it was found that residues Glu-138, Glu-140, and Asp-143 that are thought to be in the third α-helix are absolutely required for the energy-transducing NDH-1 activities and the assembly of the whole enzyme. Together with available information for the hydrophobic subunits, we propose that Glu-138, Glu-140, and Asp-143 of the NuoC segment may have a pivotal role in the structural stability of NDH-1.","author":[{"dropping-particle":"","family":"Castro-Guerrero","given":"Norma","non-dropping-particle":"","parse-names":false,"suffix":""},{"dropping-particle":"","family":"Sinha","given":"Prem Kumar","non-dropping-particle":"","parse-names":false,"suffix":""},{"dropping-particle":"","family":"Torres-Bacete","given":"Jesus","non-dropping-particle":"","parse-names":false,"suffix":""},{"dropping-particle":"","family":"Matsuno-Yagi","given":"Akemi","non-dropping-particle":"","parse-names":false,"suffix":""},{"dropping-particle":"","family":"Yagi","given":"Takao","non-dropping-particle":"","parse-names":false,"suffix":""}],"container-title":"Biochemistry","id":"ITEM-1","issue":"47","issued":{"date-parts":[["2010","11"]]},"language":"eng","page":"10072-10080","title":"Pivotal roles of three conserved carboxyl residues of the NuoC (30k) segment in the  structural integrity of proton-translocating NADH-quinone oxidoreductase from Escherichia coli.","type":"article-journal","volume":"49"},"uris":["http://www.mendeley.com/documents/?uuid=979e1016-fd09-4d8e-bacb-e7ea36d240fe"]}],"mendeley":{"formattedCitation":"(Castro-Guerrero &lt;i&gt;et al&lt;/i&gt;, 2010)","plainTextFormattedCitation":"(Castro-Guerrero et al, 2010)","previouslyFormattedCitation":"(Castro-Guerrero &lt;i&gt;et al&lt;/i&gt;, 2010)"},"properties":{"noteIndex":0},"schema":"https://github.com/citation-style-language/schema/raw/master/csl-citation.json"}</w:instrText>
            </w:r>
            <w:r w:rsidRPr="00E97FC1">
              <w:rPr>
                <w:rFonts w:ascii="Helvetica" w:hAnsi="Helvetica" w:cs="Helvetica"/>
                <w:noProof/>
                <w:sz w:val="16"/>
                <w:szCs w:val="20"/>
                <w:lang w:val="en-GB"/>
              </w:rPr>
              <w:fldChar w:fldCharType="separate"/>
            </w:r>
            <w:r w:rsidRPr="00E97FC1">
              <w:rPr>
                <w:rFonts w:ascii="Helvetica" w:hAnsi="Helvetica" w:cs="Helvetica"/>
                <w:noProof/>
                <w:sz w:val="16"/>
                <w:szCs w:val="20"/>
                <w:lang w:val="en-GB"/>
              </w:rPr>
              <w:t xml:space="preserve">(Castro-Guerrero </w:t>
            </w:r>
            <w:r w:rsidRPr="00E97FC1">
              <w:rPr>
                <w:rFonts w:ascii="Helvetica" w:hAnsi="Helvetica" w:cs="Helvetica"/>
                <w:i/>
                <w:noProof/>
                <w:sz w:val="16"/>
                <w:szCs w:val="20"/>
                <w:lang w:val="en-GB"/>
              </w:rPr>
              <w:t>et al</w:t>
            </w:r>
            <w:r w:rsidRPr="00E97FC1">
              <w:rPr>
                <w:rFonts w:ascii="Helvetica" w:hAnsi="Helvetica" w:cs="Helvetica"/>
                <w:noProof/>
                <w:sz w:val="16"/>
                <w:szCs w:val="20"/>
                <w:lang w:val="en-GB"/>
              </w:rPr>
              <w:t>, 2010)</w:t>
            </w:r>
            <w:r w:rsidRPr="00E97FC1">
              <w:rPr>
                <w:rFonts w:ascii="Helvetica" w:hAnsi="Helvetica" w:cs="Helvetica"/>
                <w:noProof/>
                <w:sz w:val="16"/>
                <w:szCs w:val="20"/>
                <w:lang w:val="en-GB"/>
              </w:rPr>
              <w:fldChar w:fldCharType="end"/>
            </w:r>
          </w:p>
        </w:tc>
      </w:tr>
      <w:tr w:rsidR="002471A8" w:rsidRPr="00E97FC1" w14:paraId="7D984F29" w14:textId="77777777" w:rsidTr="002471A8">
        <w:trPr>
          <w:trHeight w:val="65"/>
        </w:trPr>
        <w:tc>
          <w:tcPr>
            <w:tcW w:w="531" w:type="pct"/>
          </w:tcPr>
          <w:p w14:paraId="132BD71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E138A</w:t>
            </w:r>
          </w:p>
        </w:tc>
        <w:tc>
          <w:tcPr>
            <w:tcW w:w="1314" w:type="pct"/>
            <w:vMerge w:val="restart"/>
          </w:tcPr>
          <w:p w14:paraId="13E6A3A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lang w:val="en-GB"/>
              </w:rPr>
              <w:t>Intersubunit interface</w:t>
            </w:r>
            <w:r w:rsidRPr="00E97FC1">
              <w:rPr>
                <w:rFonts w:ascii="Helvetica" w:hAnsi="Helvetica" w:cs="Helvetica"/>
                <w:bCs/>
                <w:sz w:val="20"/>
                <w:szCs w:val="20"/>
                <w:lang w:val="en-GB"/>
              </w:rPr>
              <w:t xml:space="preserve">, before </w:t>
            </w:r>
            <w:r w:rsidRPr="00E97FC1">
              <w:rPr>
                <w:rFonts w:ascii="Helvetica" w:hAnsi="Helvetica" w:cs="Helvetica"/>
                <w:bCs/>
                <w:sz w:val="20"/>
                <w:szCs w:val="20"/>
                <w:vertAlign w:val="subscript"/>
                <w:lang w:val="en-GB"/>
              </w:rPr>
              <w:t>CD</w:t>
            </w:r>
            <w:r w:rsidRPr="00E97FC1">
              <w:rPr>
                <w:rFonts w:ascii="Helvetica" w:hAnsi="Helvetica" w:cs="Helvetica"/>
                <w:bCs/>
                <w:sz w:val="20"/>
                <w:szCs w:val="20"/>
                <w:lang w:val="en-GB"/>
              </w:rPr>
              <w:t>LHL</w:t>
            </w:r>
          </w:p>
        </w:tc>
        <w:tc>
          <w:tcPr>
            <w:tcW w:w="721" w:type="pct"/>
          </w:tcPr>
          <w:p w14:paraId="1220636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low</w:t>
            </w:r>
          </w:p>
        </w:tc>
        <w:tc>
          <w:tcPr>
            <w:tcW w:w="586" w:type="pct"/>
          </w:tcPr>
          <w:p w14:paraId="7F915ECB"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49%</w:t>
            </w:r>
          </w:p>
        </w:tc>
        <w:tc>
          <w:tcPr>
            <w:tcW w:w="631" w:type="pct"/>
          </w:tcPr>
          <w:p w14:paraId="06EE9AC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2-3%</w:t>
            </w:r>
          </w:p>
        </w:tc>
        <w:tc>
          <w:tcPr>
            <w:tcW w:w="587" w:type="pct"/>
          </w:tcPr>
          <w:p w14:paraId="0AB519C4"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0%</w:t>
            </w:r>
          </w:p>
        </w:tc>
        <w:tc>
          <w:tcPr>
            <w:tcW w:w="630" w:type="pct"/>
          </w:tcPr>
          <w:p w14:paraId="60AA3AA2" w14:textId="2398A91B" w:rsidR="002471A8" w:rsidRPr="00E97FC1" w:rsidRDefault="002471A8" w:rsidP="002471A8">
            <w:pPr>
              <w:rPr>
                <w:rFonts w:ascii="Helvetica" w:hAnsi="Helvetica" w:cs="Helvetica"/>
                <w:noProof/>
                <w:sz w:val="16"/>
                <w:szCs w:val="20"/>
                <w:lang w:val="en-GB"/>
              </w:rPr>
            </w:pPr>
            <w:r w:rsidRPr="00E97FC1">
              <w:rPr>
                <w:rFonts w:ascii="Helvetica" w:hAnsi="Helvetica" w:cs="Helvetica"/>
                <w:noProof/>
                <w:sz w:val="16"/>
                <w:szCs w:val="20"/>
                <w:lang w:val="en-GB"/>
              </w:rPr>
              <w:fldChar w:fldCharType="begin" w:fldLock="1"/>
            </w:r>
            <w:r w:rsidR="00DC25DF" w:rsidRPr="00E97FC1">
              <w:rPr>
                <w:rFonts w:ascii="Helvetica" w:hAnsi="Helvetica" w:cs="Helvetica"/>
                <w:noProof/>
                <w:sz w:val="16"/>
                <w:szCs w:val="20"/>
                <w:lang w:val="en-GB"/>
              </w:rPr>
              <w:instrText>ADDIN CSL_CITATION {"citationItems":[{"id":"ITEM-1","itemData":{"DOI":"10.1021/bi100885v","ISSN":"1520-4995 (Electronic)","PMID":"20979355","abstract":"The prokaryotic proton-translocating NADH-quinone oxidoreductase (NDH-1) is an  L-shaped membrane-bound enzyme that contains 14 subunits (NuoA-NuoN or Nqo1-Nqo14). All subunits have their counterparts in the eukaryotic enzyme (complex I). NDH-1 consists of two domains: the peripheral arm (NuoB, -C, -D, -E, -F, -G, and -I) and the membrane arm (NuoA, -H, -J, -K, -L, -M, and -N). In Escherichia coli NDH-1, the hydrophilic subunits NuoC/Nqo5/30k and NuoD/Nqo4/49k are fused together in a single polypeptide as the NuoCD subunit. The NuoCD subunit is the only subunit that does not bear a cofactor in the peripheral arm. While some roles for inhibitor and quinone association have been reported for the NuoD segment, structural and functional roles of the NuoC segment remain mostly elusive. In this work, 14 highly conserved residues of the NuoC segment were mutated and 21 mutants were constructed using the chromosomal gene manipulation technique. From the enzymatic assays and immunochemical and blue-native gel analyses, it was found that residues Glu-138, Glu-140, and Asp-143 that are thought to be in the third α-helix are absolutely required for the energy-transducing NDH-1 activities and the assembly of the whole enzyme. Together with available information for the hydrophobic subunits, we propose that Glu-138, Glu-140, and Asp-143 of the NuoC segment may have a pivotal role in the structural stability of NDH-1.","author":[{"dropping-particle":"","family":"Castro-Guerrero","given":"Norma","non-dropping-particle":"","parse-names":false,"suffix":""},{"dropping-particle":"","family":"Sinha","given":"Prem Kumar","non-dropping-particle":"","parse-names":false,"suffix":""},{"dropping-particle":"","family":"Torres-Bacete","given":"Jesus","non-dropping-particle":"","parse-names":false,"suffix":""},{"dropping-particle":"","family":"Matsuno-Yagi","given":"Akemi","non-dropping-particle":"","parse-names":false,"suffix":""},{"dropping-particle":"","family":"Yagi","given":"Takao","non-dropping-particle":"","parse-names":false,"suffix":""}],"container-title":"Biochemistry","id":"ITEM-1","issue":"47","issued":{"date-parts":[["2010","11"]]},"language":"eng","page":"10072-10080","title":"Pivotal roles of three conserved carboxyl residues of the NuoC (30k) segment in the  structural integrity of proton-translocating NADH-quinone oxidoreductase from Escherichia coli.","type":"article-journal","volume":"49"},"uris":["http://www.mendeley.com/documents/?uuid=979e1016-fd09-4d8e-bacb-e7ea36d240fe"]}],"mendeley":{"formattedCitation":"(Castro-Guerrero &lt;i&gt;et al&lt;/i&gt;, 2010)","plainTextFormattedCitation":"(Castro-Guerrero et al, 2010)","previouslyFormattedCitation":"(Castro-Guerrero &lt;i&gt;et al&lt;/i&gt;, 2010)"},"properties":{"noteIndex":0},"schema":"https://github.com/citation-style-language/schema/raw/master/csl-citation.json"}</w:instrText>
            </w:r>
            <w:r w:rsidRPr="00E97FC1">
              <w:rPr>
                <w:rFonts w:ascii="Helvetica" w:hAnsi="Helvetica" w:cs="Helvetica"/>
                <w:noProof/>
                <w:sz w:val="16"/>
                <w:szCs w:val="20"/>
                <w:lang w:val="en-GB"/>
              </w:rPr>
              <w:fldChar w:fldCharType="separate"/>
            </w:r>
            <w:r w:rsidRPr="00E97FC1">
              <w:rPr>
                <w:rFonts w:ascii="Helvetica" w:hAnsi="Helvetica" w:cs="Helvetica"/>
                <w:noProof/>
                <w:sz w:val="16"/>
                <w:szCs w:val="20"/>
                <w:lang w:val="en-GB"/>
              </w:rPr>
              <w:t xml:space="preserve">(Castro-Guerrero </w:t>
            </w:r>
            <w:r w:rsidRPr="00E97FC1">
              <w:rPr>
                <w:rFonts w:ascii="Helvetica" w:hAnsi="Helvetica" w:cs="Helvetica"/>
                <w:i/>
                <w:noProof/>
                <w:sz w:val="16"/>
                <w:szCs w:val="20"/>
                <w:lang w:val="en-GB"/>
              </w:rPr>
              <w:t>et al</w:t>
            </w:r>
            <w:r w:rsidRPr="00E97FC1">
              <w:rPr>
                <w:rFonts w:ascii="Helvetica" w:hAnsi="Helvetica" w:cs="Helvetica"/>
                <w:noProof/>
                <w:sz w:val="16"/>
                <w:szCs w:val="20"/>
                <w:lang w:val="en-GB"/>
              </w:rPr>
              <w:t>, 2010)</w:t>
            </w:r>
            <w:r w:rsidRPr="00E97FC1">
              <w:rPr>
                <w:rFonts w:ascii="Helvetica" w:hAnsi="Helvetica" w:cs="Helvetica"/>
                <w:noProof/>
                <w:sz w:val="16"/>
                <w:szCs w:val="20"/>
                <w:lang w:val="en-GB"/>
              </w:rPr>
              <w:fldChar w:fldCharType="end"/>
            </w:r>
          </w:p>
        </w:tc>
      </w:tr>
      <w:tr w:rsidR="002471A8" w:rsidRPr="00E97FC1" w14:paraId="041F993A" w14:textId="77777777" w:rsidTr="002471A8">
        <w:trPr>
          <w:trHeight w:val="65"/>
        </w:trPr>
        <w:tc>
          <w:tcPr>
            <w:tcW w:w="531" w:type="pct"/>
          </w:tcPr>
          <w:p w14:paraId="5721D0D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E138Q</w:t>
            </w:r>
          </w:p>
        </w:tc>
        <w:tc>
          <w:tcPr>
            <w:tcW w:w="1314" w:type="pct"/>
            <w:vMerge/>
          </w:tcPr>
          <w:p w14:paraId="47553573" w14:textId="77777777" w:rsidR="002471A8" w:rsidRPr="00E97FC1" w:rsidRDefault="002471A8" w:rsidP="002471A8">
            <w:pPr>
              <w:rPr>
                <w:rFonts w:ascii="Helvetica" w:hAnsi="Helvetica" w:cs="Helvetica"/>
                <w:bCs/>
                <w:sz w:val="20"/>
                <w:szCs w:val="20"/>
                <w:lang w:val="en-GB"/>
              </w:rPr>
            </w:pPr>
          </w:p>
        </w:tc>
        <w:tc>
          <w:tcPr>
            <w:tcW w:w="721" w:type="pct"/>
          </w:tcPr>
          <w:p w14:paraId="2AF04DD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586" w:type="pct"/>
          </w:tcPr>
          <w:p w14:paraId="5FE76C3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44%</w:t>
            </w:r>
          </w:p>
        </w:tc>
        <w:tc>
          <w:tcPr>
            <w:tcW w:w="631" w:type="pct"/>
          </w:tcPr>
          <w:p w14:paraId="4C2ECFB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20-29%</w:t>
            </w:r>
          </w:p>
        </w:tc>
        <w:tc>
          <w:tcPr>
            <w:tcW w:w="587" w:type="pct"/>
          </w:tcPr>
          <w:p w14:paraId="3AE3B4F7"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40%</w:t>
            </w:r>
          </w:p>
        </w:tc>
        <w:tc>
          <w:tcPr>
            <w:tcW w:w="630" w:type="pct"/>
          </w:tcPr>
          <w:p w14:paraId="4CA22984" w14:textId="15AB52F2" w:rsidR="002471A8" w:rsidRPr="00E97FC1" w:rsidRDefault="002471A8" w:rsidP="002471A8">
            <w:pPr>
              <w:rPr>
                <w:rFonts w:ascii="Helvetica" w:hAnsi="Helvetica" w:cs="Helvetica"/>
                <w:noProof/>
                <w:sz w:val="16"/>
                <w:szCs w:val="20"/>
                <w:lang w:val="en-GB"/>
              </w:rPr>
            </w:pPr>
            <w:r w:rsidRPr="00E97FC1">
              <w:rPr>
                <w:rFonts w:ascii="Helvetica" w:hAnsi="Helvetica" w:cs="Helvetica"/>
                <w:noProof/>
                <w:sz w:val="16"/>
                <w:szCs w:val="20"/>
                <w:lang w:val="en-GB"/>
              </w:rPr>
              <w:fldChar w:fldCharType="begin" w:fldLock="1"/>
            </w:r>
            <w:r w:rsidR="00DC25DF" w:rsidRPr="00E97FC1">
              <w:rPr>
                <w:rFonts w:ascii="Helvetica" w:hAnsi="Helvetica" w:cs="Helvetica"/>
                <w:noProof/>
                <w:sz w:val="16"/>
                <w:szCs w:val="20"/>
                <w:lang w:val="en-GB"/>
              </w:rPr>
              <w:instrText>ADDIN CSL_CITATION {"citationItems":[{"id":"ITEM-1","itemData":{"DOI":"10.1021/bi100885v","ISSN":"1520-4995 (Electronic)","PMID":"20979355","abstract":"The prokaryotic proton-translocating NADH-quinone oxidoreductase (NDH-1) is an  L-shaped membrane-bound enzyme that contains 14 subunits (NuoA-NuoN or Nqo1-Nqo14). All subunits have their counterparts in the eukaryotic enzyme (complex I). NDH-1 consists of two domains: the peripheral arm (NuoB, -C, -D, -E, -F, -G, and -I) and the membrane arm (NuoA, -H, -J, -K, -L, -M, and -N). In Escherichia coli NDH-1, the hydrophilic subunits NuoC/Nqo5/30k and NuoD/Nqo4/49k are fused together in a single polypeptide as the NuoCD subunit. The NuoCD subunit is the only subunit that does not bear a cofactor in the peripheral arm. While some roles for inhibitor and quinone association have been reported for the NuoD segment, structural and functional roles of the NuoC segment remain mostly elusive. In this work, 14 highly conserved residues of the NuoC segment were mutated and 21 mutants were constructed using the chromosomal gene manipulation technique. From the enzymatic assays and immunochemical and blue-native gel analyses, it was found that residues Glu-138, Glu-140, and Asp-143 that are thought to be in the third α-helix are absolutely required for the energy-transducing NDH-1 activities and the assembly of the whole enzyme. Together with available information for the hydrophobic subunits, we propose that Glu-138, Glu-140, and Asp-143 of the NuoC segment may have a pivotal role in the structural stability of NDH-1.","author":[{"dropping-particle":"","family":"Castro-Guerrero","given":"Norma","non-dropping-particle":"","parse-names":false,"suffix":""},{"dropping-particle":"","family":"Sinha","given":"Prem Kumar","non-dropping-particle":"","parse-names":false,"suffix":""},{"dropping-particle":"","family":"Torres-Bacete","given":"Jesus","non-dropping-particle":"","parse-names":false,"suffix":""},{"dropping-particle":"","family":"Matsuno-Yagi","given":"Akemi","non-dropping-particle":"","parse-names":false,"suffix":""},{"dropping-particle":"","family":"Yagi","given":"Takao","non-dropping-particle":"","parse-names":false,"suffix":""}],"container-title":"Biochemistry","id":"ITEM-1","issue":"47","issued":{"date-parts":[["2010","11"]]},"language":"eng","page":"10072-10080","title":"Pivotal roles of three conserved carboxyl residues of the NuoC (30k) segment in the  structural integrity of proton-translocating NADH-quinone oxidoreductase from Escherichia coli.","type":"article-journal","volume":"49"},"uris":["http://www.mendeley.com/documents/?uuid=979e1016-fd09-4d8e-bacb-e7ea36d240fe"]}],"mendeley":{"formattedCitation":"(Castro-Guerrero &lt;i&gt;et al&lt;/i&gt;, 2010)","plainTextFormattedCitation":"(Castro-Guerrero et al, 2010)","previouslyFormattedCitation":"(Castro-Guerrero &lt;i&gt;et al&lt;/i&gt;, 2010)"},"properties":{"noteIndex":0},"schema":"https://github.com/citation-style-language/schema/raw/master/csl-citation.json"}</w:instrText>
            </w:r>
            <w:r w:rsidRPr="00E97FC1">
              <w:rPr>
                <w:rFonts w:ascii="Helvetica" w:hAnsi="Helvetica" w:cs="Helvetica"/>
                <w:noProof/>
                <w:sz w:val="16"/>
                <w:szCs w:val="20"/>
                <w:lang w:val="en-GB"/>
              </w:rPr>
              <w:fldChar w:fldCharType="separate"/>
            </w:r>
            <w:r w:rsidRPr="00E97FC1">
              <w:rPr>
                <w:rFonts w:ascii="Helvetica" w:hAnsi="Helvetica" w:cs="Helvetica"/>
                <w:noProof/>
                <w:sz w:val="16"/>
                <w:szCs w:val="20"/>
                <w:lang w:val="en-GB"/>
              </w:rPr>
              <w:t xml:space="preserve">(Castro-Guerrero </w:t>
            </w:r>
            <w:r w:rsidRPr="00E97FC1">
              <w:rPr>
                <w:rFonts w:ascii="Helvetica" w:hAnsi="Helvetica" w:cs="Helvetica"/>
                <w:i/>
                <w:noProof/>
                <w:sz w:val="16"/>
                <w:szCs w:val="20"/>
                <w:lang w:val="en-GB"/>
              </w:rPr>
              <w:t>et al</w:t>
            </w:r>
            <w:r w:rsidRPr="00E97FC1">
              <w:rPr>
                <w:rFonts w:ascii="Helvetica" w:hAnsi="Helvetica" w:cs="Helvetica"/>
                <w:noProof/>
                <w:sz w:val="16"/>
                <w:szCs w:val="20"/>
                <w:lang w:val="en-GB"/>
              </w:rPr>
              <w:t>, 2010)</w:t>
            </w:r>
            <w:r w:rsidRPr="00E97FC1">
              <w:rPr>
                <w:rFonts w:ascii="Helvetica" w:hAnsi="Helvetica" w:cs="Helvetica"/>
                <w:noProof/>
                <w:sz w:val="16"/>
                <w:szCs w:val="20"/>
                <w:lang w:val="en-GB"/>
              </w:rPr>
              <w:fldChar w:fldCharType="end"/>
            </w:r>
          </w:p>
        </w:tc>
      </w:tr>
      <w:tr w:rsidR="002471A8" w:rsidRPr="00E97FC1" w14:paraId="7A71A45B" w14:textId="77777777" w:rsidTr="002471A8">
        <w:trPr>
          <w:trHeight w:val="65"/>
        </w:trPr>
        <w:tc>
          <w:tcPr>
            <w:tcW w:w="531" w:type="pct"/>
          </w:tcPr>
          <w:p w14:paraId="4B460B9A"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E138D</w:t>
            </w:r>
          </w:p>
        </w:tc>
        <w:tc>
          <w:tcPr>
            <w:tcW w:w="1314" w:type="pct"/>
            <w:vMerge/>
          </w:tcPr>
          <w:p w14:paraId="5938025D" w14:textId="77777777" w:rsidR="002471A8" w:rsidRPr="00E97FC1" w:rsidRDefault="002471A8" w:rsidP="002471A8">
            <w:pPr>
              <w:rPr>
                <w:rFonts w:ascii="Helvetica" w:hAnsi="Helvetica" w:cs="Helvetica"/>
                <w:bCs/>
                <w:sz w:val="20"/>
                <w:szCs w:val="20"/>
                <w:lang w:val="en-GB"/>
              </w:rPr>
            </w:pPr>
          </w:p>
        </w:tc>
        <w:tc>
          <w:tcPr>
            <w:tcW w:w="721" w:type="pct"/>
          </w:tcPr>
          <w:p w14:paraId="54BF877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reduced</w:t>
            </w:r>
          </w:p>
        </w:tc>
        <w:tc>
          <w:tcPr>
            <w:tcW w:w="586" w:type="pct"/>
          </w:tcPr>
          <w:p w14:paraId="52BBFC3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51%</w:t>
            </w:r>
          </w:p>
        </w:tc>
        <w:tc>
          <w:tcPr>
            <w:tcW w:w="631" w:type="pct"/>
          </w:tcPr>
          <w:p w14:paraId="10C71DE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4-6%</w:t>
            </w:r>
          </w:p>
        </w:tc>
        <w:tc>
          <w:tcPr>
            <w:tcW w:w="587" w:type="pct"/>
          </w:tcPr>
          <w:p w14:paraId="41D3C811"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w:t>
            </w:r>
          </w:p>
        </w:tc>
        <w:tc>
          <w:tcPr>
            <w:tcW w:w="630" w:type="pct"/>
          </w:tcPr>
          <w:p w14:paraId="74AF0C24" w14:textId="42FEE4D2" w:rsidR="002471A8" w:rsidRPr="00E97FC1" w:rsidRDefault="002471A8" w:rsidP="002471A8">
            <w:pPr>
              <w:rPr>
                <w:rFonts w:ascii="Helvetica" w:hAnsi="Helvetica" w:cs="Helvetica"/>
                <w:noProof/>
                <w:sz w:val="16"/>
                <w:szCs w:val="20"/>
                <w:lang w:val="en-GB"/>
              </w:rPr>
            </w:pPr>
            <w:r w:rsidRPr="00E97FC1">
              <w:rPr>
                <w:rFonts w:ascii="Helvetica" w:hAnsi="Helvetica" w:cs="Helvetica"/>
                <w:noProof/>
                <w:sz w:val="16"/>
                <w:szCs w:val="20"/>
                <w:lang w:val="en-GB"/>
              </w:rPr>
              <w:fldChar w:fldCharType="begin" w:fldLock="1"/>
            </w:r>
            <w:r w:rsidR="00DC25DF" w:rsidRPr="00E97FC1">
              <w:rPr>
                <w:rFonts w:ascii="Helvetica" w:hAnsi="Helvetica" w:cs="Helvetica"/>
                <w:noProof/>
                <w:sz w:val="16"/>
                <w:szCs w:val="20"/>
                <w:lang w:val="en-GB"/>
              </w:rPr>
              <w:instrText>ADDIN CSL_CITATION {"citationItems":[{"id":"ITEM-1","itemData":{"DOI":"10.1021/bi100885v","ISSN":"1520-4995 (Electronic)","PMID":"20979355","abstract":"The prokaryotic proton-translocating NADH-quinone oxidoreductase (NDH-1) is an  L-shaped membrane-bound enzyme that contains 14 subunits (NuoA-NuoN or Nqo1-Nqo14). All subunits have their counterparts in the eukaryotic enzyme (complex I). NDH-1 consists of two domains: the peripheral arm (NuoB, -C, -D, -E, -F, -G, and -I) and the membrane arm (NuoA, -H, -J, -K, -L, -M, and -N). In Escherichia coli NDH-1, the hydrophilic subunits NuoC/Nqo5/30k and NuoD/Nqo4/49k are fused together in a single polypeptide as the NuoCD subunit. The NuoCD subunit is the only subunit that does not bear a cofactor in the peripheral arm. While some roles for inhibitor and quinone association have been reported for the NuoD segment, structural and functional roles of the NuoC segment remain mostly elusive. In this work, 14 highly conserved residues of the NuoC segment were mutated and 21 mutants were constructed using the chromosomal gene manipulation technique. From the enzymatic assays and immunochemical and blue-native gel analyses, it was found that residues Glu-138, Glu-140, and Asp-143 that are thought to be in the third α-helix are absolutely required for the energy-transducing NDH-1 activities and the assembly of the whole enzyme. Together with available information for the hydrophobic subunits, we propose that Glu-138, Glu-140, and Asp-143 of the NuoC segment may have a pivotal role in the structural stability of NDH-1.","author":[{"dropping-particle":"","family":"Castro-Guerrero","given":"Norma","non-dropping-particle":"","parse-names":false,"suffix":""},{"dropping-particle":"","family":"Sinha","given":"Prem Kumar","non-dropping-particle":"","parse-names":false,"suffix":""},{"dropping-particle":"","family":"Torres-Bacete","given":"Jesus","non-dropping-particle":"","parse-names":false,"suffix":""},{"dropping-particle":"","family":"Matsuno-Yagi","given":"Akemi","non-dropping-particle":"","parse-names":false,"suffix":""},{"dropping-particle":"","family":"Yagi","given":"Takao","non-dropping-particle":"","parse-names":false,"suffix":""}],"container-title":"Biochemistry","id":"ITEM-1","issue":"47","issued":{"date-parts":[["2010","11"]]},"language":"eng","page":"10072-10080","title":"Pivotal roles of three conserved carboxyl residues of the NuoC (30k) segment in the  structural integrity of proton-translocating NADH-quinone oxidoreductase from Escherichia coli.","type":"article-journal","volume":"49"},"uris":["http://www.mendeley.com/documents/?uuid=979e1016-fd09-4d8e-bacb-e7ea36d240fe"]}],"mendeley":{"formattedCitation":"(Castro-Guerrero &lt;i&gt;et al&lt;/i&gt;, 2010)","plainTextFormattedCitation":"(Castro-Guerrero et al, 2010)","previouslyFormattedCitation":"(Castro-Guerrero &lt;i&gt;et al&lt;/i&gt;, 2010)"},"properties":{"noteIndex":0},"schema":"https://github.com/citation-style-language/schema/raw/master/csl-citation.json"}</w:instrText>
            </w:r>
            <w:r w:rsidRPr="00E97FC1">
              <w:rPr>
                <w:rFonts w:ascii="Helvetica" w:hAnsi="Helvetica" w:cs="Helvetica"/>
                <w:noProof/>
                <w:sz w:val="16"/>
                <w:szCs w:val="20"/>
                <w:lang w:val="en-GB"/>
              </w:rPr>
              <w:fldChar w:fldCharType="separate"/>
            </w:r>
            <w:r w:rsidRPr="00E97FC1">
              <w:rPr>
                <w:rFonts w:ascii="Helvetica" w:hAnsi="Helvetica" w:cs="Helvetica"/>
                <w:noProof/>
                <w:sz w:val="16"/>
                <w:szCs w:val="20"/>
                <w:lang w:val="en-GB"/>
              </w:rPr>
              <w:t xml:space="preserve">(Castro-Guerrero </w:t>
            </w:r>
            <w:r w:rsidRPr="00E97FC1">
              <w:rPr>
                <w:rFonts w:ascii="Helvetica" w:hAnsi="Helvetica" w:cs="Helvetica"/>
                <w:i/>
                <w:noProof/>
                <w:sz w:val="16"/>
                <w:szCs w:val="20"/>
                <w:lang w:val="en-GB"/>
              </w:rPr>
              <w:t>et al</w:t>
            </w:r>
            <w:r w:rsidRPr="00E97FC1">
              <w:rPr>
                <w:rFonts w:ascii="Helvetica" w:hAnsi="Helvetica" w:cs="Helvetica"/>
                <w:noProof/>
                <w:sz w:val="16"/>
                <w:szCs w:val="20"/>
                <w:lang w:val="en-GB"/>
              </w:rPr>
              <w:t>, 2010)</w:t>
            </w:r>
            <w:r w:rsidRPr="00E97FC1">
              <w:rPr>
                <w:rFonts w:ascii="Helvetica" w:hAnsi="Helvetica" w:cs="Helvetica"/>
                <w:noProof/>
                <w:sz w:val="16"/>
                <w:szCs w:val="20"/>
                <w:lang w:val="en-GB"/>
              </w:rPr>
              <w:fldChar w:fldCharType="end"/>
            </w:r>
          </w:p>
        </w:tc>
      </w:tr>
      <w:tr w:rsidR="002471A8" w:rsidRPr="00E97FC1" w14:paraId="272A44BB" w14:textId="77777777" w:rsidTr="002471A8">
        <w:trPr>
          <w:trHeight w:val="65"/>
        </w:trPr>
        <w:tc>
          <w:tcPr>
            <w:tcW w:w="531" w:type="pct"/>
          </w:tcPr>
          <w:p w14:paraId="74BB2AD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R139A</w:t>
            </w:r>
          </w:p>
        </w:tc>
        <w:tc>
          <w:tcPr>
            <w:tcW w:w="1314" w:type="pct"/>
            <w:vMerge/>
          </w:tcPr>
          <w:p w14:paraId="4B66AC8E" w14:textId="77777777" w:rsidR="002471A8" w:rsidRPr="00E97FC1" w:rsidRDefault="002471A8" w:rsidP="002471A8">
            <w:pPr>
              <w:rPr>
                <w:rFonts w:ascii="Helvetica" w:hAnsi="Helvetica" w:cs="Helvetica"/>
                <w:bCs/>
                <w:sz w:val="20"/>
                <w:szCs w:val="20"/>
                <w:lang w:val="en-GB"/>
              </w:rPr>
            </w:pPr>
          </w:p>
        </w:tc>
        <w:tc>
          <w:tcPr>
            <w:tcW w:w="721" w:type="pct"/>
          </w:tcPr>
          <w:p w14:paraId="3CF69D9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586" w:type="pct"/>
          </w:tcPr>
          <w:p w14:paraId="5C07F00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87%</w:t>
            </w:r>
          </w:p>
        </w:tc>
        <w:tc>
          <w:tcPr>
            <w:tcW w:w="631" w:type="pct"/>
          </w:tcPr>
          <w:p w14:paraId="378F743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102-118%</w:t>
            </w:r>
          </w:p>
        </w:tc>
        <w:tc>
          <w:tcPr>
            <w:tcW w:w="587" w:type="pct"/>
          </w:tcPr>
          <w:p w14:paraId="156B172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630" w:type="pct"/>
          </w:tcPr>
          <w:p w14:paraId="48635E6D" w14:textId="4118C45F" w:rsidR="002471A8" w:rsidRPr="00E97FC1" w:rsidRDefault="002471A8" w:rsidP="002471A8">
            <w:pPr>
              <w:rPr>
                <w:rFonts w:ascii="Helvetica" w:hAnsi="Helvetica" w:cs="Helvetica"/>
                <w:noProof/>
                <w:sz w:val="16"/>
                <w:szCs w:val="20"/>
                <w:lang w:val="en-GB"/>
              </w:rPr>
            </w:pPr>
            <w:r w:rsidRPr="00E97FC1">
              <w:rPr>
                <w:rFonts w:ascii="Helvetica" w:hAnsi="Helvetica" w:cs="Helvetica"/>
                <w:noProof/>
                <w:sz w:val="16"/>
                <w:szCs w:val="20"/>
                <w:lang w:val="en-GB"/>
              </w:rPr>
              <w:fldChar w:fldCharType="begin" w:fldLock="1"/>
            </w:r>
            <w:r w:rsidR="00DC25DF" w:rsidRPr="00E97FC1">
              <w:rPr>
                <w:rFonts w:ascii="Helvetica" w:hAnsi="Helvetica" w:cs="Helvetica"/>
                <w:noProof/>
                <w:sz w:val="16"/>
                <w:szCs w:val="20"/>
                <w:lang w:val="en-GB"/>
              </w:rPr>
              <w:instrText>ADDIN CSL_CITATION {"citationItems":[{"id":"ITEM-1","itemData":{"DOI":"10.1021/bi100885v","ISSN":"1520-4995 (Electronic)","PMID":"20979355","abstract":"The prokaryotic proton-translocating NADH-quinone oxidoreductase (NDH-1) is an  L-shaped membrane-bound enzyme that contains 14 subunits (NuoA-NuoN or Nqo1-Nqo14). All subunits have their counterparts in the eukaryotic enzyme (complex I). NDH-1 consists of two domains: the peripheral arm (NuoB, -C, -D, -E, -F, -G, and -I) and the membrane arm (NuoA, -H, -J, -K, -L, -M, and -N). In Escherichia coli NDH-1, the hydrophilic subunits NuoC/Nqo5/30k and NuoD/Nqo4/49k are fused together in a single polypeptide as the NuoCD subunit. The NuoCD subunit is the only subunit that does not bear a cofactor in the peripheral arm. While some roles for inhibitor and quinone association have been reported for the NuoD segment, structural and functional roles of the NuoC segment remain mostly elusive. In this work, 14 highly conserved residues of the NuoC segment were mutated and 21 mutants were constructed using the chromosomal gene manipulation technique. From the enzymatic assays and immunochemical and blue-native gel analyses, it was found that residues Glu-138, Glu-140, and Asp-143 that are thought to be in the third α-helix are absolutely required for the energy-transducing NDH-1 activities and the assembly of the whole enzyme. Together with available information for the hydrophobic subunits, we propose that Glu-138, Glu-140, and Asp-143 of the NuoC segment may have a pivotal role in the structural stability of NDH-1.","author":[{"dropping-particle":"","family":"Castro-Guerrero","given":"Norma","non-dropping-particle":"","parse-names":false,"suffix":""},{"dropping-particle":"","family":"Sinha","given":"Prem Kumar","non-dropping-particle":"","parse-names":false,"suffix":""},{"dropping-particle":"","family":"Torres-Bacete","given":"Jesus","non-dropping-particle":"","parse-names":false,"suffix":""},{"dropping-particle":"","family":"Matsuno-Yagi","given":"Akemi","non-dropping-particle":"","parse-names":false,"suffix":""},{"dropping-particle":"","family":"Yagi","given":"Takao","non-dropping-particle":"","parse-names":false,"suffix":""}],"container-title":"Biochemistry","id":"ITEM-1","issue":"47","issued":{"date-parts":[["2010","11"]]},"language":"eng","page":"10072-10080","title":"Pivotal roles of three conserved carboxyl residues of the NuoC (30k) segment in the  structural integrity of proton-translocating NADH-quinone oxidoreductase from Escherichia coli.","type":"article-journal","volume":"49"},"uris":["http://www.mendeley.com/documents/?uuid=979e1016-fd09-4d8e-bacb-e7ea36d240fe"]}],"mendeley":{"formattedCitation":"(Castro-Guerrero &lt;i&gt;et al&lt;/i&gt;, 2010)","plainTextFormattedCitation":"(Castro-Guerrero et al, 2010)","previouslyFormattedCitation":"(Castro-Guerrero &lt;i&gt;et al&lt;/i&gt;, 2010)"},"properties":{"noteIndex":0},"schema":"https://github.com/citation-style-language/schema/raw/master/csl-citation.json"}</w:instrText>
            </w:r>
            <w:r w:rsidRPr="00E97FC1">
              <w:rPr>
                <w:rFonts w:ascii="Helvetica" w:hAnsi="Helvetica" w:cs="Helvetica"/>
                <w:noProof/>
                <w:sz w:val="16"/>
                <w:szCs w:val="20"/>
                <w:lang w:val="en-GB"/>
              </w:rPr>
              <w:fldChar w:fldCharType="separate"/>
            </w:r>
            <w:r w:rsidRPr="00E97FC1">
              <w:rPr>
                <w:rFonts w:ascii="Helvetica" w:hAnsi="Helvetica" w:cs="Helvetica"/>
                <w:noProof/>
                <w:sz w:val="16"/>
                <w:szCs w:val="20"/>
                <w:lang w:val="en-GB"/>
              </w:rPr>
              <w:t xml:space="preserve">(Castro-Guerrero </w:t>
            </w:r>
            <w:r w:rsidRPr="00E97FC1">
              <w:rPr>
                <w:rFonts w:ascii="Helvetica" w:hAnsi="Helvetica" w:cs="Helvetica"/>
                <w:i/>
                <w:noProof/>
                <w:sz w:val="16"/>
                <w:szCs w:val="20"/>
                <w:lang w:val="en-GB"/>
              </w:rPr>
              <w:t>et al</w:t>
            </w:r>
            <w:r w:rsidRPr="00E97FC1">
              <w:rPr>
                <w:rFonts w:ascii="Helvetica" w:hAnsi="Helvetica" w:cs="Helvetica"/>
                <w:noProof/>
                <w:sz w:val="16"/>
                <w:szCs w:val="20"/>
                <w:lang w:val="en-GB"/>
              </w:rPr>
              <w:t>, 2010)</w:t>
            </w:r>
            <w:r w:rsidRPr="00E97FC1">
              <w:rPr>
                <w:rFonts w:ascii="Helvetica" w:hAnsi="Helvetica" w:cs="Helvetica"/>
                <w:noProof/>
                <w:sz w:val="16"/>
                <w:szCs w:val="20"/>
                <w:lang w:val="en-GB"/>
              </w:rPr>
              <w:fldChar w:fldCharType="end"/>
            </w:r>
          </w:p>
        </w:tc>
      </w:tr>
      <w:tr w:rsidR="002471A8" w:rsidRPr="00E97FC1" w14:paraId="52C4D2F2" w14:textId="77777777" w:rsidTr="002471A8">
        <w:trPr>
          <w:trHeight w:val="65"/>
        </w:trPr>
        <w:tc>
          <w:tcPr>
            <w:tcW w:w="531" w:type="pct"/>
          </w:tcPr>
          <w:p w14:paraId="1B9B783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E140A</w:t>
            </w:r>
          </w:p>
        </w:tc>
        <w:tc>
          <w:tcPr>
            <w:tcW w:w="1314" w:type="pct"/>
            <w:vMerge/>
          </w:tcPr>
          <w:p w14:paraId="365F1432" w14:textId="77777777" w:rsidR="002471A8" w:rsidRPr="00E97FC1" w:rsidRDefault="002471A8" w:rsidP="002471A8">
            <w:pPr>
              <w:rPr>
                <w:rFonts w:ascii="Helvetica" w:hAnsi="Helvetica" w:cs="Helvetica"/>
                <w:bCs/>
                <w:sz w:val="20"/>
                <w:szCs w:val="20"/>
                <w:lang w:val="en-GB"/>
              </w:rPr>
            </w:pPr>
          </w:p>
        </w:tc>
        <w:tc>
          <w:tcPr>
            <w:tcW w:w="721" w:type="pct"/>
          </w:tcPr>
          <w:p w14:paraId="78968991"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reduced</w:t>
            </w:r>
          </w:p>
        </w:tc>
        <w:tc>
          <w:tcPr>
            <w:tcW w:w="586" w:type="pct"/>
          </w:tcPr>
          <w:p w14:paraId="422883D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42%</w:t>
            </w:r>
          </w:p>
        </w:tc>
        <w:tc>
          <w:tcPr>
            <w:tcW w:w="631" w:type="pct"/>
          </w:tcPr>
          <w:p w14:paraId="2757058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5-7%</w:t>
            </w:r>
          </w:p>
        </w:tc>
        <w:tc>
          <w:tcPr>
            <w:tcW w:w="587" w:type="pct"/>
          </w:tcPr>
          <w:p w14:paraId="507CFDB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0%</w:t>
            </w:r>
          </w:p>
        </w:tc>
        <w:tc>
          <w:tcPr>
            <w:tcW w:w="630" w:type="pct"/>
          </w:tcPr>
          <w:p w14:paraId="661F1DBD" w14:textId="71B64118" w:rsidR="002471A8" w:rsidRPr="00E97FC1" w:rsidRDefault="002471A8" w:rsidP="002471A8">
            <w:pPr>
              <w:rPr>
                <w:rFonts w:ascii="Helvetica" w:hAnsi="Helvetica" w:cs="Helvetica"/>
                <w:noProof/>
                <w:sz w:val="16"/>
                <w:szCs w:val="20"/>
                <w:lang w:val="en-GB"/>
              </w:rPr>
            </w:pPr>
            <w:r w:rsidRPr="00E97FC1">
              <w:rPr>
                <w:rFonts w:ascii="Helvetica" w:hAnsi="Helvetica" w:cs="Helvetica"/>
                <w:noProof/>
                <w:sz w:val="16"/>
                <w:szCs w:val="20"/>
                <w:lang w:val="en-GB"/>
              </w:rPr>
              <w:fldChar w:fldCharType="begin" w:fldLock="1"/>
            </w:r>
            <w:r w:rsidR="00DC25DF" w:rsidRPr="00E97FC1">
              <w:rPr>
                <w:rFonts w:ascii="Helvetica" w:hAnsi="Helvetica" w:cs="Helvetica"/>
                <w:noProof/>
                <w:sz w:val="16"/>
                <w:szCs w:val="20"/>
                <w:lang w:val="en-GB"/>
              </w:rPr>
              <w:instrText>ADDIN CSL_CITATION {"citationItems":[{"id":"ITEM-1","itemData":{"DOI":"10.1021/bi100885v","ISSN":"1520-4995 (Electronic)","PMID":"20979355","abstract":"The prokaryotic proton-translocating NADH-quinone oxidoreductase (NDH-1) is an  L-shaped membrane-bound enzyme that contains 14 subunits (NuoA-NuoN or Nqo1-Nqo14). All subunits have their counterparts in the eukaryotic enzyme (complex I). NDH-1 consists of two domains: the peripheral arm (NuoB, -C, -D, -E, -F, -G, and -I) and the membrane arm (NuoA, -H, -J, -K, -L, -M, and -N). In Escherichia coli NDH-1, the hydrophilic subunits NuoC/Nqo5/30k and NuoD/Nqo4/49k are fused together in a single polypeptide as the NuoCD subunit. The NuoCD subunit is the only subunit that does not bear a cofactor in the peripheral arm. While some roles for inhibitor and quinone association have been reported for the NuoD segment, structural and functional roles of the NuoC segment remain mostly elusive. In this work, 14 highly conserved residues of the NuoC segment were mutated and 21 mutants were constructed using the chromosomal gene manipulation technique. From the enzymatic assays and immunochemical and blue-native gel analyses, it was found that residues Glu-138, Glu-140, and Asp-143 that are thought to be in the third α-helix are absolutely required for the energy-transducing NDH-1 activities and the assembly of the whole enzyme. Together with available information for the hydrophobic subunits, we propose that Glu-138, Glu-140, and Asp-143 of the NuoC segment may have a pivotal role in the structural stability of NDH-1.","author":[{"dropping-particle":"","family":"Castro-Guerrero","given":"Norma","non-dropping-particle":"","parse-names":false,"suffix":""},{"dropping-particle":"","family":"Sinha","given":"Prem Kumar","non-dropping-particle":"","parse-names":false,"suffix":""},{"dropping-particle":"","family":"Torres-Bacete","given":"Jesus","non-dropping-particle":"","parse-names":false,"suffix":""},{"dropping-particle":"","family":"Matsuno-Yagi","given":"Akemi","non-dropping-particle":"","parse-names":false,"suffix":""},{"dropping-particle":"","family":"Yagi","given":"Takao","non-dropping-particle":"","parse-names":false,"suffix":""}],"container-title":"Biochemistry","id":"ITEM-1","issue":"47","issued":{"date-parts":[["2010","11"]]},"language":"eng","page":"10072-10080","title":"Pivotal roles of three conserved carboxyl residues of the NuoC (30k) segment in the  structural integrity of proton-translocating NADH-quinone oxidoreductase from Escherichia coli.","type":"article-journal","volume":"49"},"uris":["http://www.mendeley.com/documents/?uuid=979e1016-fd09-4d8e-bacb-e7ea36d240fe"]}],"mendeley":{"formattedCitation":"(Castro-Guerrero &lt;i&gt;et al&lt;/i&gt;, 2010)","plainTextFormattedCitation":"(Castro-Guerrero et al, 2010)","previouslyFormattedCitation":"(Castro-Guerrero &lt;i&gt;et al&lt;/i&gt;, 2010)"},"properties":{"noteIndex":0},"schema":"https://github.com/citation-style-language/schema/raw/master/csl-citation.json"}</w:instrText>
            </w:r>
            <w:r w:rsidRPr="00E97FC1">
              <w:rPr>
                <w:rFonts w:ascii="Helvetica" w:hAnsi="Helvetica" w:cs="Helvetica"/>
                <w:noProof/>
                <w:sz w:val="16"/>
                <w:szCs w:val="20"/>
                <w:lang w:val="en-GB"/>
              </w:rPr>
              <w:fldChar w:fldCharType="separate"/>
            </w:r>
            <w:r w:rsidRPr="00E97FC1">
              <w:rPr>
                <w:rFonts w:ascii="Helvetica" w:hAnsi="Helvetica" w:cs="Helvetica"/>
                <w:noProof/>
                <w:sz w:val="16"/>
                <w:szCs w:val="20"/>
                <w:lang w:val="en-GB"/>
              </w:rPr>
              <w:t xml:space="preserve">(Castro-Guerrero </w:t>
            </w:r>
            <w:r w:rsidRPr="00E97FC1">
              <w:rPr>
                <w:rFonts w:ascii="Helvetica" w:hAnsi="Helvetica" w:cs="Helvetica"/>
                <w:i/>
                <w:noProof/>
                <w:sz w:val="16"/>
                <w:szCs w:val="20"/>
                <w:lang w:val="en-GB"/>
              </w:rPr>
              <w:t>et al</w:t>
            </w:r>
            <w:r w:rsidRPr="00E97FC1">
              <w:rPr>
                <w:rFonts w:ascii="Helvetica" w:hAnsi="Helvetica" w:cs="Helvetica"/>
                <w:noProof/>
                <w:sz w:val="16"/>
                <w:szCs w:val="20"/>
                <w:lang w:val="en-GB"/>
              </w:rPr>
              <w:t>, 2010)</w:t>
            </w:r>
            <w:r w:rsidRPr="00E97FC1">
              <w:rPr>
                <w:rFonts w:ascii="Helvetica" w:hAnsi="Helvetica" w:cs="Helvetica"/>
                <w:noProof/>
                <w:sz w:val="16"/>
                <w:szCs w:val="20"/>
                <w:lang w:val="en-GB"/>
              </w:rPr>
              <w:fldChar w:fldCharType="end"/>
            </w:r>
          </w:p>
        </w:tc>
      </w:tr>
      <w:tr w:rsidR="002471A8" w:rsidRPr="00E97FC1" w14:paraId="634AFA3B" w14:textId="77777777" w:rsidTr="002471A8">
        <w:trPr>
          <w:trHeight w:val="65"/>
        </w:trPr>
        <w:tc>
          <w:tcPr>
            <w:tcW w:w="531" w:type="pct"/>
          </w:tcPr>
          <w:p w14:paraId="63DD6E5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E140Q</w:t>
            </w:r>
          </w:p>
        </w:tc>
        <w:tc>
          <w:tcPr>
            <w:tcW w:w="1314" w:type="pct"/>
            <w:vMerge/>
          </w:tcPr>
          <w:p w14:paraId="40DF1D68" w14:textId="77777777" w:rsidR="002471A8" w:rsidRPr="00E97FC1" w:rsidRDefault="002471A8" w:rsidP="002471A8">
            <w:pPr>
              <w:rPr>
                <w:rFonts w:ascii="Helvetica" w:hAnsi="Helvetica" w:cs="Helvetica"/>
                <w:bCs/>
                <w:sz w:val="20"/>
                <w:szCs w:val="20"/>
                <w:lang w:val="en-GB"/>
              </w:rPr>
            </w:pPr>
          </w:p>
        </w:tc>
        <w:tc>
          <w:tcPr>
            <w:tcW w:w="721" w:type="pct"/>
          </w:tcPr>
          <w:p w14:paraId="4A77E6C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reduced</w:t>
            </w:r>
          </w:p>
        </w:tc>
        <w:tc>
          <w:tcPr>
            <w:tcW w:w="586" w:type="pct"/>
          </w:tcPr>
          <w:p w14:paraId="74DD9C3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33%</w:t>
            </w:r>
          </w:p>
        </w:tc>
        <w:tc>
          <w:tcPr>
            <w:tcW w:w="631" w:type="pct"/>
          </w:tcPr>
          <w:p w14:paraId="74BEB2B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7-11%</w:t>
            </w:r>
          </w:p>
        </w:tc>
        <w:tc>
          <w:tcPr>
            <w:tcW w:w="587" w:type="pct"/>
          </w:tcPr>
          <w:p w14:paraId="52DBBE8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0%</w:t>
            </w:r>
          </w:p>
        </w:tc>
        <w:tc>
          <w:tcPr>
            <w:tcW w:w="630" w:type="pct"/>
          </w:tcPr>
          <w:p w14:paraId="5328E7A1" w14:textId="28E83F92" w:rsidR="002471A8" w:rsidRPr="00E97FC1" w:rsidRDefault="002471A8" w:rsidP="002471A8">
            <w:pPr>
              <w:rPr>
                <w:rFonts w:ascii="Helvetica" w:hAnsi="Helvetica" w:cs="Helvetica"/>
                <w:noProof/>
                <w:sz w:val="16"/>
                <w:szCs w:val="20"/>
                <w:lang w:val="en-GB"/>
              </w:rPr>
            </w:pPr>
            <w:r w:rsidRPr="00E97FC1">
              <w:rPr>
                <w:rFonts w:ascii="Helvetica" w:hAnsi="Helvetica" w:cs="Helvetica"/>
                <w:noProof/>
                <w:sz w:val="16"/>
                <w:szCs w:val="20"/>
                <w:lang w:val="en-GB"/>
              </w:rPr>
              <w:fldChar w:fldCharType="begin" w:fldLock="1"/>
            </w:r>
            <w:r w:rsidR="00DC25DF" w:rsidRPr="00E97FC1">
              <w:rPr>
                <w:rFonts w:ascii="Helvetica" w:hAnsi="Helvetica" w:cs="Helvetica"/>
                <w:noProof/>
                <w:sz w:val="16"/>
                <w:szCs w:val="20"/>
                <w:lang w:val="en-GB"/>
              </w:rPr>
              <w:instrText>ADDIN CSL_CITATION {"citationItems":[{"id":"ITEM-1","itemData":{"DOI":"10.1021/bi100885v","ISSN":"1520-4995 (Electronic)","PMID":"20979355","abstract":"The prokaryotic proton-translocating NADH-quinone oxidoreductase (NDH-1) is an  L-shaped membrane-bound enzyme that contains 14 subunits (NuoA-NuoN or Nqo1-Nqo14). All subunits have their counterparts in the eukaryotic enzyme (complex I). NDH-1 consists of two domains: the peripheral arm (NuoB, -C, -D, -E, -F, -G, and -I) and the membrane arm (NuoA, -H, -J, -K, -L, -M, and -N). In Escherichia coli NDH-1, the hydrophilic subunits NuoC/Nqo5/30k and NuoD/Nqo4/49k are fused together in a single polypeptide as the NuoCD subunit. The NuoCD subunit is the only subunit that does not bear a cofactor in the peripheral arm. While some roles for inhibitor and quinone association have been reported for the NuoD segment, structural and functional roles of the NuoC segment remain mostly elusive. In this work, 14 highly conserved residues of the NuoC segment were mutated and 21 mutants were constructed using the chromosomal gene manipulation technique. From the enzymatic assays and immunochemical and blue-native gel analyses, it was found that residues Glu-138, Glu-140, and Asp-143 that are thought to be in the third α-helix are absolutely required for the energy-transducing NDH-1 activities and the assembly of the whole enzyme. Together with available information for the hydrophobic subunits, we propose that Glu-138, Glu-140, and Asp-143 of the NuoC segment may have a pivotal role in the structural stability of NDH-1.","author":[{"dropping-particle":"","family":"Castro-Guerrero","given":"Norma","non-dropping-particle":"","parse-names":false,"suffix":""},{"dropping-particle":"","family":"Sinha","given":"Prem Kumar","non-dropping-particle":"","parse-names":false,"suffix":""},{"dropping-particle":"","family":"Torres-Bacete","given":"Jesus","non-dropping-particle":"","parse-names":false,"suffix":""},{"dropping-particle":"","family":"Matsuno-Yagi","given":"Akemi","non-dropping-particle":"","parse-names":false,"suffix":""},{"dropping-particle":"","family":"Yagi","given":"Takao","non-dropping-particle":"","parse-names":false,"suffix":""}],"container-title":"Biochemistry","id":"ITEM-1","issue":"47","issued":{"date-parts":[["2010","11"]]},"language":"eng","page":"10072-10080","title":"Pivotal roles of three conserved carboxyl residues of the NuoC (30k) segment in the  structural integrity of proton-translocating NADH-quinone oxidoreductase from Escherichia coli.","type":"article-journal","volume":"49"},"uris":["http://www.mendeley.com/documents/?uuid=979e1016-fd09-4d8e-bacb-e7ea36d240fe"]}],"mendeley":{"formattedCitation":"(Castro-Guerrero &lt;i&gt;et al&lt;/i&gt;, 2010)","plainTextFormattedCitation":"(Castro-Guerrero et al, 2010)","previouslyFormattedCitation":"(Castro-Guerrero &lt;i&gt;et al&lt;/i&gt;, 2010)"},"properties":{"noteIndex":0},"schema":"https://github.com/citation-style-language/schema/raw/master/csl-citation.json"}</w:instrText>
            </w:r>
            <w:r w:rsidRPr="00E97FC1">
              <w:rPr>
                <w:rFonts w:ascii="Helvetica" w:hAnsi="Helvetica" w:cs="Helvetica"/>
                <w:noProof/>
                <w:sz w:val="16"/>
                <w:szCs w:val="20"/>
                <w:lang w:val="en-GB"/>
              </w:rPr>
              <w:fldChar w:fldCharType="separate"/>
            </w:r>
            <w:r w:rsidRPr="00E97FC1">
              <w:rPr>
                <w:rFonts w:ascii="Helvetica" w:hAnsi="Helvetica" w:cs="Helvetica"/>
                <w:noProof/>
                <w:sz w:val="16"/>
                <w:szCs w:val="20"/>
                <w:lang w:val="en-GB"/>
              </w:rPr>
              <w:t xml:space="preserve">(Castro-Guerrero </w:t>
            </w:r>
            <w:r w:rsidRPr="00E97FC1">
              <w:rPr>
                <w:rFonts w:ascii="Helvetica" w:hAnsi="Helvetica" w:cs="Helvetica"/>
                <w:i/>
                <w:noProof/>
                <w:sz w:val="16"/>
                <w:szCs w:val="20"/>
                <w:lang w:val="en-GB"/>
              </w:rPr>
              <w:t>et al</w:t>
            </w:r>
            <w:r w:rsidRPr="00E97FC1">
              <w:rPr>
                <w:rFonts w:ascii="Helvetica" w:hAnsi="Helvetica" w:cs="Helvetica"/>
                <w:noProof/>
                <w:sz w:val="16"/>
                <w:szCs w:val="20"/>
                <w:lang w:val="en-GB"/>
              </w:rPr>
              <w:t>, 2010)</w:t>
            </w:r>
            <w:r w:rsidRPr="00E97FC1">
              <w:rPr>
                <w:rFonts w:ascii="Helvetica" w:hAnsi="Helvetica" w:cs="Helvetica"/>
                <w:noProof/>
                <w:sz w:val="16"/>
                <w:szCs w:val="20"/>
                <w:lang w:val="en-GB"/>
              </w:rPr>
              <w:fldChar w:fldCharType="end"/>
            </w:r>
          </w:p>
        </w:tc>
      </w:tr>
      <w:tr w:rsidR="002471A8" w:rsidRPr="00E97FC1" w14:paraId="05164FED" w14:textId="77777777" w:rsidTr="002471A8">
        <w:trPr>
          <w:trHeight w:val="65"/>
        </w:trPr>
        <w:tc>
          <w:tcPr>
            <w:tcW w:w="531" w:type="pct"/>
          </w:tcPr>
          <w:p w14:paraId="4E6E951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lastRenderedPageBreak/>
              <w:t>E140D</w:t>
            </w:r>
          </w:p>
        </w:tc>
        <w:tc>
          <w:tcPr>
            <w:tcW w:w="1314" w:type="pct"/>
            <w:vMerge/>
          </w:tcPr>
          <w:p w14:paraId="035B0753" w14:textId="77777777" w:rsidR="002471A8" w:rsidRPr="00E97FC1" w:rsidRDefault="002471A8" w:rsidP="002471A8">
            <w:pPr>
              <w:rPr>
                <w:rFonts w:ascii="Helvetica" w:hAnsi="Helvetica" w:cs="Helvetica"/>
                <w:bCs/>
                <w:sz w:val="20"/>
                <w:szCs w:val="20"/>
                <w:lang w:val="en-GB"/>
              </w:rPr>
            </w:pPr>
          </w:p>
        </w:tc>
        <w:tc>
          <w:tcPr>
            <w:tcW w:w="721" w:type="pct"/>
          </w:tcPr>
          <w:p w14:paraId="5634BED0"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586" w:type="pct"/>
          </w:tcPr>
          <w:p w14:paraId="40890C3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94%</w:t>
            </w:r>
          </w:p>
        </w:tc>
        <w:tc>
          <w:tcPr>
            <w:tcW w:w="631" w:type="pct"/>
          </w:tcPr>
          <w:p w14:paraId="64A6DEAA"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85-104%</w:t>
            </w:r>
          </w:p>
        </w:tc>
        <w:tc>
          <w:tcPr>
            <w:tcW w:w="587" w:type="pct"/>
          </w:tcPr>
          <w:p w14:paraId="70B9188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100%</w:t>
            </w:r>
          </w:p>
        </w:tc>
        <w:tc>
          <w:tcPr>
            <w:tcW w:w="630" w:type="pct"/>
          </w:tcPr>
          <w:p w14:paraId="07EF5ED9" w14:textId="0407CA70" w:rsidR="002471A8" w:rsidRPr="00E97FC1" w:rsidRDefault="002471A8" w:rsidP="002471A8">
            <w:pPr>
              <w:rPr>
                <w:rFonts w:ascii="Helvetica" w:hAnsi="Helvetica" w:cs="Helvetica"/>
                <w:noProof/>
                <w:sz w:val="16"/>
                <w:szCs w:val="20"/>
                <w:lang w:val="en-GB"/>
              </w:rPr>
            </w:pPr>
            <w:r w:rsidRPr="00E97FC1">
              <w:rPr>
                <w:rFonts w:ascii="Helvetica" w:hAnsi="Helvetica" w:cs="Helvetica"/>
                <w:noProof/>
                <w:sz w:val="16"/>
                <w:szCs w:val="20"/>
                <w:lang w:val="en-GB"/>
              </w:rPr>
              <w:fldChar w:fldCharType="begin" w:fldLock="1"/>
            </w:r>
            <w:r w:rsidR="00DC25DF" w:rsidRPr="00E97FC1">
              <w:rPr>
                <w:rFonts w:ascii="Helvetica" w:hAnsi="Helvetica" w:cs="Helvetica"/>
                <w:noProof/>
                <w:sz w:val="16"/>
                <w:szCs w:val="20"/>
                <w:lang w:val="en-GB"/>
              </w:rPr>
              <w:instrText>ADDIN CSL_CITATION {"citationItems":[{"id":"ITEM-1","itemData":{"DOI":"10.1021/bi100885v","ISSN":"1520-4995 (Electronic)","PMID":"20979355","abstract":"The prokaryotic proton-translocating NADH-quinone oxidoreductase (NDH-1) is an  L-shaped membrane-bound enzyme that contains 14 subunits (NuoA-NuoN or Nqo1-Nqo14). All subunits have their counterparts in the eukaryotic enzyme (complex I). NDH-1 consists of two domains: the peripheral arm (NuoB, -C, -D, -E, -F, -G, and -I) and the membrane arm (NuoA, -H, -J, -K, -L, -M, and -N). In Escherichia coli NDH-1, the hydrophilic subunits NuoC/Nqo5/30k and NuoD/Nqo4/49k are fused together in a single polypeptide as the NuoCD subunit. The NuoCD subunit is the only subunit that does not bear a cofactor in the peripheral arm. While some roles for inhibitor and quinone association have been reported for the NuoD segment, structural and functional roles of the NuoC segment remain mostly elusive. In this work, 14 highly conserved residues of the NuoC segment were mutated and 21 mutants were constructed using the chromosomal gene manipulation technique. From the enzymatic assays and immunochemical and blue-native gel analyses, it was found that residues Glu-138, Glu-140, and Asp-143 that are thought to be in the third α-helix are absolutely required for the energy-transducing NDH-1 activities and the assembly of the whole enzyme. Together with available information for the hydrophobic subunits, we propose that Glu-138, Glu-140, and Asp-143 of the NuoC segment may have a pivotal role in the structural stability of NDH-1.","author":[{"dropping-particle":"","family":"Castro-Guerrero","given":"Norma","non-dropping-particle":"","parse-names":false,"suffix":""},{"dropping-particle":"","family":"Sinha","given":"Prem Kumar","non-dropping-particle":"","parse-names":false,"suffix":""},{"dropping-particle":"","family":"Torres-Bacete","given":"Jesus","non-dropping-particle":"","parse-names":false,"suffix":""},{"dropping-particle":"","family":"Matsuno-Yagi","given":"Akemi","non-dropping-particle":"","parse-names":false,"suffix":""},{"dropping-particle":"","family":"Yagi","given":"Takao","non-dropping-particle":"","parse-names":false,"suffix":""}],"container-title":"Biochemistry","id":"ITEM-1","issue":"47","issued":{"date-parts":[["2010","11"]]},"language":"eng","page":"10072-10080","title":"Pivotal roles of three conserved carboxyl residues of the NuoC (30k) segment in the  structural integrity of proton-translocating NADH-quinone oxidoreductase from Escherichia coli.","type":"article-journal","volume":"49"},"uris":["http://www.mendeley.com/documents/?uuid=979e1016-fd09-4d8e-bacb-e7ea36d240fe"]}],"mendeley":{"formattedCitation":"(Castro-Guerrero &lt;i&gt;et al&lt;/i&gt;, 2010)","plainTextFormattedCitation":"(Castro-Guerrero et al, 2010)","previouslyFormattedCitation":"(Castro-Guerrero &lt;i&gt;et al&lt;/i&gt;, 2010)"},"properties":{"noteIndex":0},"schema":"https://github.com/citation-style-language/schema/raw/master/csl-citation.json"}</w:instrText>
            </w:r>
            <w:r w:rsidRPr="00E97FC1">
              <w:rPr>
                <w:rFonts w:ascii="Helvetica" w:hAnsi="Helvetica" w:cs="Helvetica"/>
                <w:noProof/>
                <w:sz w:val="16"/>
                <w:szCs w:val="20"/>
                <w:lang w:val="en-GB"/>
              </w:rPr>
              <w:fldChar w:fldCharType="separate"/>
            </w:r>
            <w:r w:rsidRPr="00E97FC1">
              <w:rPr>
                <w:rFonts w:ascii="Helvetica" w:hAnsi="Helvetica" w:cs="Helvetica"/>
                <w:noProof/>
                <w:sz w:val="16"/>
                <w:szCs w:val="20"/>
                <w:lang w:val="en-GB"/>
              </w:rPr>
              <w:t xml:space="preserve">(Castro-Guerrero </w:t>
            </w:r>
            <w:r w:rsidRPr="00E97FC1">
              <w:rPr>
                <w:rFonts w:ascii="Helvetica" w:hAnsi="Helvetica" w:cs="Helvetica"/>
                <w:i/>
                <w:noProof/>
                <w:sz w:val="16"/>
                <w:szCs w:val="20"/>
                <w:lang w:val="en-GB"/>
              </w:rPr>
              <w:t>et al</w:t>
            </w:r>
            <w:r w:rsidRPr="00E97FC1">
              <w:rPr>
                <w:rFonts w:ascii="Helvetica" w:hAnsi="Helvetica" w:cs="Helvetica"/>
                <w:noProof/>
                <w:sz w:val="16"/>
                <w:szCs w:val="20"/>
                <w:lang w:val="en-GB"/>
              </w:rPr>
              <w:t>, 2010)</w:t>
            </w:r>
            <w:r w:rsidRPr="00E97FC1">
              <w:rPr>
                <w:rFonts w:ascii="Helvetica" w:hAnsi="Helvetica" w:cs="Helvetica"/>
                <w:noProof/>
                <w:sz w:val="16"/>
                <w:szCs w:val="20"/>
                <w:lang w:val="en-GB"/>
              </w:rPr>
              <w:fldChar w:fldCharType="end"/>
            </w:r>
          </w:p>
        </w:tc>
      </w:tr>
      <w:tr w:rsidR="002471A8" w:rsidRPr="00E97FC1" w14:paraId="157962ED" w14:textId="77777777" w:rsidTr="002471A8">
        <w:trPr>
          <w:trHeight w:val="65"/>
        </w:trPr>
        <w:tc>
          <w:tcPr>
            <w:tcW w:w="531" w:type="pct"/>
          </w:tcPr>
          <w:p w14:paraId="4404E73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lastRenderedPageBreak/>
              <w:t>D143A</w:t>
            </w:r>
          </w:p>
        </w:tc>
        <w:tc>
          <w:tcPr>
            <w:tcW w:w="1314" w:type="pct"/>
            <w:vMerge/>
          </w:tcPr>
          <w:p w14:paraId="0B2680E6" w14:textId="77777777" w:rsidR="002471A8" w:rsidRPr="00E97FC1" w:rsidRDefault="002471A8" w:rsidP="002471A8">
            <w:pPr>
              <w:rPr>
                <w:rFonts w:ascii="Helvetica" w:hAnsi="Helvetica" w:cs="Helvetica"/>
                <w:bCs/>
                <w:sz w:val="20"/>
                <w:szCs w:val="20"/>
                <w:lang w:val="en-GB"/>
              </w:rPr>
            </w:pPr>
          </w:p>
        </w:tc>
        <w:tc>
          <w:tcPr>
            <w:tcW w:w="721" w:type="pct"/>
          </w:tcPr>
          <w:p w14:paraId="5F2BA43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reduced</w:t>
            </w:r>
          </w:p>
        </w:tc>
        <w:tc>
          <w:tcPr>
            <w:tcW w:w="586" w:type="pct"/>
          </w:tcPr>
          <w:p w14:paraId="28478F5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50%</w:t>
            </w:r>
          </w:p>
        </w:tc>
        <w:tc>
          <w:tcPr>
            <w:tcW w:w="631" w:type="pct"/>
          </w:tcPr>
          <w:p w14:paraId="5C531A1A"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2-3%</w:t>
            </w:r>
          </w:p>
        </w:tc>
        <w:tc>
          <w:tcPr>
            <w:tcW w:w="587" w:type="pct"/>
          </w:tcPr>
          <w:p w14:paraId="7B1D504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0%</w:t>
            </w:r>
          </w:p>
        </w:tc>
        <w:tc>
          <w:tcPr>
            <w:tcW w:w="630" w:type="pct"/>
          </w:tcPr>
          <w:p w14:paraId="2E9E99A7" w14:textId="3B78E21D" w:rsidR="002471A8" w:rsidRPr="00E97FC1" w:rsidRDefault="002471A8" w:rsidP="002471A8">
            <w:pPr>
              <w:rPr>
                <w:rFonts w:ascii="Helvetica" w:hAnsi="Helvetica" w:cs="Helvetica"/>
                <w:noProof/>
                <w:sz w:val="16"/>
                <w:szCs w:val="20"/>
                <w:lang w:val="en-GB"/>
              </w:rPr>
            </w:pPr>
            <w:r w:rsidRPr="00E97FC1">
              <w:rPr>
                <w:rFonts w:ascii="Helvetica" w:hAnsi="Helvetica" w:cs="Helvetica"/>
                <w:noProof/>
                <w:sz w:val="16"/>
                <w:szCs w:val="20"/>
                <w:lang w:val="en-GB"/>
              </w:rPr>
              <w:fldChar w:fldCharType="begin" w:fldLock="1"/>
            </w:r>
            <w:r w:rsidR="00DC25DF" w:rsidRPr="00E97FC1">
              <w:rPr>
                <w:rFonts w:ascii="Helvetica" w:hAnsi="Helvetica" w:cs="Helvetica"/>
                <w:noProof/>
                <w:sz w:val="16"/>
                <w:szCs w:val="20"/>
                <w:lang w:val="en-GB"/>
              </w:rPr>
              <w:instrText>ADDIN CSL_CITATION {"citationItems":[{"id":"ITEM-1","itemData":{"DOI":"10.1021/bi100885v","ISSN":"1520-4995 (Electronic)","PMID":"20979355","abstract":"The prokaryotic proton-translocating NADH-quinone oxidoreductase (NDH-1) is an  L-shaped membrane-bound enzyme that contains 14 subunits (NuoA-NuoN or Nqo1-Nqo14). All subunits have their counterparts in the eukaryotic enzyme (complex I). NDH-1 consists of two domains: the peripheral arm (NuoB, -C, -D, -E, -F, -G, and -I) and the membrane arm (NuoA, -H, -J, -K, -L, -M, and -N). In Escherichia coli NDH-1, the hydrophilic subunits NuoC/Nqo5/30k and NuoD/Nqo4/49k are fused together in a single polypeptide as the NuoCD subunit. The NuoCD subunit is the only subunit that does not bear a cofactor in the peripheral arm. While some roles for inhibitor and quinone association have been reported for the NuoD segment, structural and functional roles of the NuoC segment remain mostly elusive. In this work, 14 highly conserved residues of the NuoC segment were mutated and 21 mutants were constructed using the chromosomal gene manipulation technique. From the enzymatic assays and immunochemical and blue-native gel analyses, it was found that residues Glu-138, Glu-140, and Asp-143 that are thought to be in the third α-helix are absolutely required for the energy-transducing NDH-1 activities and the assembly of the whole enzyme. Together with available information for the hydrophobic subunits, we propose that Glu-138, Glu-140, and Asp-143 of the NuoC segment may have a pivotal role in the structural stability of NDH-1.","author":[{"dropping-particle":"","family":"Castro-Guerrero","given":"Norma","non-dropping-particle":"","parse-names":false,"suffix":""},{"dropping-particle":"","family":"Sinha","given":"Prem Kumar","non-dropping-particle":"","parse-names":false,"suffix":""},{"dropping-particle":"","family":"Torres-Bacete","given":"Jesus","non-dropping-particle":"","parse-names":false,"suffix":""},{"dropping-particle":"","family":"Matsuno-Yagi","given":"Akemi","non-dropping-particle":"","parse-names":false,"suffix":""},{"dropping-particle":"","family":"Yagi","given":"Takao","non-dropping-particle":"","parse-names":false,"suffix":""}],"container-title":"Biochemistry","id":"ITEM-1","issue":"47","issued":{"date-parts":[["2010","11"]]},"language":"eng","page":"10072-10080","title":"Pivotal roles of three conserved carboxyl residues of the NuoC (30k) segment in the  structural integrity of proton-translocating NADH-quinone oxidoreductase from Escherichia coli.","type":"article-journal","volume":"49"},"uris":["http://www.mendeley.com/documents/?uuid=979e1016-fd09-4d8e-bacb-e7ea36d240fe"]}],"mendeley":{"formattedCitation":"(Castro-Guerrero &lt;i&gt;et al&lt;/i&gt;, 2010)","plainTextFormattedCitation":"(Castro-Guerrero et al, 2010)","previouslyFormattedCitation":"(Castro-Guerrero &lt;i&gt;et al&lt;/i&gt;, 2010)"},"properties":{"noteIndex":0},"schema":"https://github.com/citation-style-language/schema/raw/master/csl-citation.json"}</w:instrText>
            </w:r>
            <w:r w:rsidRPr="00E97FC1">
              <w:rPr>
                <w:rFonts w:ascii="Helvetica" w:hAnsi="Helvetica" w:cs="Helvetica"/>
                <w:noProof/>
                <w:sz w:val="16"/>
                <w:szCs w:val="20"/>
                <w:lang w:val="en-GB"/>
              </w:rPr>
              <w:fldChar w:fldCharType="separate"/>
            </w:r>
            <w:r w:rsidRPr="00E97FC1">
              <w:rPr>
                <w:rFonts w:ascii="Helvetica" w:hAnsi="Helvetica" w:cs="Helvetica"/>
                <w:noProof/>
                <w:sz w:val="16"/>
                <w:szCs w:val="20"/>
                <w:lang w:val="en-GB"/>
              </w:rPr>
              <w:t xml:space="preserve">(Castro-Guerrero </w:t>
            </w:r>
            <w:r w:rsidRPr="00E97FC1">
              <w:rPr>
                <w:rFonts w:ascii="Helvetica" w:hAnsi="Helvetica" w:cs="Helvetica"/>
                <w:i/>
                <w:noProof/>
                <w:sz w:val="16"/>
                <w:szCs w:val="20"/>
                <w:lang w:val="en-GB"/>
              </w:rPr>
              <w:t>et al</w:t>
            </w:r>
            <w:r w:rsidRPr="00E97FC1">
              <w:rPr>
                <w:rFonts w:ascii="Helvetica" w:hAnsi="Helvetica" w:cs="Helvetica"/>
                <w:noProof/>
                <w:sz w:val="16"/>
                <w:szCs w:val="20"/>
                <w:lang w:val="en-GB"/>
              </w:rPr>
              <w:t>, 2010)</w:t>
            </w:r>
            <w:r w:rsidRPr="00E97FC1">
              <w:rPr>
                <w:rFonts w:ascii="Helvetica" w:hAnsi="Helvetica" w:cs="Helvetica"/>
                <w:noProof/>
                <w:sz w:val="16"/>
                <w:szCs w:val="20"/>
                <w:lang w:val="en-GB"/>
              </w:rPr>
              <w:fldChar w:fldCharType="end"/>
            </w:r>
          </w:p>
        </w:tc>
      </w:tr>
      <w:tr w:rsidR="002471A8" w:rsidRPr="00E97FC1" w14:paraId="312D003A" w14:textId="77777777" w:rsidTr="002471A8">
        <w:trPr>
          <w:trHeight w:val="65"/>
        </w:trPr>
        <w:tc>
          <w:tcPr>
            <w:tcW w:w="531" w:type="pct"/>
          </w:tcPr>
          <w:p w14:paraId="6CD4EDF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D143N</w:t>
            </w:r>
          </w:p>
        </w:tc>
        <w:tc>
          <w:tcPr>
            <w:tcW w:w="1314" w:type="pct"/>
            <w:vMerge/>
          </w:tcPr>
          <w:p w14:paraId="3FBA350F" w14:textId="77777777" w:rsidR="002471A8" w:rsidRPr="00E97FC1" w:rsidRDefault="002471A8" w:rsidP="002471A8">
            <w:pPr>
              <w:rPr>
                <w:rFonts w:ascii="Helvetica" w:hAnsi="Helvetica" w:cs="Helvetica"/>
                <w:bCs/>
                <w:sz w:val="20"/>
                <w:szCs w:val="20"/>
                <w:lang w:val="en-GB"/>
              </w:rPr>
            </w:pPr>
          </w:p>
        </w:tc>
        <w:tc>
          <w:tcPr>
            <w:tcW w:w="721" w:type="pct"/>
          </w:tcPr>
          <w:p w14:paraId="659264E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reduced</w:t>
            </w:r>
          </w:p>
        </w:tc>
        <w:tc>
          <w:tcPr>
            <w:tcW w:w="586" w:type="pct"/>
          </w:tcPr>
          <w:p w14:paraId="3C36C831"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69%</w:t>
            </w:r>
          </w:p>
        </w:tc>
        <w:tc>
          <w:tcPr>
            <w:tcW w:w="631" w:type="pct"/>
          </w:tcPr>
          <w:p w14:paraId="1CAACF7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5-9%</w:t>
            </w:r>
          </w:p>
        </w:tc>
        <w:tc>
          <w:tcPr>
            <w:tcW w:w="587" w:type="pct"/>
          </w:tcPr>
          <w:p w14:paraId="5FE54BD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w:t>
            </w:r>
          </w:p>
        </w:tc>
        <w:tc>
          <w:tcPr>
            <w:tcW w:w="630" w:type="pct"/>
          </w:tcPr>
          <w:p w14:paraId="7A9B4182" w14:textId="16BDA0B2" w:rsidR="002471A8" w:rsidRPr="00E97FC1" w:rsidRDefault="002471A8" w:rsidP="002471A8">
            <w:pPr>
              <w:rPr>
                <w:rFonts w:ascii="Helvetica" w:hAnsi="Helvetica" w:cs="Helvetica"/>
                <w:noProof/>
                <w:sz w:val="16"/>
                <w:szCs w:val="20"/>
                <w:lang w:val="en-GB"/>
              </w:rPr>
            </w:pPr>
            <w:r w:rsidRPr="00E97FC1">
              <w:rPr>
                <w:rFonts w:ascii="Helvetica" w:hAnsi="Helvetica" w:cs="Helvetica"/>
                <w:noProof/>
                <w:sz w:val="16"/>
                <w:szCs w:val="20"/>
                <w:lang w:val="en-GB"/>
              </w:rPr>
              <w:fldChar w:fldCharType="begin" w:fldLock="1"/>
            </w:r>
            <w:r w:rsidR="00DC25DF" w:rsidRPr="00E97FC1">
              <w:rPr>
                <w:rFonts w:ascii="Helvetica" w:hAnsi="Helvetica" w:cs="Helvetica"/>
                <w:noProof/>
                <w:sz w:val="16"/>
                <w:szCs w:val="20"/>
                <w:lang w:val="en-GB"/>
              </w:rPr>
              <w:instrText>ADDIN CSL_CITATION {"citationItems":[{"id":"ITEM-1","itemData":{"DOI":"10.1021/bi100885v","ISSN":"1520-4995 (Electronic)","PMID":"20979355","abstract":"The prokaryotic proton-translocating NADH-quinone oxidoreductase (NDH-1) is an  L-shaped membrane-bound enzyme that contains 14 subunits (NuoA-NuoN or Nqo1-Nqo14). All subunits have their counterparts in the eukaryotic enzyme (complex I). NDH-1 consists of two domains: the peripheral arm (NuoB, -C, -D, -E, -F, -G, and -I) and the membrane arm (NuoA, -H, -J, -K, -L, -M, and -N). In Escherichia coli NDH-1, the hydrophilic subunits NuoC/Nqo5/30k and NuoD/Nqo4/49k are fused together in a single polypeptide as the NuoCD subunit. The NuoCD subunit is the only subunit that does not bear a cofactor in the peripheral arm. While some roles for inhibitor and quinone association have been reported for the NuoD segment, structural and functional roles of the NuoC segment remain mostly elusive. In this work, 14 highly conserved residues of the NuoC segment were mutated and 21 mutants were constructed using the chromosomal gene manipulation technique. From the enzymatic assays and immunochemical and blue-native gel analyses, it was found that residues Glu-138, Glu-140, and Asp-143 that are thought to be in the third α-helix are absolutely required for the energy-transducing NDH-1 activities and the assembly of the whole enzyme. Together with available information for the hydrophobic subunits, we propose that Glu-138, Glu-140, and Asp-143 of the NuoC segment may have a pivotal role in the structural stability of NDH-1.","author":[{"dropping-particle":"","family":"Castro-Guerrero","given":"Norma","non-dropping-particle":"","parse-names":false,"suffix":""},{"dropping-particle":"","family":"Sinha","given":"Prem Kumar","non-dropping-particle":"","parse-names":false,"suffix":""},{"dropping-particle":"","family":"Torres-Bacete","given":"Jesus","non-dropping-particle":"","parse-names":false,"suffix":""},{"dropping-particle":"","family":"Matsuno-Yagi","given":"Akemi","non-dropping-particle":"","parse-names":false,"suffix":""},{"dropping-particle":"","family":"Yagi","given":"Takao","non-dropping-particle":"","parse-names":false,"suffix":""}],"container-title":"Biochemistry","id":"ITEM-1","issue":"47","issued":{"date-parts":[["2010","11"]]},"language":"eng","page":"10072-10080","title":"Pivotal roles of three conserved carboxyl residues of the NuoC (30k) segment in the  structural integrity of proton-translocating NADH-quinone oxidoreductase from Escherichia coli.","type":"article-journal","volume":"49"},"uris":["http://www.mendeley.com/documents/?uuid=979e1016-fd09-4d8e-bacb-e7ea36d240fe"]}],"mendeley":{"formattedCitation":"(Castro-Guerrero &lt;i&gt;et al&lt;/i&gt;, 2010)","plainTextFormattedCitation":"(Castro-Guerrero et al, 2010)","previouslyFormattedCitation":"(Castro-Guerrero &lt;i&gt;et al&lt;/i&gt;, 2010)"},"properties":{"noteIndex":0},"schema":"https://github.com/citation-style-language/schema/raw/master/csl-citation.json"}</w:instrText>
            </w:r>
            <w:r w:rsidRPr="00E97FC1">
              <w:rPr>
                <w:rFonts w:ascii="Helvetica" w:hAnsi="Helvetica" w:cs="Helvetica"/>
                <w:noProof/>
                <w:sz w:val="16"/>
                <w:szCs w:val="20"/>
                <w:lang w:val="en-GB"/>
              </w:rPr>
              <w:fldChar w:fldCharType="separate"/>
            </w:r>
            <w:r w:rsidRPr="00E97FC1">
              <w:rPr>
                <w:rFonts w:ascii="Helvetica" w:hAnsi="Helvetica" w:cs="Helvetica"/>
                <w:noProof/>
                <w:sz w:val="16"/>
                <w:szCs w:val="20"/>
                <w:lang w:val="en-GB"/>
              </w:rPr>
              <w:t xml:space="preserve">(Castro-Guerrero </w:t>
            </w:r>
            <w:r w:rsidRPr="00E97FC1">
              <w:rPr>
                <w:rFonts w:ascii="Helvetica" w:hAnsi="Helvetica" w:cs="Helvetica"/>
                <w:i/>
                <w:noProof/>
                <w:sz w:val="16"/>
                <w:szCs w:val="20"/>
                <w:lang w:val="en-GB"/>
              </w:rPr>
              <w:t>et al</w:t>
            </w:r>
            <w:r w:rsidRPr="00E97FC1">
              <w:rPr>
                <w:rFonts w:ascii="Helvetica" w:hAnsi="Helvetica" w:cs="Helvetica"/>
                <w:noProof/>
                <w:sz w:val="16"/>
                <w:szCs w:val="20"/>
                <w:lang w:val="en-GB"/>
              </w:rPr>
              <w:t>, 2010)</w:t>
            </w:r>
            <w:r w:rsidRPr="00E97FC1">
              <w:rPr>
                <w:rFonts w:ascii="Helvetica" w:hAnsi="Helvetica" w:cs="Helvetica"/>
                <w:noProof/>
                <w:sz w:val="16"/>
                <w:szCs w:val="20"/>
                <w:lang w:val="en-GB"/>
              </w:rPr>
              <w:fldChar w:fldCharType="end"/>
            </w:r>
          </w:p>
        </w:tc>
      </w:tr>
      <w:tr w:rsidR="002471A8" w:rsidRPr="00E97FC1" w14:paraId="01ACD847" w14:textId="77777777" w:rsidTr="002471A8">
        <w:trPr>
          <w:trHeight w:val="65"/>
        </w:trPr>
        <w:tc>
          <w:tcPr>
            <w:tcW w:w="531" w:type="pct"/>
          </w:tcPr>
          <w:p w14:paraId="266E8F6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D143E</w:t>
            </w:r>
          </w:p>
        </w:tc>
        <w:tc>
          <w:tcPr>
            <w:tcW w:w="1314" w:type="pct"/>
            <w:vMerge/>
          </w:tcPr>
          <w:p w14:paraId="7A80568E" w14:textId="77777777" w:rsidR="002471A8" w:rsidRPr="00E97FC1" w:rsidRDefault="002471A8" w:rsidP="002471A8">
            <w:pPr>
              <w:rPr>
                <w:rFonts w:ascii="Helvetica" w:hAnsi="Helvetica" w:cs="Helvetica"/>
                <w:bCs/>
                <w:sz w:val="20"/>
                <w:szCs w:val="20"/>
                <w:lang w:val="en-GB"/>
              </w:rPr>
            </w:pPr>
          </w:p>
        </w:tc>
        <w:tc>
          <w:tcPr>
            <w:tcW w:w="721" w:type="pct"/>
          </w:tcPr>
          <w:p w14:paraId="2885744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586" w:type="pct"/>
          </w:tcPr>
          <w:p w14:paraId="22C9C66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103%</w:t>
            </w:r>
          </w:p>
        </w:tc>
        <w:tc>
          <w:tcPr>
            <w:tcW w:w="631" w:type="pct"/>
          </w:tcPr>
          <w:p w14:paraId="31CCCFE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128-132%</w:t>
            </w:r>
          </w:p>
        </w:tc>
        <w:tc>
          <w:tcPr>
            <w:tcW w:w="587" w:type="pct"/>
          </w:tcPr>
          <w:p w14:paraId="1951C2F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90%</w:t>
            </w:r>
          </w:p>
        </w:tc>
        <w:tc>
          <w:tcPr>
            <w:tcW w:w="630" w:type="pct"/>
          </w:tcPr>
          <w:p w14:paraId="70B24278" w14:textId="1643E214" w:rsidR="002471A8" w:rsidRPr="00E97FC1" w:rsidRDefault="002471A8" w:rsidP="002471A8">
            <w:pPr>
              <w:rPr>
                <w:rFonts w:ascii="Helvetica" w:hAnsi="Helvetica" w:cs="Helvetica"/>
                <w:noProof/>
                <w:sz w:val="16"/>
                <w:szCs w:val="20"/>
                <w:lang w:val="en-GB"/>
              </w:rPr>
            </w:pPr>
            <w:r w:rsidRPr="00E97FC1">
              <w:rPr>
                <w:rFonts w:ascii="Helvetica" w:hAnsi="Helvetica" w:cs="Helvetica"/>
                <w:noProof/>
                <w:sz w:val="16"/>
                <w:szCs w:val="20"/>
                <w:lang w:val="en-GB"/>
              </w:rPr>
              <w:fldChar w:fldCharType="begin" w:fldLock="1"/>
            </w:r>
            <w:r w:rsidR="00DC25DF" w:rsidRPr="00E97FC1">
              <w:rPr>
                <w:rFonts w:ascii="Helvetica" w:hAnsi="Helvetica" w:cs="Helvetica"/>
                <w:noProof/>
                <w:sz w:val="16"/>
                <w:szCs w:val="20"/>
                <w:lang w:val="en-GB"/>
              </w:rPr>
              <w:instrText>ADDIN CSL_CITATION {"citationItems":[{"id":"ITEM-1","itemData":{"DOI":"10.1021/bi100885v","ISSN":"1520-4995 (Electronic)","PMID":"20979355","abstract":"The prokaryotic proton-translocating NADH-quinone oxidoreductase (NDH-1) is an  L-shaped membrane-bound enzyme that contains 14 subunits (NuoA-NuoN or Nqo1-Nqo14). All subunits have their counterparts in the eukaryotic enzyme (complex I). NDH-1 consists of two domains: the peripheral arm (NuoB, -C, -D, -E, -F, -G, and -I) and the membrane arm (NuoA, -H, -J, -K, -L, -M, and -N). In Escherichia coli NDH-1, the hydrophilic subunits NuoC/Nqo5/30k and NuoD/Nqo4/49k are fused together in a single polypeptide as the NuoCD subunit. The NuoCD subunit is the only subunit that does not bear a cofactor in the peripheral arm. While some roles for inhibitor and quinone association have been reported for the NuoD segment, structural and functional roles of the NuoC segment remain mostly elusive. In this work, 14 highly conserved residues of the NuoC segment were mutated and 21 mutants were constructed using the chromosomal gene manipulation technique. From the enzymatic assays and immunochemical and blue-native gel analyses, it was found that residues Glu-138, Glu-140, and Asp-143 that are thought to be in the third α-helix are absolutely required for the energy-transducing NDH-1 activities and the assembly of the whole enzyme. Together with available information for the hydrophobic subunits, we propose that Glu-138, Glu-140, and Asp-143 of the NuoC segment may have a pivotal role in the structural stability of NDH-1.","author":[{"dropping-particle":"","family":"Castro-Guerrero","given":"Norma","non-dropping-particle":"","parse-names":false,"suffix":""},{"dropping-particle":"","family":"Sinha","given":"Prem Kumar","non-dropping-particle":"","parse-names":false,"suffix":""},{"dropping-particle":"","family":"Torres-Bacete","given":"Jesus","non-dropping-particle":"","parse-names":false,"suffix":""},{"dropping-particle":"","family":"Matsuno-Yagi","given":"Akemi","non-dropping-particle":"","parse-names":false,"suffix":""},{"dropping-particle":"","family":"Yagi","given":"Takao","non-dropping-particle":"","parse-names":false,"suffix":""}],"container-title":"Biochemistry","id":"ITEM-1","issue":"47","issued":{"date-parts":[["2010","11"]]},"language":"eng","page":"10072-10080","title":"Pivotal roles of three conserved carboxyl residues of the NuoC (30k) segment in the  structural integrity of proton-translocating NADH-quinone oxidoreductase from Escherichia coli.","type":"article-journal","volume":"49"},"uris":["http://www.mendeley.com/documents/?uuid=979e1016-fd09-4d8e-bacb-e7ea36d240fe"]}],"mendeley":{"formattedCitation":"(Castro-Guerrero &lt;i&gt;et al&lt;/i&gt;, 2010)","plainTextFormattedCitation":"(Castro-Guerrero et al, 2010)","previouslyFormattedCitation":"(Castro-Guerrero &lt;i&gt;et al&lt;/i&gt;, 2010)"},"properties":{"noteIndex":0},"schema":"https://github.com/citation-style-language/schema/raw/master/csl-citation.json"}</w:instrText>
            </w:r>
            <w:r w:rsidRPr="00E97FC1">
              <w:rPr>
                <w:rFonts w:ascii="Helvetica" w:hAnsi="Helvetica" w:cs="Helvetica"/>
                <w:noProof/>
                <w:sz w:val="16"/>
                <w:szCs w:val="20"/>
                <w:lang w:val="en-GB"/>
              </w:rPr>
              <w:fldChar w:fldCharType="separate"/>
            </w:r>
            <w:r w:rsidRPr="00E97FC1">
              <w:rPr>
                <w:rFonts w:ascii="Helvetica" w:hAnsi="Helvetica" w:cs="Helvetica"/>
                <w:noProof/>
                <w:sz w:val="16"/>
                <w:szCs w:val="20"/>
                <w:lang w:val="en-GB"/>
              </w:rPr>
              <w:t xml:space="preserve">(Castro-Guerrero </w:t>
            </w:r>
            <w:r w:rsidRPr="00E97FC1">
              <w:rPr>
                <w:rFonts w:ascii="Helvetica" w:hAnsi="Helvetica" w:cs="Helvetica"/>
                <w:i/>
                <w:noProof/>
                <w:sz w:val="16"/>
                <w:szCs w:val="20"/>
                <w:lang w:val="en-GB"/>
              </w:rPr>
              <w:t>et al</w:t>
            </w:r>
            <w:r w:rsidRPr="00E97FC1">
              <w:rPr>
                <w:rFonts w:ascii="Helvetica" w:hAnsi="Helvetica" w:cs="Helvetica"/>
                <w:noProof/>
                <w:sz w:val="16"/>
                <w:szCs w:val="20"/>
                <w:lang w:val="en-GB"/>
              </w:rPr>
              <w:t>, 2010)</w:t>
            </w:r>
            <w:r w:rsidRPr="00E97FC1">
              <w:rPr>
                <w:rFonts w:ascii="Helvetica" w:hAnsi="Helvetica" w:cs="Helvetica"/>
                <w:noProof/>
                <w:sz w:val="16"/>
                <w:szCs w:val="20"/>
                <w:lang w:val="en-GB"/>
              </w:rPr>
              <w:fldChar w:fldCharType="end"/>
            </w:r>
          </w:p>
        </w:tc>
      </w:tr>
      <w:tr w:rsidR="002471A8" w:rsidRPr="00E97FC1" w14:paraId="534B4831" w14:textId="77777777" w:rsidTr="002471A8">
        <w:trPr>
          <w:trHeight w:val="65"/>
        </w:trPr>
        <w:tc>
          <w:tcPr>
            <w:tcW w:w="531" w:type="pct"/>
          </w:tcPr>
          <w:p w14:paraId="5EF1D7C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G146A</w:t>
            </w:r>
          </w:p>
        </w:tc>
        <w:tc>
          <w:tcPr>
            <w:tcW w:w="1314" w:type="pct"/>
            <w:vMerge w:val="restart"/>
          </w:tcPr>
          <w:p w14:paraId="7EF10CF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surface</w:t>
            </w:r>
          </w:p>
          <w:p w14:paraId="008C7998" w14:textId="77777777" w:rsidR="002471A8" w:rsidRPr="00E97FC1" w:rsidRDefault="002471A8" w:rsidP="002471A8">
            <w:pPr>
              <w:rPr>
                <w:rFonts w:ascii="Helvetica" w:hAnsi="Helvetica" w:cs="Helvetica"/>
                <w:bCs/>
                <w:sz w:val="20"/>
                <w:szCs w:val="20"/>
                <w:lang w:val="en-GB"/>
              </w:rPr>
            </w:pPr>
          </w:p>
        </w:tc>
        <w:tc>
          <w:tcPr>
            <w:tcW w:w="721" w:type="pct"/>
          </w:tcPr>
          <w:p w14:paraId="28215F8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586" w:type="pct"/>
          </w:tcPr>
          <w:p w14:paraId="2359ED4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102%</w:t>
            </w:r>
          </w:p>
        </w:tc>
        <w:tc>
          <w:tcPr>
            <w:tcW w:w="631" w:type="pct"/>
          </w:tcPr>
          <w:p w14:paraId="4BF05CC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114-117%</w:t>
            </w:r>
          </w:p>
        </w:tc>
        <w:tc>
          <w:tcPr>
            <w:tcW w:w="587" w:type="pct"/>
          </w:tcPr>
          <w:p w14:paraId="5F230A6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630" w:type="pct"/>
          </w:tcPr>
          <w:p w14:paraId="5E53E37E" w14:textId="2857866B" w:rsidR="002471A8" w:rsidRPr="00E97FC1" w:rsidRDefault="002471A8" w:rsidP="002471A8">
            <w:pPr>
              <w:rPr>
                <w:rFonts w:ascii="Helvetica" w:hAnsi="Helvetica" w:cs="Helvetica"/>
                <w:noProof/>
                <w:sz w:val="16"/>
                <w:szCs w:val="20"/>
                <w:lang w:val="en-GB"/>
              </w:rPr>
            </w:pPr>
            <w:r w:rsidRPr="00E97FC1">
              <w:rPr>
                <w:rFonts w:ascii="Helvetica" w:hAnsi="Helvetica" w:cs="Helvetica"/>
                <w:noProof/>
                <w:sz w:val="16"/>
                <w:szCs w:val="20"/>
                <w:lang w:val="en-GB"/>
              </w:rPr>
              <w:fldChar w:fldCharType="begin" w:fldLock="1"/>
            </w:r>
            <w:r w:rsidR="00DC25DF" w:rsidRPr="00E97FC1">
              <w:rPr>
                <w:rFonts w:ascii="Helvetica" w:hAnsi="Helvetica" w:cs="Helvetica"/>
                <w:noProof/>
                <w:sz w:val="16"/>
                <w:szCs w:val="20"/>
                <w:lang w:val="en-GB"/>
              </w:rPr>
              <w:instrText>ADDIN CSL_CITATION {"citationItems":[{"id":"ITEM-1","itemData":{"DOI":"10.1021/bi100885v","ISSN":"1520-4995 (Electronic)","PMID":"20979355","abstract":"The prokaryotic proton-translocating NADH-quinone oxidoreductase (NDH-1) is an  L-shaped membrane-bound enzyme that contains 14 subunits (NuoA-NuoN or Nqo1-Nqo14). All subunits have their counterparts in the eukaryotic enzyme (complex I). NDH-1 consists of two domains: the peripheral arm (NuoB, -C, -D, -E, -F, -G, and -I) and the membrane arm (NuoA, -H, -J, -K, -L, -M, and -N). In Escherichia coli NDH-1, the hydrophilic subunits NuoC/Nqo5/30k and NuoD/Nqo4/49k are fused together in a single polypeptide as the NuoCD subunit. The NuoCD subunit is the only subunit that does not bear a cofactor in the peripheral arm. While some roles for inhibitor and quinone association have been reported for the NuoD segment, structural and functional roles of the NuoC segment remain mostly elusive. In this work, 14 highly conserved residues of the NuoC segment were mutated and 21 mutants were constructed using the chromosomal gene manipulation technique. From the enzymatic assays and immunochemical and blue-native gel analyses, it was found that residues Glu-138, Glu-140, and Asp-143 that are thought to be in the third α-helix are absolutely required for the energy-transducing NDH-1 activities and the assembly of the whole enzyme. Together with available information for the hydrophobic subunits, we propose that Glu-138, Glu-140, and Asp-143 of the NuoC segment may have a pivotal role in the structural stability of NDH-1.","author":[{"dropping-particle":"","family":"Castro-Guerrero","given":"Norma","non-dropping-particle":"","parse-names":false,"suffix":""},{"dropping-particle":"","family":"Sinha","given":"Prem Kumar","non-dropping-particle":"","parse-names":false,"suffix":""},{"dropping-particle":"","family":"Torres-Bacete","given":"Jesus","non-dropping-particle":"","parse-names":false,"suffix":""},{"dropping-particle":"","family":"Matsuno-Yagi","given":"Akemi","non-dropping-particle":"","parse-names":false,"suffix":""},{"dropping-particle":"","family":"Yagi","given":"Takao","non-dropping-particle":"","parse-names":false,"suffix":""}],"container-title":"Biochemistry","id":"ITEM-1","issue":"47","issued":{"date-parts":[["2010","11"]]},"language":"eng","page":"10072-10080","title":"Pivotal roles of three conserved carboxyl residues of the NuoC (30k) segment in the  structural integrity of proton-translocating NADH-quinone oxidoreductase from Escherichia coli.","type":"article-journal","volume":"49"},"uris":["http://www.mendeley.com/documents/?uuid=979e1016-fd09-4d8e-bacb-e7ea36d240fe"]}],"mendeley":{"formattedCitation":"(Castro-Guerrero &lt;i&gt;et al&lt;/i&gt;, 2010)","plainTextFormattedCitation":"(Castro-Guerrero et al, 2010)","previouslyFormattedCitation":"(Castro-Guerrero &lt;i&gt;et al&lt;/i&gt;, 2010)"},"properties":{"noteIndex":0},"schema":"https://github.com/citation-style-language/schema/raw/master/csl-citation.json"}</w:instrText>
            </w:r>
            <w:r w:rsidRPr="00E97FC1">
              <w:rPr>
                <w:rFonts w:ascii="Helvetica" w:hAnsi="Helvetica" w:cs="Helvetica"/>
                <w:noProof/>
                <w:sz w:val="16"/>
                <w:szCs w:val="20"/>
                <w:lang w:val="en-GB"/>
              </w:rPr>
              <w:fldChar w:fldCharType="separate"/>
            </w:r>
            <w:r w:rsidRPr="00E97FC1">
              <w:rPr>
                <w:rFonts w:ascii="Helvetica" w:hAnsi="Helvetica" w:cs="Helvetica"/>
                <w:noProof/>
                <w:sz w:val="16"/>
                <w:szCs w:val="20"/>
                <w:lang w:val="en-GB"/>
              </w:rPr>
              <w:t xml:space="preserve">(Castro-Guerrero </w:t>
            </w:r>
            <w:r w:rsidRPr="00E97FC1">
              <w:rPr>
                <w:rFonts w:ascii="Helvetica" w:hAnsi="Helvetica" w:cs="Helvetica"/>
                <w:i/>
                <w:noProof/>
                <w:sz w:val="16"/>
                <w:szCs w:val="20"/>
                <w:lang w:val="en-GB"/>
              </w:rPr>
              <w:t>et al</w:t>
            </w:r>
            <w:r w:rsidRPr="00E97FC1">
              <w:rPr>
                <w:rFonts w:ascii="Helvetica" w:hAnsi="Helvetica" w:cs="Helvetica"/>
                <w:noProof/>
                <w:sz w:val="16"/>
                <w:szCs w:val="20"/>
                <w:lang w:val="en-GB"/>
              </w:rPr>
              <w:t>, 2010)</w:t>
            </w:r>
            <w:r w:rsidRPr="00E97FC1">
              <w:rPr>
                <w:rFonts w:ascii="Helvetica" w:hAnsi="Helvetica" w:cs="Helvetica"/>
                <w:noProof/>
                <w:sz w:val="16"/>
                <w:szCs w:val="20"/>
                <w:lang w:val="en-GB"/>
              </w:rPr>
              <w:fldChar w:fldCharType="end"/>
            </w:r>
          </w:p>
        </w:tc>
      </w:tr>
      <w:tr w:rsidR="002471A8" w:rsidRPr="00E97FC1" w14:paraId="4A6DE724" w14:textId="77777777" w:rsidTr="002471A8">
        <w:trPr>
          <w:trHeight w:val="65"/>
        </w:trPr>
        <w:tc>
          <w:tcPr>
            <w:tcW w:w="531" w:type="pct"/>
          </w:tcPr>
          <w:p w14:paraId="0A1D5D7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F149A</w:t>
            </w:r>
          </w:p>
        </w:tc>
        <w:tc>
          <w:tcPr>
            <w:tcW w:w="1314" w:type="pct"/>
            <w:vMerge/>
          </w:tcPr>
          <w:p w14:paraId="239753A8" w14:textId="77777777" w:rsidR="002471A8" w:rsidRPr="00E97FC1" w:rsidRDefault="002471A8" w:rsidP="002471A8">
            <w:pPr>
              <w:rPr>
                <w:rFonts w:ascii="Helvetica" w:hAnsi="Helvetica" w:cs="Helvetica"/>
                <w:bCs/>
                <w:sz w:val="20"/>
                <w:szCs w:val="20"/>
                <w:lang w:val="en-GB"/>
              </w:rPr>
            </w:pPr>
          </w:p>
        </w:tc>
        <w:tc>
          <w:tcPr>
            <w:tcW w:w="721" w:type="pct"/>
          </w:tcPr>
          <w:p w14:paraId="7F711B0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586" w:type="pct"/>
          </w:tcPr>
          <w:p w14:paraId="3128162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109%</w:t>
            </w:r>
          </w:p>
        </w:tc>
        <w:tc>
          <w:tcPr>
            <w:tcW w:w="631" w:type="pct"/>
          </w:tcPr>
          <w:p w14:paraId="69E6617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587" w:type="pct"/>
          </w:tcPr>
          <w:p w14:paraId="463695E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630" w:type="pct"/>
          </w:tcPr>
          <w:p w14:paraId="3722BB08" w14:textId="42817CD4" w:rsidR="002471A8" w:rsidRPr="00E97FC1" w:rsidRDefault="002471A8" w:rsidP="002471A8">
            <w:pPr>
              <w:rPr>
                <w:rFonts w:ascii="Helvetica" w:hAnsi="Helvetica" w:cs="Helvetica"/>
                <w:noProof/>
                <w:sz w:val="16"/>
                <w:szCs w:val="20"/>
                <w:lang w:val="en-GB"/>
              </w:rPr>
            </w:pPr>
            <w:r w:rsidRPr="00E97FC1">
              <w:rPr>
                <w:rFonts w:ascii="Helvetica" w:hAnsi="Helvetica" w:cs="Helvetica"/>
                <w:noProof/>
                <w:sz w:val="16"/>
                <w:szCs w:val="20"/>
                <w:lang w:val="en-GB"/>
              </w:rPr>
              <w:fldChar w:fldCharType="begin" w:fldLock="1"/>
            </w:r>
            <w:r w:rsidR="00DC25DF" w:rsidRPr="00E97FC1">
              <w:rPr>
                <w:rFonts w:ascii="Helvetica" w:hAnsi="Helvetica" w:cs="Helvetica"/>
                <w:noProof/>
                <w:sz w:val="16"/>
                <w:szCs w:val="20"/>
                <w:lang w:val="en-GB"/>
              </w:rPr>
              <w:instrText>ADDIN CSL_CITATION {"citationItems":[{"id":"ITEM-1","itemData":{"DOI":"10.1021/bi100885v","ISSN":"1520-4995 (Electronic)","PMID":"20979355","abstract":"The prokaryotic proton-translocating NADH-quinone oxidoreductase (NDH-1) is an  L-shaped membrane-bound enzyme that contains 14 subunits (NuoA-NuoN or Nqo1-Nqo14). All subunits have their counterparts in the eukaryotic enzyme (complex I). NDH-1 consists of two domains: the peripheral arm (NuoB, -C, -D, -E, -F, -G, and -I) and the membrane arm (NuoA, -H, -J, -K, -L, -M, and -N). In Escherichia coli NDH-1, the hydrophilic subunits NuoC/Nqo5/30k and NuoD/Nqo4/49k are fused together in a single polypeptide as the NuoCD subunit. The NuoCD subunit is the only subunit that does not bear a cofactor in the peripheral arm. While some roles for inhibitor and quinone association have been reported for the NuoD segment, structural and functional roles of the NuoC segment remain mostly elusive. In this work, 14 highly conserved residues of the NuoC segment were mutated and 21 mutants were constructed using the chromosomal gene manipulation technique. From the enzymatic assays and immunochemical and blue-native gel analyses, it was found that residues Glu-138, Glu-140, and Asp-143 that are thought to be in the third α-helix are absolutely required for the energy-transducing NDH-1 activities and the assembly of the whole enzyme. Together with available information for the hydrophobic subunits, we propose that Glu-138, Glu-140, and Asp-143 of the NuoC segment may have a pivotal role in the structural stability of NDH-1.","author":[{"dropping-particle":"","family":"Castro-Guerrero","given":"Norma","non-dropping-particle":"","parse-names":false,"suffix":""},{"dropping-particle":"","family":"Sinha","given":"Prem Kumar","non-dropping-particle":"","parse-names":false,"suffix":""},{"dropping-particle":"","family":"Torres-Bacete","given":"Jesus","non-dropping-particle":"","parse-names":false,"suffix":""},{"dropping-particle":"","family":"Matsuno-Yagi","given":"Akemi","non-dropping-particle":"","parse-names":false,"suffix":""},{"dropping-particle":"","family":"Yagi","given":"Takao","non-dropping-particle":"","parse-names":false,"suffix":""}],"container-title":"Biochemistry","id":"ITEM-1","issue":"47","issued":{"date-parts":[["2010","11"]]},"language":"eng","page":"10072-10080","title":"Pivotal roles of three conserved carboxyl residues of the NuoC (30k) segment in the  structural integrity of proton-translocating NADH-quinone oxidoreductase from Escherichia coli.","type":"article-journal","volume":"49"},"uris":["http://www.mendeley.com/documents/?uuid=979e1016-fd09-4d8e-bacb-e7ea36d240fe"]}],"mendeley":{"formattedCitation":"(Castro-Guerrero &lt;i&gt;et al&lt;/i&gt;, 2010)","plainTextFormattedCitation":"(Castro-Guerrero et al, 2010)","previouslyFormattedCitation":"(Castro-Guerrero &lt;i&gt;et al&lt;/i&gt;, 2010)"},"properties":{"noteIndex":0},"schema":"https://github.com/citation-style-language/schema/raw/master/csl-citation.json"}</w:instrText>
            </w:r>
            <w:r w:rsidRPr="00E97FC1">
              <w:rPr>
                <w:rFonts w:ascii="Helvetica" w:hAnsi="Helvetica" w:cs="Helvetica"/>
                <w:noProof/>
                <w:sz w:val="16"/>
                <w:szCs w:val="20"/>
                <w:lang w:val="en-GB"/>
              </w:rPr>
              <w:fldChar w:fldCharType="separate"/>
            </w:r>
            <w:r w:rsidRPr="00E97FC1">
              <w:rPr>
                <w:rFonts w:ascii="Helvetica" w:hAnsi="Helvetica" w:cs="Helvetica"/>
                <w:noProof/>
                <w:sz w:val="16"/>
                <w:szCs w:val="20"/>
                <w:lang w:val="en-GB"/>
              </w:rPr>
              <w:t xml:space="preserve">(Castro-Guerrero </w:t>
            </w:r>
            <w:r w:rsidRPr="00E97FC1">
              <w:rPr>
                <w:rFonts w:ascii="Helvetica" w:hAnsi="Helvetica" w:cs="Helvetica"/>
                <w:i/>
                <w:noProof/>
                <w:sz w:val="16"/>
                <w:szCs w:val="20"/>
                <w:lang w:val="en-GB"/>
              </w:rPr>
              <w:t>et al</w:t>
            </w:r>
            <w:r w:rsidRPr="00E97FC1">
              <w:rPr>
                <w:rFonts w:ascii="Helvetica" w:hAnsi="Helvetica" w:cs="Helvetica"/>
                <w:noProof/>
                <w:sz w:val="16"/>
                <w:szCs w:val="20"/>
                <w:lang w:val="en-GB"/>
              </w:rPr>
              <w:t>, 2010)</w:t>
            </w:r>
            <w:r w:rsidRPr="00E97FC1">
              <w:rPr>
                <w:rFonts w:ascii="Helvetica" w:hAnsi="Helvetica" w:cs="Helvetica"/>
                <w:noProof/>
                <w:sz w:val="16"/>
                <w:szCs w:val="20"/>
                <w:lang w:val="en-GB"/>
              </w:rPr>
              <w:fldChar w:fldCharType="end"/>
            </w:r>
          </w:p>
        </w:tc>
      </w:tr>
      <w:tr w:rsidR="002471A8" w:rsidRPr="00E97FC1" w14:paraId="1507EAF5" w14:textId="77777777" w:rsidTr="002471A8">
        <w:trPr>
          <w:trHeight w:val="65"/>
        </w:trPr>
        <w:tc>
          <w:tcPr>
            <w:tcW w:w="531" w:type="pct"/>
          </w:tcPr>
          <w:p w14:paraId="7549239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R156A</w:t>
            </w:r>
          </w:p>
        </w:tc>
        <w:tc>
          <w:tcPr>
            <w:tcW w:w="1314" w:type="pct"/>
            <w:vMerge/>
          </w:tcPr>
          <w:p w14:paraId="11E878E9" w14:textId="77777777" w:rsidR="002471A8" w:rsidRPr="00E97FC1" w:rsidRDefault="002471A8" w:rsidP="002471A8">
            <w:pPr>
              <w:rPr>
                <w:rFonts w:ascii="Helvetica" w:hAnsi="Helvetica" w:cs="Helvetica"/>
                <w:bCs/>
                <w:sz w:val="20"/>
                <w:szCs w:val="20"/>
                <w:lang w:val="en-GB"/>
              </w:rPr>
            </w:pPr>
          </w:p>
        </w:tc>
        <w:tc>
          <w:tcPr>
            <w:tcW w:w="721" w:type="pct"/>
          </w:tcPr>
          <w:p w14:paraId="1E7336B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586" w:type="pct"/>
          </w:tcPr>
          <w:p w14:paraId="450713E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124%</w:t>
            </w:r>
          </w:p>
        </w:tc>
        <w:tc>
          <w:tcPr>
            <w:tcW w:w="631" w:type="pct"/>
          </w:tcPr>
          <w:p w14:paraId="3B933D5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123-131%</w:t>
            </w:r>
          </w:p>
        </w:tc>
        <w:tc>
          <w:tcPr>
            <w:tcW w:w="587" w:type="pct"/>
          </w:tcPr>
          <w:p w14:paraId="1AA503D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630" w:type="pct"/>
          </w:tcPr>
          <w:p w14:paraId="4790B1F5" w14:textId="209C309C" w:rsidR="002471A8" w:rsidRPr="00E97FC1" w:rsidRDefault="002471A8" w:rsidP="002471A8">
            <w:pPr>
              <w:rPr>
                <w:rFonts w:ascii="Helvetica" w:hAnsi="Helvetica" w:cs="Helvetica"/>
                <w:noProof/>
                <w:sz w:val="16"/>
                <w:szCs w:val="20"/>
                <w:lang w:val="en-GB"/>
              </w:rPr>
            </w:pPr>
            <w:r w:rsidRPr="00E97FC1">
              <w:rPr>
                <w:rFonts w:ascii="Helvetica" w:hAnsi="Helvetica" w:cs="Helvetica"/>
                <w:noProof/>
                <w:sz w:val="16"/>
                <w:szCs w:val="20"/>
                <w:lang w:val="en-GB"/>
              </w:rPr>
              <w:fldChar w:fldCharType="begin" w:fldLock="1"/>
            </w:r>
            <w:r w:rsidR="00DC25DF" w:rsidRPr="00E97FC1">
              <w:rPr>
                <w:rFonts w:ascii="Helvetica" w:hAnsi="Helvetica" w:cs="Helvetica"/>
                <w:noProof/>
                <w:sz w:val="16"/>
                <w:szCs w:val="20"/>
                <w:lang w:val="en-GB"/>
              </w:rPr>
              <w:instrText>ADDIN CSL_CITATION {"citationItems":[{"id":"ITEM-1","itemData":{"DOI":"10.1021/bi100885v","ISSN":"1520-4995 (Electronic)","PMID":"20979355","abstract":"The prokaryotic proton-translocating NADH-quinone oxidoreductase (NDH-1) is an  L-shaped membrane-bound enzyme that contains 14 subunits (NuoA-NuoN or Nqo1-Nqo14). All subunits have their counterparts in the eukaryotic enzyme (complex I). NDH-1 consists of two domains: the peripheral arm (NuoB, -C, -D, -E, -F, -G, and -I) and the membrane arm (NuoA, -H, -J, -K, -L, -M, and -N). In Escherichia coli NDH-1, the hydrophilic subunits NuoC/Nqo5/30k and NuoD/Nqo4/49k are fused together in a single polypeptide as the NuoCD subunit. The NuoCD subunit is the only subunit that does not bear a cofactor in the peripheral arm. While some roles for inhibitor and quinone association have been reported for the NuoD segment, structural and functional roles of the NuoC segment remain mostly elusive. In this work, 14 highly conserved residues of the NuoC segment were mutated and 21 mutants were constructed using the chromosomal gene manipulation technique. From the enzymatic assays and immunochemical and blue-native gel analyses, it was found that residues Glu-138, Glu-140, and Asp-143 that are thought to be in the third α-helix are absolutely required for the energy-transducing NDH-1 activities and the assembly of the whole enzyme. Together with available information for the hydrophobic subunits, we propose that Glu-138, Glu-140, and Asp-143 of the NuoC segment may have a pivotal role in the structural stability of NDH-1.","author":[{"dropping-particle":"","family":"Castro-Guerrero","given":"Norma","non-dropping-particle":"","parse-names":false,"suffix":""},{"dropping-particle":"","family":"Sinha","given":"Prem Kumar","non-dropping-particle":"","parse-names":false,"suffix":""},{"dropping-particle":"","family":"Torres-Bacete","given":"Jesus","non-dropping-particle":"","parse-names":false,"suffix":""},{"dropping-particle":"","family":"Matsuno-Yagi","given":"Akemi","non-dropping-particle":"","parse-names":false,"suffix":""},{"dropping-particle":"","family":"Yagi","given":"Takao","non-dropping-particle":"","parse-names":false,"suffix":""}],"container-title":"Biochemistry","id":"ITEM-1","issue":"47","issued":{"date-parts":[["2010","11"]]},"language":"eng","page":"10072-10080","title":"Pivotal roles of three conserved carboxyl residues of the NuoC (30k) segment in the  structural integrity of proton-translocating NADH-quinone oxidoreductase from Escherichia coli.","type":"article-journal","volume":"49"},"uris":["http://www.mendeley.com/documents/?uuid=979e1016-fd09-4d8e-bacb-e7ea36d240fe"]}],"mendeley":{"formattedCitation":"(Castro-Guerrero &lt;i&gt;et al&lt;/i&gt;, 2010)","plainTextFormattedCitation":"(Castro-Guerrero et al, 2010)","previouslyFormattedCitation":"(Castro-Guerrero &lt;i&gt;et al&lt;/i&gt;, 2010)"},"properties":{"noteIndex":0},"schema":"https://github.com/citation-style-language/schema/raw/master/csl-citation.json"}</w:instrText>
            </w:r>
            <w:r w:rsidRPr="00E97FC1">
              <w:rPr>
                <w:rFonts w:ascii="Helvetica" w:hAnsi="Helvetica" w:cs="Helvetica"/>
                <w:noProof/>
                <w:sz w:val="16"/>
                <w:szCs w:val="20"/>
                <w:lang w:val="en-GB"/>
              </w:rPr>
              <w:fldChar w:fldCharType="separate"/>
            </w:r>
            <w:r w:rsidRPr="00E97FC1">
              <w:rPr>
                <w:rFonts w:ascii="Helvetica" w:hAnsi="Helvetica" w:cs="Helvetica"/>
                <w:noProof/>
                <w:sz w:val="16"/>
                <w:szCs w:val="20"/>
                <w:lang w:val="en-GB"/>
              </w:rPr>
              <w:t xml:space="preserve">(Castro-Guerrero </w:t>
            </w:r>
            <w:r w:rsidRPr="00E97FC1">
              <w:rPr>
                <w:rFonts w:ascii="Helvetica" w:hAnsi="Helvetica" w:cs="Helvetica"/>
                <w:i/>
                <w:noProof/>
                <w:sz w:val="16"/>
                <w:szCs w:val="20"/>
                <w:lang w:val="en-GB"/>
              </w:rPr>
              <w:t>et al</w:t>
            </w:r>
            <w:r w:rsidRPr="00E97FC1">
              <w:rPr>
                <w:rFonts w:ascii="Helvetica" w:hAnsi="Helvetica" w:cs="Helvetica"/>
                <w:noProof/>
                <w:sz w:val="16"/>
                <w:szCs w:val="20"/>
                <w:lang w:val="en-GB"/>
              </w:rPr>
              <w:t>, 2010)</w:t>
            </w:r>
            <w:r w:rsidRPr="00E97FC1">
              <w:rPr>
                <w:rFonts w:ascii="Helvetica" w:hAnsi="Helvetica" w:cs="Helvetica"/>
                <w:noProof/>
                <w:sz w:val="16"/>
                <w:szCs w:val="20"/>
                <w:lang w:val="en-GB"/>
              </w:rPr>
              <w:fldChar w:fldCharType="end"/>
            </w:r>
          </w:p>
        </w:tc>
      </w:tr>
      <w:tr w:rsidR="002471A8" w:rsidRPr="00E97FC1" w14:paraId="3AC49FE4" w14:textId="77777777" w:rsidTr="002471A8">
        <w:trPr>
          <w:trHeight w:val="65"/>
        </w:trPr>
        <w:tc>
          <w:tcPr>
            <w:tcW w:w="531" w:type="pct"/>
          </w:tcPr>
          <w:p w14:paraId="6BCD828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G166A</w:t>
            </w:r>
          </w:p>
        </w:tc>
        <w:tc>
          <w:tcPr>
            <w:tcW w:w="1314" w:type="pct"/>
            <w:vMerge/>
          </w:tcPr>
          <w:p w14:paraId="46149655" w14:textId="77777777" w:rsidR="002471A8" w:rsidRPr="00E97FC1" w:rsidRDefault="002471A8" w:rsidP="002471A8">
            <w:pPr>
              <w:rPr>
                <w:rFonts w:ascii="Helvetica" w:hAnsi="Helvetica" w:cs="Helvetica"/>
                <w:bCs/>
                <w:sz w:val="20"/>
                <w:szCs w:val="20"/>
                <w:lang w:val="en-GB"/>
              </w:rPr>
            </w:pPr>
          </w:p>
        </w:tc>
        <w:tc>
          <w:tcPr>
            <w:tcW w:w="721" w:type="pct"/>
          </w:tcPr>
          <w:p w14:paraId="1ED8244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586" w:type="pct"/>
          </w:tcPr>
          <w:p w14:paraId="64F58D9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113%</w:t>
            </w:r>
          </w:p>
        </w:tc>
        <w:tc>
          <w:tcPr>
            <w:tcW w:w="631" w:type="pct"/>
          </w:tcPr>
          <w:p w14:paraId="3B46B29A"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117%</w:t>
            </w:r>
          </w:p>
        </w:tc>
        <w:tc>
          <w:tcPr>
            <w:tcW w:w="587" w:type="pct"/>
          </w:tcPr>
          <w:p w14:paraId="223E8D5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630" w:type="pct"/>
          </w:tcPr>
          <w:p w14:paraId="54C23DAB" w14:textId="1C1EEE00" w:rsidR="002471A8" w:rsidRPr="00E97FC1" w:rsidRDefault="002471A8" w:rsidP="002471A8">
            <w:pPr>
              <w:rPr>
                <w:rFonts w:ascii="Helvetica" w:hAnsi="Helvetica" w:cs="Helvetica"/>
                <w:noProof/>
                <w:sz w:val="16"/>
                <w:szCs w:val="20"/>
                <w:lang w:val="en-GB"/>
              </w:rPr>
            </w:pPr>
            <w:r w:rsidRPr="00E97FC1">
              <w:rPr>
                <w:rFonts w:ascii="Helvetica" w:hAnsi="Helvetica" w:cs="Helvetica"/>
                <w:noProof/>
                <w:sz w:val="16"/>
                <w:szCs w:val="20"/>
                <w:lang w:val="en-GB"/>
              </w:rPr>
              <w:fldChar w:fldCharType="begin" w:fldLock="1"/>
            </w:r>
            <w:r w:rsidR="00DC25DF" w:rsidRPr="00E97FC1">
              <w:rPr>
                <w:rFonts w:ascii="Helvetica" w:hAnsi="Helvetica" w:cs="Helvetica"/>
                <w:noProof/>
                <w:sz w:val="16"/>
                <w:szCs w:val="20"/>
                <w:lang w:val="en-GB"/>
              </w:rPr>
              <w:instrText>ADDIN CSL_CITATION {"citationItems":[{"id":"ITEM-1","itemData":{"DOI":"10.1021/bi100885v","ISSN":"1520-4995 (Electronic)","PMID":"20979355","abstract":"The prokaryotic proton-translocating NADH-quinone oxidoreductase (NDH-1) is an  L-shaped membrane-bound enzyme that contains 14 subunits (NuoA-NuoN or Nqo1-Nqo14). All subunits have their counterparts in the eukaryotic enzyme (complex I). NDH-1 consists of two domains: the peripheral arm (NuoB, -C, -D, -E, -F, -G, and -I) and the membrane arm (NuoA, -H, -J, -K, -L, -M, and -N). In Escherichia coli NDH-1, the hydrophilic subunits NuoC/Nqo5/30k and NuoD/Nqo4/49k are fused together in a single polypeptide as the NuoCD subunit. The NuoCD subunit is the only subunit that does not bear a cofactor in the peripheral arm. While some roles for inhibitor and quinone association have been reported for the NuoD segment, structural and functional roles of the NuoC segment remain mostly elusive. In this work, 14 highly conserved residues of the NuoC segment were mutated and 21 mutants were constructed using the chromosomal gene manipulation technique. From the enzymatic assays and immunochemical and blue-native gel analyses, it was found that residues Glu-138, Glu-140, and Asp-143 that are thought to be in the third α-helix are absolutely required for the energy-transducing NDH-1 activities and the assembly of the whole enzyme. Together with available information for the hydrophobic subunits, we propose that Glu-138, Glu-140, and Asp-143 of the NuoC segment may have a pivotal role in the structural stability of NDH-1.","author":[{"dropping-particle":"","family":"Castro-Guerrero","given":"Norma","non-dropping-particle":"","parse-names":false,"suffix":""},{"dropping-particle":"","family":"Sinha","given":"Prem Kumar","non-dropping-particle":"","parse-names":false,"suffix":""},{"dropping-particle":"","family":"Torres-Bacete","given":"Jesus","non-dropping-particle":"","parse-names":false,"suffix":""},{"dropping-particle":"","family":"Matsuno-Yagi","given":"Akemi","non-dropping-particle":"","parse-names":false,"suffix":""},{"dropping-particle":"","family":"Yagi","given":"Takao","non-dropping-particle":"","parse-names":false,"suffix":""}],"container-title":"Biochemistry","id":"ITEM-1","issue":"47","issued":{"date-parts":[["2010","11"]]},"language":"eng","page":"10072-10080","title":"Pivotal roles of three conserved carboxyl residues of the NuoC (30k) segment in the  structural integrity of proton-translocating NADH-quinone oxidoreductase from Escherichia coli.","type":"article-journal","volume":"49"},"uris":["http://www.mendeley.com/documents/?uuid=979e1016-fd09-4d8e-bacb-e7ea36d240fe"]}],"mendeley":{"formattedCitation":"(Castro-Guerrero &lt;i&gt;et al&lt;/i&gt;, 2010)","plainTextFormattedCitation":"(Castro-Guerrero et al, 2010)","previouslyFormattedCitation":"(Castro-Guerrero &lt;i&gt;et al&lt;/i&gt;, 2010)"},"properties":{"noteIndex":0},"schema":"https://github.com/citation-style-language/schema/raw/master/csl-citation.json"}</w:instrText>
            </w:r>
            <w:r w:rsidRPr="00E97FC1">
              <w:rPr>
                <w:rFonts w:ascii="Helvetica" w:hAnsi="Helvetica" w:cs="Helvetica"/>
                <w:noProof/>
                <w:sz w:val="16"/>
                <w:szCs w:val="20"/>
                <w:lang w:val="en-GB"/>
              </w:rPr>
              <w:fldChar w:fldCharType="separate"/>
            </w:r>
            <w:r w:rsidRPr="00E97FC1">
              <w:rPr>
                <w:rFonts w:ascii="Helvetica" w:hAnsi="Helvetica" w:cs="Helvetica"/>
                <w:noProof/>
                <w:sz w:val="16"/>
                <w:szCs w:val="20"/>
                <w:lang w:val="en-GB"/>
              </w:rPr>
              <w:t xml:space="preserve">(Castro-Guerrero </w:t>
            </w:r>
            <w:r w:rsidRPr="00E97FC1">
              <w:rPr>
                <w:rFonts w:ascii="Helvetica" w:hAnsi="Helvetica" w:cs="Helvetica"/>
                <w:i/>
                <w:noProof/>
                <w:sz w:val="16"/>
                <w:szCs w:val="20"/>
                <w:lang w:val="en-GB"/>
              </w:rPr>
              <w:t>et al</w:t>
            </w:r>
            <w:r w:rsidRPr="00E97FC1">
              <w:rPr>
                <w:rFonts w:ascii="Helvetica" w:hAnsi="Helvetica" w:cs="Helvetica"/>
                <w:noProof/>
                <w:sz w:val="16"/>
                <w:szCs w:val="20"/>
                <w:lang w:val="en-GB"/>
              </w:rPr>
              <w:t>, 2010)</w:t>
            </w:r>
            <w:r w:rsidRPr="00E97FC1">
              <w:rPr>
                <w:rFonts w:ascii="Helvetica" w:hAnsi="Helvetica" w:cs="Helvetica"/>
                <w:noProof/>
                <w:sz w:val="16"/>
                <w:szCs w:val="20"/>
                <w:lang w:val="en-GB"/>
              </w:rPr>
              <w:fldChar w:fldCharType="end"/>
            </w:r>
          </w:p>
        </w:tc>
      </w:tr>
      <w:tr w:rsidR="002471A8" w:rsidRPr="00E97FC1" w14:paraId="5E72A3D4" w14:textId="77777777" w:rsidTr="002471A8">
        <w:trPr>
          <w:trHeight w:val="65"/>
        </w:trPr>
        <w:tc>
          <w:tcPr>
            <w:tcW w:w="531" w:type="pct"/>
          </w:tcPr>
          <w:p w14:paraId="2436AE5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H167A</w:t>
            </w:r>
          </w:p>
        </w:tc>
        <w:tc>
          <w:tcPr>
            <w:tcW w:w="1314" w:type="pct"/>
            <w:vMerge/>
          </w:tcPr>
          <w:p w14:paraId="60CB2881" w14:textId="77777777" w:rsidR="002471A8" w:rsidRPr="00E97FC1" w:rsidRDefault="002471A8" w:rsidP="002471A8">
            <w:pPr>
              <w:rPr>
                <w:rFonts w:ascii="Helvetica" w:hAnsi="Helvetica" w:cs="Helvetica"/>
                <w:bCs/>
                <w:sz w:val="20"/>
                <w:szCs w:val="20"/>
                <w:lang w:val="en-GB"/>
              </w:rPr>
            </w:pPr>
          </w:p>
        </w:tc>
        <w:tc>
          <w:tcPr>
            <w:tcW w:w="721" w:type="pct"/>
          </w:tcPr>
          <w:p w14:paraId="6CDDC217"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586" w:type="pct"/>
          </w:tcPr>
          <w:p w14:paraId="126BD56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93%</w:t>
            </w:r>
          </w:p>
        </w:tc>
        <w:tc>
          <w:tcPr>
            <w:tcW w:w="631" w:type="pct"/>
          </w:tcPr>
          <w:p w14:paraId="4DE6C3B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74-97%</w:t>
            </w:r>
          </w:p>
        </w:tc>
        <w:tc>
          <w:tcPr>
            <w:tcW w:w="587" w:type="pct"/>
          </w:tcPr>
          <w:p w14:paraId="28EFCBA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630" w:type="pct"/>
          </w:tcPr>
          <w:p w14:paraId="12659786" w14:textId="6CAF7538" w:rsidR="002471A8" w:rsidRPr="00E97FC1" w:rsidRDefault="002471A8" w:rsidP="002471A8">
            <w:pPr>
              <w:rPr>
                <w:rFonts w:ascii="Helvetica" w:hAnsi="Helvetica" w:cs="Helvetica"/>
                <w:noProof/>
                <w:sz w:val="16"/>
                <w:szCs w:val="20"/>
                <w:lang w:val="en-GB"/>
              </w:rPr>
            </w:pPr>
            <w:r w:rsidRPr="00E97FC1">
              <w:rPr>
                <w:rFonts w:ascii="Helvetica" w:hAnsi="Helvetica" w:cs="Helvetica"/>
                <w:noProof/>
                <w:sz w:val="16"/>
                <w:szCs w:val="20"/>
                <w:lang w:val="en-GB"/>
              </w:rPr>
              <w:fldChar w:fldCharType="begin" w:fldLock="1"/>
            </w:r>
            <w:r w:rsidR="00DC25DF" w:rsidRPr="00E97FC1">
              <w:rPr>
                <w:rFonts w:ascii="Helvetica" w:hAnsi="Helvetica" w:cs="Helvetica"/>
                <w:noProof/>
                <w:sz w:val="16"/>
                <w:szCs w:val="20"/>
                <w:lang w:val="en-GB"/>
              </w:rPr>
              <w:instrText>ADDIN CSL_CITATION {"citationItems":[{"id":"ITEM-1","itemData":{"DOI":"10.1021/bi100885v","ISSN":"1520-4995 (Electronic)","PMID":"20979355","abstract":"The prokaryotic proton-translocating NADH-quinone oxidoreductase (NDH-1) is an  L-shaped membrane-bound enzyme that contains 14 subunits (NuoA-NuoN or Nqo1-Nqo14). All subunits have their counterparts in the eukaryotic enzyme (complex I). NDH-1 consists of two domains: the peripheral arm (NuoB, -C, -D, -E, -F, -G, and -I) and the membrane arm (NuoA, -H, -J, -K, -L, -M, and -N). In Escherichia coli NDH-1, the hydrophilic subunits NuoC/Nqo5/30k and NuoD/Nqo4/49k are fused together in a single polypeptide as the NuoCD subunit. The NuoCD subunit is the only subunit that does not bear a cofactor in the peripheral arm. While some roles for inhibitor and quinone association have been reported for the NuoD segment, structural and functional roles of the NuoC segment remain mostly elusive. In this work, 14 highly conserved residues of the NuoC segment were mutated and 21 mutants were constructed using the chromosomal gene manipulation technique. From the enzymatic assays and immunochemical and blue-native gel analyses, it was found that residues Glu-138, Glu-140, and Asp-143 that are thought to be in the third α-helix are absolutely required for the energy-transducing NDH-1 activities and the assembly of the whole enzyme. Together with available information for the hydrophobic subunits, we propose that Glu-138, Glu-140, and Asp-143 of the NuoC segment may have a pivotal role in the structural stability of NDH-1.","author":[{"dropping-particle":"","family":"Castro-Guerrero","given":"Norma","non-dropping-particle":"","parse-names":false,"suffix":""},{"dropping-particle":"","family":"Sinha","given":"Prem Kumar","non-dropping-particle":"","parse-names":false,"suffix":""},{"dropping-particle":"","family":"Torres-Bacete","given":"Jesus","non-dropping-particle":"","parse-names":false,"suffix":""},{"dropping-particle":"","family":"Matsuno-Yagi","given":"Akemi","non-dropping-particle":"","parse-names":false,"suffix":""},{"dropping-particle":"","family":"Yagi","given":"Takao","non-dropping-particle":"","parse-names":false,"suffix":""}],"container-title":"Biochemistry","id":"ITEM-1","issue":"47","issued":{"date-parts":[["2010","11"]]},"language":"eng","page":"10072-10080","title":"Pivotal roles of three conserved carboxyl residues of the NuoC (30k) segment in the  structural integrity of proton-translocating NADH-quinone oxidoreductase from Escherichia coli.","type":"article-journal","volume":"49"},"uris":["http://www.mendeley.com/documents/?uuid=979e1016-fd09-4d8e-bacb-e7ea36d240fe"]}],"mendeley":{"formattedCitation":"(Castro-Guerrero &lt;i&gt;et al&lt;/i&gt;, 2010)","plainTextFormattedCitation":"(Castro-Guerrero et al, 2010)","previouslyFormattedCitation":"(Castro-Guerrero &lt;i&gt;et al&lt;/i&gt;, 2010)"},"properties":{"noteIndex":0},"schema":"https://github.com/citation-style-language/schema/raw/master/csl-citation.json"}</w:instrText>
            </w:r>
            <w:r w:rsidRPr="00E97FC1">
              <w:rPr>
                <w:rFonts w:ascii="Helvetica" w:hAnsi="Helvetica" w:cs="Helvetica"/>
                <w:noProof/>
                <w:sz w:val="16"/>
                <w:szCs w:val="20"/>
                <w:lang w:val="en-GB"/>
              </w:rPr>
              <w:fldChar w:fldCharType="separate"/>
            </w:r>
            <w:r w:rsidRPr="00E97FC1">
              <w:rPr>
                <w:rFonts w:ascii="Helvetica" w:hAnsi="Helvetica" w:cs="Helvetica"/>
                <w:noProof/>
                <w:sz w:val="16"/>
                <w:szCs w:val="20"/>
                <w:lang w:val="en-GB"/>
              </w:rPr>
              <w:t xml:space="preserve">(Castro-Guerrero </w:t>
            </w:r>
            <w:r w:rsidRPr="00E97FC1">
              <w:rPr>
                <w:rFonts w:ascii="Helvetica" w:hAnsi="Helvetica" w:cs="Helvetica"/>
                <w:i/>
                <w:noProof/>
                <w:sz w:val="16"/>
                <w:szCs w:val="20"/>
                <w:lang w:val="en-GB"/>
              </w:rPr>
              <w:t>et al</w:t>
            </w:r>
            <w:r w:rsidRPr="00E97FC1">
              <w:rPr>
                <w:rFonts w:ascii="Helvetica" w:hAnsi="Helvetica" w:cs="Helvetica"/>
                <w:noProof/>
                <w:sz w:val="16"/>
                <w:szCs w:val="20"/>
                <w:lang w:val="en-GB"/>
              </w:rPr>
              <w:t>, 2010)</w:t>
            </w:r>
            <w:r w:rsidRPr="00E97FC1">
              <w:rPr>
                <w:rFonts w:ascii="Helvetica" w:hAnsi="Helvetica" w:cs="Helvetica"/>
                <w:noProof/>
                <w:sz w:val="16"/>
                <w:szCs w:val="20"/>
                <w:lang w:val="en-GB"/>
              </w:rPr>
              <w:fldChar w:fldCharType="end"/>
            </w:r>
          </w:p>
        </w:tc>
      </w:tr>
      <w:tr w:rsidR="002471A8" w:rsidRPr="00E97FC1" w14:paraId="0AC5BA94" w14:textId="77777777" w:rsidTr="002471A8">
        <w:trPr>
          <w:trHeight w:val="65"/>
        </w:trPr>
        <w:tc>
          <w:tcPr>
            <w:tcW w:w="531" w:type="pct"/>
          </w:tcPr>
          <w:p w14:paraId="6F03E60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P168A</w:t>
            </w:r>
          </w:p>
        </w:tc>
        <w:tc>
          <w:tcPr>
            <w:tcW w:w="1314" w:type="pct"/>
            <w:vMerge w:val="restart"/>
          </w:tcPr>
          <w:p w14:paraId="039CE84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vertAlign w:val="subscript"/>
                <w:lang w:val="en-GB"/>
              </w:rPr>
              <w:t>CD</w:t>
            </w:r>
            <w:r w:rsidRPr="00E97FC1">
              <w:rPr>
                <w:rFonts w:ascii="Helvetica" w:hAnsi="Helvetica" w:cs="Helvetica"/>
                <w:bCs/>
                <w:sz w:val="20"/>
                <w:szCs w:val="20"/>
                <w:lang w:val="en-GB"/>
              </w:rPr>
              <w:t>LHL</w:t>
            </w:r>
          </w:p>
        </w:tc>
        <w:tc>
          <w:tcPr>
            <w:tcW w:w="721" w:type="pct"/>
          </w:tcPr>
          <w:p w14:paraId="35887D5B"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586" w:type="pct"/>
          </w:tcPr>
          <w:p w14:paraId="503DEC6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91%</w:t>
            </w:r>
          </w:p>
        </w:tc>
        <w:tc>
          <w:tcPr>
            <w:tcW w:w="631" w:type="pct"/>
          </w:tcPr>
          <w:p w14:paraId="72A38EF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75-84%</w:t>
            </w:r>
          </w:p>
        </w:tc>
        <w:tc>
          <w:tcPr>
            <w:tcW w:w="587" w:type="pct"/>
          </w:tcPr>
          <w:p w14:paraId="07B0D8F4"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630" w:type="pct"/>
          </w:tcPr>
          <w:p w14:paraId="267FAABC" w14:textId="4A8E0EEC" w:rsidR="002471A8" w:rsidRPr="00E97FC1" w:rsidRDefault="002471A8" w:rsidP="002471A8">
            <w:pPr>
              <w:rPr>
                <w:rFonts w:ascii="Helvetica" w:hAnsi="Helvetica" w:cs="Helvetica"/>
                <w:noProof/>
                <w:sz w:val="16"/>
                <w:szCs w:val="20"/>
                <w:lang w:val="en-GB"/>
              </w:rPr>
            </w:pPr>
            <w:r w:rsidRPr="00E97FC1">
              <w:rPr>
                <w:rFonts w:ascii="Helvetica" w:hAnsi="Helvetica" w:cs="Helvetica"/>
                <w:noProof/>
                <w:sz w:val="16"/>
                <w:szCs w:val="20"/>
                <w:lang w:val="en-GB"/>
              </w:rPr>
              <w:fldChar w:fldCharType="begin" w:fldLock="1"/>
            </w:r>
            <w:r w:rsidR="00DC25DF" w:rsidRPr="00E97FC1">
              <w:rPr>
                <w:rFonts w:ascii="Helvetica" w:hAnsi="Helvetica" w:cs="Helvetica"/>
                <w:noProof/>
                <w:sz w:val="16"/>
                <w:szCs w:val="20"/>
                <w:lang w:val="en-GB"/>
              </w:rPr>
              <w:instrText>ADDIN CSL_CITATION {"citationItems":[{"id":"ITEM-1","itemData":{"DOI":"10.1021/bi100885v","ISSN":"1520-4995 (Electronic)","PMID":"20979355","abstract":"The prokaryotic proton-translocating NADH-quinone oxidoreductase (NDH-1) is an  L-shaped membrane-bound enzyme that contains 14 subunits (NuoA-NuoN or Nqo1-Nqo14). All subunits have their counterparts in the eukaryotic enzyme (complex I). NDH-1 consists of two domains: the peripheral arm (NuoB, -C, -D, -E, -F, -G, and -I) and the membrane arm (NuoA, -H, -J, -K, -L, -M, and -N). In Escherichia coli NDH-1, the hydrophilic subunits NuoC/Nqo5/30k and NuoD/Nqo4/49k are fused together in a single polypeptide as the NuoCD subunit. The NuoCD subunit is the only subunit that does not bear a cofactor in the peripheral arm. While some roles for inhibitor and quinone association have been reported for the NuoD segment, structural and functional roles of the NuoC segment remain mostly elusive. In this work, 14 highly conserved residues of the NuoC segment were mutated and 21 mutants were constructed using the chromosomal gene manipulation technique. From the enzymatic assays and immunochemical and blue-native gel analyses, it was found that residues Glu-138, Glu-140, and Asp-143 that are thought to be in the third α-helix are absolutely required for the energy-transducing NDH-1 activities and the assembly of the whole enzyme. Together with available information for the hydrophobic subunits, we propose that Glu-138, Glu-140, and Asp-143 of the NuoC segment may have a pivotal role in the structural stability of NDH-1.","author":[{"dropping-particle":"","family":"Castro-Guerrero","given":"Norma","non-dropping-particle":"","parse-names":false,"suffix":""},{"dropping-particle":"","family":"Sinha","given":"Prem Kumar","non-dropping-particle":"","parse-names":false,"suffix":""},{"dropping-particle":"","family":"Torres-Bacete","given":"Jesus","non-dropping-particle":"","parse-names":false,"suffix":""},{"dropping-particle":"","family":"Matsuno-Yagi","given":"Akemi","non-dropping-particle":"","parse-names":false,"suffix":""},{"dropping-particle":"","family":"Yagi","given":"Takao","non-dropping-particle":"","parse-names":false,"suffix":""}],"container-title":"Biochemistry","id":"ITEM-1","issue":"47","issued":{"date-parts":[["2010","11"]]},"language":"eng","page":"10072-10080","title":"Pivotal roles of three conserved carboxyl residues of the NuoC (30k) segment in the  structural integrity of proton-translocating NADH-quinone oxidoreductase from Escherichia coli.","type":"article-journal","volume":"49"},"uris":["http://www.mendeley.com/documents/?uuid=979e1016-fd09-4d8e-bacb-e7ea36d240fe"]}],"mendeley":{"formattedCitation":"(Castro-Guerrero &lt;i&gt;et al&lt;/i&gt;, 2010)","plainTextFormattedCitation":"(Castro-Guerrero et al, 2010)","previouslyFormattedCitation":"(Castro-Guerrero &lt;i&gt;et al&lt;/i&gt;, 2010)"},"properties":{"noteIndex":0},"schema":"https://github.com/citation-style-language/schema/raw/master/csl-citation.json"}</w:instrText>
            </w:r>
            <w:r w:rsidRPr="00E97FC1">
              <w:rPr>
                <w:rFonts w:ascii="Helvetica" w:hAnsi="Helvetica" w:cs="Helvetica"/>
                <w:noProof/>
                <w:sz w:val="16"/>
                <w:szCs w:val="20"/>
                <w:lang w:val="en-GB"/>
              </w:rPr>
              <w:fldChar w:fldCharType="separate"/>
            </w:r>
            <w:r w:rsidRPr="00E97FC1">
              <w:rPr>
                <w:rFonts w:ascii="Helvetica" w:hAnsi="Helvetica" w:cs="Helvetica"/>
                <w:noProof/>
                <w:sz w:val="16"/>
                <w:szCs w:val="20"/>
                <w:lang w:val="en-GB"/>
              </w:rPr>
              <w:t xml:space="preserve">(Castro-Guerrero </w:t>
            </w:r>
            <w:r w:rsidRPr="00E97FC1">
              <w:rPr>
                <w:rFonts w:ascii="Helvetica" w:hAnsi="Helvetica" w:cs="Helvetica"/>
                <w:i/>
                <w:noProof/>
                <w:sz w:val="16"/>
                <w:szCs w:val="20"/>
                <w:lang w:val="en-GB"/>
              </w:rPr>
              <w:t>et al</w:t>
            </w:r>
            <w:r w:rsidRPr="00E97FC1">
              <w:rPr>
                <w:rFonts w:ascii="Helvetica" w:hAnsi="Helvetica" w:cs="Helvetica"/>
                <w:noProof/>
                <w:sz w:val="16"/>
                <w:szCs w:val="20"/>
                <w:lang w:val="en-GB"/>
              </w:rPr>
              <w:t>, 2010)</w:t>
            </w:r>
            <w:r w:rsidRPr="00E97FC1">
              <w:rPr>
                <w:rFonts w:ascii="Helvetica" w:hAnsi="Helvetica" w:cs="Helvetica"/>
                <w:noProof/>
                <w:sz w:val="16"/>
                <w:szCs w:val="20"/>
                <w:lang w:val="en-GB"/>
              </w:rPr>
              <w:fldChar w:fldCharType="end"/>
            </w:r>
          </w:p>
        </w:tc>
      </w:tr>
      <w:tr w:rsidR="002471A8" w:rsidRPr="00E97FC1" w14:paraId="2CC7B108" w14:textId="77777777" w:rsidTr="002471A8">
        <w:trPr>
          <w:trHeight w:val="65"/>
        </w:trPr>
        <w:tc>
          <w:tcPr>
            <w:tcW w:w="531" w:type="pct"/>
          </w:tcPr>
          <w:p w14:paraId="5E936FC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K171A</w:t>
            </w:r>
          </w:p>
        </w:tc>
        <w:tc>
          <w:tcPr>
            <w:tcW w:w="1314" w:type="pct"/>
            <w:vMerge/>
          </w:tcPr>
          <w:p w14:paraId="5934A925" w14:textId="77777777" w:rsidR="002471A8" w:rsidRPr="00E97FC1" w:rsidRDefault="002471A8" w:rsidP="002471A8">
            <w:pPr>
              <w:rPr>
                <w:rFonts w:ascii="Helvetica" w:hAnsi="Helvetica" w:cs="Helvetica"/>
                <w:bCs/>
                <w:sz w:val="20"/>
                <w:szCs w:val="20"/>
                <w:lang w:val="en-GB"/>
              </w:rPr>
            </w:pPr>
          </w:p>
        </w:tc>
        <w:tc>
          <w:tcPr>
            <w:tcW w:w="721" w:type="pct"/>
          </w:tcPr>
          <w:p w14:paraId="5449C79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586" w:type="pct"/>
          </w:tcPr>
          <w:p w14:paraId="2D7A827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76%</w:t>
            </w:r>
          </w:p>
        </w:tc>
        <w:tc>
          <w:tcPr>
            <w:tcW w:w="631" w:type="pct"/>
          </w:tcPr>
          <w:p w14:paraId="4FECA35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71-80%</w:t>
            </w:r>
          </w:p>
        </w:tc>
        <w:tc>
          <w:tcPr>
            <w:tcW w:w="587" w:type="pct"/>
          </w:tcPr>
          <w:p w14:paraId="444327B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630" w:type="pct"/>
          </w:tcPr>
          <w:p w14:paraId="5F572232" w14:textId="6AA1D760" w:rsidR="002471A8" w:rsidRPr="00E97FC1" w:rsidRDefault="002471A8" w:rsidP="002471A8">
            <w:pPr>
              <w:rPr>
                <w:rFonts w:ascii="Helvetica" w:hAnsi="Helvetica" w:cs="Helvetica"/>
                <w:noProof/>
                <w:sz w:val="16"/>
                <w:szCs w:val="20"/>
                <w:lang w:val="en-GB"/>
              </w:rPr>
            </w:pPr>
            <w:r w:rsidRPr="00E97FC1">
              <w:rPr>
                <w:rFonts w:ascii="Helvetica" w:hAnsi="Helvetica" w:cs="Helvetica"/>
                <w:noProof/>
                <w:sz w:val="16"/>
                <w:szCs w:val="20"/>
                <w:lang w:val="en-GB"/>
              </w:rPr>
              <w:fldChar w:fldCharType="begin" w:fldLock="1"/>
            </w:r>
            <w:r w:rsidR="00DC25DF" w:rsidRPr="00E97FC1">
              <w:rPr>
                <w:rFonts w:ascii="Helvetica" w:hAnsi="Helvetica" w:cs="Helvetica"/>
                <w:noProof/>
                <w:sz w:val="16"/>
                <w:szCs w:val="20"/>
                <w:lang w:val="en-GB"/>
              </w:rPr>
              <w:instrText>ADDIN CSL_CITATION {"citationItems":[{"id":"ITEM-1","itemData":{"DOI":"10.1021/bi100885v","ISSN":"1520-4995 (Electronic)","PMID":"20979355","abstract":"The prokaryotic proton-translocating NADH-quinone oxidoreductase (NDH-1) is an  L-shaped membrane-bound enzyme that contains 14 subunits (NuoA-NuoN or Nqo1-Nqo14). All subunits have their counterparts in the eukaryotic enzyme (complex I). NDH-1 consists of two domains: the peripheral arm (NuoB, -C, -D, -E, -F, -G, and -I) and the membrane arm (NuoA, -H, -J, -K, -L, -M, and -N). In Escherichia coli NDH-1, the hydrophilic subunits NuoC/Nqo5/30k and NuoD/Nqo4/49k are fused together in a single polypeptide as the NuoCD subunit. The NuoCD subunit is the only subunit that does not bear a cofactor in the peripheral arm. While some roles for inhibitor and quinone association have been reported for the NuoD segment, structural and functional roles of the NuoC segment remain mostly elusive. In this work, 14 highly conserved residues of the NuoC segment were mutated and 21 mutants were constructed using the chromosomal gene manipulation technique. From the enzymatic assays and immunochemical and blue-native gel analyses, it was found that residues Glu-138, Glu-140, and Asp-143 that are thought to be in the third α-helix are absolutely required for the energy-transducing NDH-1 activities and the assembly of the whole enzyme. Together with available information for the hydrophobic subunits, we propose that Glu-138, Glu-140, and Asp-143 of the NuoC segment may have a pivotal role in the structural stability of NDH-1.","author":[{"dropping-particle":"","family":"Castro-Guerrero","given":"Norma","non-dropping-particle":"","parse-names":false,"suffix":""},{"dropping-particle":"","family":"Sinha","given":"Prem Kumar","non-dropping-particle":"","parse-names":false,"suffix":""},{"dropping-particle":"","family":"Torres-Bacete","given":"Jesus","non-dropping-particle":"","parse-names":false,"suffix":""},{"dropping-particle":"","family":"Matsuno-Yagi","given":"Akemi","non-dropping-particle":"","parse-names":false,"suffix":""},{"dropping-particle":"","family":"Yagi","given":"Takao","non-dropping-particle":"","parse-names":false,"suffix":""}],"container-title":"Biochemistry","id":"ITEM-1","issue":"47","issued":{"date-parts":[["2010","11"]]},"language":"eng","page":"10072-10080","title":"Pivotal roles of three conserved carboxyl residues of the NuoC (30k) segment in the  structural integrity of proton-translocating NADH-quinone oxidoreductase from Escherichia coli.","type":"article-journal","volume":"49"},"uris":["http://www.mendeley.com/documents/?uuid=979e1016-fd09-4d8e-bacb-e7ea36d240fe"]}],"mendeley":{"formattedCitation":"(Castro-Guerrero &lt;i&gt;et al&lt;/i&gt;, 2010)","plainTextFormattedCitation":"(Castro-Guerrero et al, 2010)","previouslyFormattedCitation":"(Castro-Guerrero &lt;i&gt;et al&lt;/i&gt;, 2010)"},"properties":{"noteIndex":0},"schema":"https://github.com/citation-style-language/schema/raw/master/csl-citation.json"}</w:instrText>
            </w:r>
            <w:r w:rsidRPr="00E97FC1">
              <w:rPr>
                <w:rFonts w:ascii="Helvetica" w:hAnsi="Helvetica" w:cs="Helvetica"/>
                <w:noProof/>
                <w:sz w:val="16"/>
                <w:szCs w:val="20"/>
                <w:lang w:val="en-GB"/>
              </w:rPr>
              <w:fldChar w:fldCharType="separate"/>
            </w:r>
            <w:r w:rsidRPr="00E97FC1">
              <w:rPr>
                <w:rFonts w:ascii="Helvetica" w:hAnsi="Helvetica" w:cs="Helvetica"/>
                <w:noProof/>
                <w:sz w:val="16"/>
                <w:szCs w:val="20"/>
                <w:lang w:val="en-GB"/>
              </w:rPr>
              <w:t xml:space="preserve">(Castro-Guerrero </w:t>
            </w:r>
            <w:r w:rsidRPr="00E97FC1">
              <w:rPr>
                <w:rFonts w:ascii="Helvetica" w:hAnsi="Helvetica" w:cs="Helvetica"/>
                <w:i/>
                <w:noProof/>
                <w:sz w:val="16"/>
                <w:szCs w:val="20"/>
                <w:lang w:val="en-GB"/>
              </w:rPr>
              <w:t>et al</w:t>
            </w:r>
            <w:r w:rsidRPr="00E97FC1">
              <w:rPr>
                <w:rFonts w:ascii="Helvetica" w:hAnsi="Helvetica" w:cs="Helvetica"/>
                <w:noProof/>
                <w:sz w:val="16"/>
                <w:szCs w:val="20"/>
                <w:lang w:val="en-GB"/>
              </w:rPr>
              <w:t>, 2010)</w:t>
            </w:r>
            <w:r w:rsidRPr="00E97FC1">
              <w:rPr>
                <w:rFonts w:ascii="Helvetica" w:hAnsi="Helvetica" w:cs="Helvetica"/>
                <w:noProof/>
                <w:sz w:val="16"/>
                <w:szCs w:val="20"/>
                <w:lang w:val="en-GB"/>
              </w:rPr>
              <w:fldChar w:fldCharType="end"/>
            </w:r>
          </w:p>
        </w:tc>
      </w:tr>
      <w:tr w:rsidR="002471A8" w:rsidRPr="00E97FC1" w14:paraId="5A73E3AE" w14:textId="77777777" w:rsidTr="002471A8">
        <w:trPr>
          <w:trHeight w:val="65"/>
        </w:trPr>
        <w:tc>
          <w:tcPr>
            <w:tcW w:w="531" w:type="pct"/>
          </w:tcPr>
          <w:p w14:paraId="03DF43B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K171R</w:t>
            </w:r>
          </w:p>
        </w:tc>
        <w:tc>
          <w:tcPr>
            <w:tcW w:w="1314" w:type="pct"/>
            <w:vMerge/>
          </w:tcPr>
          <w:p w14:paraId="2735AC15" w14:textId="77777777" w:rsidR="002471A8" w:rsidRPr="00E97FC1" w:rsidRDefault="002471A8" w:rsidP="002471A8">
            <w:pPr>
              <w:rPr>
                <w:rFonts w:ascii="Helvetica" w:hAnsi="Helvetica" w:cs="Helvetica"/>
                <w:bCs/>
                <w:sz w:val="20"/>
                <w:szCs w:val="20"/>
                <w:lang w:val="en-GB"/>
              </w:rPr>
            </w:pPr>
          </w:p>
        </w:tc>
        <w:tc>
          <w:tcPr>
            <w:tcW w:w="721" w:type="pct"/>
          </w:tcPr>
          <w:p w14:paraId="51176AF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586" w:type="pct"/>
          </w:tcPr>
          <w:p w14:paraId="0A7018B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80%</w:t>
            </w:r>
          </w:p>
        </w:tc>
        <w:tc>
          <w:tcPr>
            <w:tcW w:w="631" w:type="pct"/>
          </w:tcPr>
          <w:p w14:paraId="0971162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78-88%</w:t>
            </w:r>
          </w:p>
        </w:tc>
        <w:tc>
          <w:tcPr>
            <w:tcW w:w="587" w:type="pct"/>
          </w:tcPr>
          <w:p w14:paraId="526B785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630" w:type="pct"/>
          </w:tcPr>
          <w:p w14:paraId="7FF44E7C" w14:textId="1AC7B795" w:rsidR="002471A8" w:rsidRPr="00E97FC1" w:rsidRDefault="002471A8" w:rsidP="002471A8">
            <w:pPr>
              <w:rPr>
                <w:rFonts w:ascii="Helvetica" w:hAnsi="Helvetica" w:cs="Helvetica"/>
                <w:noProof/>
                <w:sz w:val="16"/>
                <w:szCs w:val="20"/>
                <w:lang w:val="en-GB"/>
              </w:rPr>
            </w:pPr>
            <w:r w:rsidRPr="00E97FC1">
              <w:rPr>
                <w:rFonts w:ascii="Helvetica" w:hAnsi="Helvetica" w:cs="Helvetica"/>
                <w:noProof/>
                <w:sz w:val="16"/>
                <w:szCs w:val="20"/>
                <w:lang w:val="en-GB"/>
              </w:rPr>
              <w:fldChar w:fldCharType="begin" w:fldLock="1"/>
            </w:r>
            <w:r w:rsidR="00DC25DF" w:rsidRPr="00E97FC1">
              <w:rPr>
                <w:rFonts w:ascii="Helvetica" w:hAnsi="Helvetica" w:cs="Helvetica"/>
                <w:noProof/>
                <w:sz w:val="16"/>
                <w:szCs w:val="20"/>
                <w:lang w:val="en-GB"/>
              </w:rPr>
              <w:instrText>ADDIN CSL_CITATION {"citationItems":[{"id":"ITEM-1","itemData":{"DOI":"10.1021/bi100885v","ISSN":"1520-4995 (Electronic)","PMID":"20979355","abstract":"The prokaryotic proton-translocating NADH-quinone oxidoreductase (NDH-1) is an  L-shaped membrane-bound enzyme that contains 14 subunits (NuoA-NuoN or Nqo1-Nqo14). All subunits have their counterparts in the eukaryotic enzyme (complex I). NDH-1 consists of two domains: the peripheral arm (NuoB, -C, -D, -E, -F, -G, and -I) and the membrane arm (NuoA, -H, -J, -K, -L, -M, and -N). In Escherichia coli NDH-1, the hydrophilic subunits NuoC/Nqo5/30k and NuoD/Nqo4/49k are fused together in a single polypeptide as the NuoCD subunit. The NuoCD subunit is the only subunit that does not bear a cofactor in the peripheral arm. While some roles for inhibitor and quinone association have been reported for the NuoD segment, structural and functional roles of the NuoC segment remain mostly elusive. In this work, 14 highly conserved residues of the NuoC segment were mutated and 21 mutants were constructed using the chromosomal gene manipulation technique. From the enzymatic assays and immunochemical and blue-native gel analyses, it was found that residues Glu-138, Glu-140, and Asp-143 that are thought to be in the third α-helix are absolutely required for the energy-transducing NDH-1 activities and the assembly of the whole enzyme. Together with available information for the hydrophobic subunits, we propose that Glu-138, Glu-140, and Asp-143 of the NuoC segment may have a pivotal role in the structural stability of NDH-1.","author":[{"dropping-particle":"","family":"Castro-Guerrero","given":"Norma","non-dropping-particle":"","parse-names":false,"suffix":""},{"dropping-particle":"","family":"Sinha","given":"Prem Kumar","non-dropping-particle":"","parse-names":false,"suffix":""},{"dropping-particle":"","family":"Torres-Bacete","given":"Jesus","non-dropping-particle":"","parse-names":false,"suffix":""},{"dropping-particle":"","family":"Matsuno-Yagi","given":"Akemi","non-dropping-particle":"","parse-names":false,"suffix":""},{"dropping-particle":"","family":"Yagi","given":"Takao","non-dropping-particle":"","parse-names":false,"suffix":""}],"container-title":"Biochemistry","id":"ITEM-1","issue":"47","issued":{"date-parts":[["2010","11"]]},"language":"eng","page":"10072-10080","title":"Pivotal roles of three conserved carboxyl residues of the NuoC (30k) segment in the  structural integrity of proton-translocating NADH-quinone oxidoreductase from Escherichia coli.","type":"article-journal","volume":"49"},"uris":["http://www.mendeley.com/documents/?uuid=979e1016-fd09-4d8e-bacb-e7ea36d240fe"]}],"mendeley":{"formattedCitation":"(Castro-Guerrero &lt;i&gt;et al&lt;/i&gt;, 2010)","plainTextFormattedCitation":"(Castro-Guerrero et al, 2010)","previouslyFormattedCitation":"(Castro-Guerrero &lt;i&gt;et al&lt;/i&gt;, 2010)"},"properties":{"noteIndex":0},"schema":"https://github.com/citation-style-language/schema/raw/master/csl-citation.json"}</w:instrText>
            </w:r>
            <w:r w:rsidRPr="00E97FC1">
              <w:rPr>
                <w:rFonts w:ascii="Helvetica" w:hAnsi="Helvetica" w:cs="Helvetica"/>
                <w:noProof/>
                <w:sz w:val="16"/>
                <w:szCs w:val="20"/>
                <w:lang w:val="en-GB"/>
              </w:rPr>
              <w:fldChar w:fldCharType="separate"/>
            </w:r>
            <w:r w:rsidRPr="00E97FC1">
              <w:rPr>
                <w:rFonts w:ascii="Helvetica" w:hAnsi="Helvetica" w:cs="Helvetica"/>
                <w:noProof/>
                <w:sz w:val="16"/>
                <w:szCs w:val="20"/>
                <w:lang w:val="en-GB"/>
              </w:rPr>
              <w:t xml:space="preserve">(Castro-Guerrero </w:t>
            </w:r>
            <w:r w:rsidRPr="00E97FC1">
              <w:rPr>
                <w:rFonts w:ascii="Helvetica" w:hAnsi="Helvetica" w:cs="Helvetica"/>
                <w:i/>
                <w:noProof/>
                <w:sz w:val="16"/>
                <w:szCs w:val="20"/>
                <w:lang w:val="en-GB"/>
              </w:rPr>
              <w:t>et al</w:t>
            </w:r>
            <w:r w:rsidRPr="00E97FC1">
              <w:rPr>
                <w:rFonts w:ascii="Helvetica" w:hAnsi="Helvetica" w:cs="Helvetica"/>
                <w:noProof/>
                <w:sz w:val="16"/>
                <w:szCs w:val="20"/>
                <w:lang w:val="en-GB"/>
              </w:rPr>
              <w:t>, 2010)</w:t>
            </w:r>
            <w:r w:rsidRPr="00E97FC1">
              <w:rPr>
                <w:rFonts w:ascii="Helvetica" w:hAnsi="Helvetica" w:cs="Helvetica"/>
                <w:noProof/>
                <w:sz w:val="16"/>
                <w:szCs w:val="20"/>
                <w:lang w:val="en-GB"/>
              </w:rPr>
              <w:fldChar w:fldCharType="end"/>
            </w:r>
          </w:p>
        </w:tc>
      </w:tr>
      <w:tr w:rsidR="002471A8" w:rsidRPr="00E97FC1" w14:paraId="222867F1" w14:textId="77777777" w:rsidTr="002471A8">
        <w:trPr>
          <w:trHeight w:val="65"/>
        </w:trPr>
        <w:tc>
          <w:tcPr>
            <w:tcW w:w="531" w:type="pct"/>
          </w:tcPr>
          <w:p w14:paraId="2AF2752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P182A</w:t>
            </w:r>
          </w:p>
        </w:tc>
        <w:tc>
          <w:tcPr>
            <w:tcW w:w="1314" w:type="pct"/>
            <w:vMerge/>
          </w:tcPr>
          <w:p w14:paraId="32847AE9" w14:textId="77777777" w:rsidR="002471A8" w:rsidRPr="00E97FC1" w:rsidRDefault="002471A8" w:rsidP="002471A8">
            <w:pPr>
              <w:rPr>
                <w:rFonts w:ascii="Helvetica" w:hAnsi="Helvetica" w:cs="Helvetica"/>
                <w:bCs/>
                <w:sz w:val="20"/>
                <w:szCs w:val="20"/>
                <w:lang w:val="en-GB"/>
              </w:rPr>
            </w:pPr>
          </w:p>
        </w:tc>
        <w:tc>
          <w:tcPr>
            <w:tcW w:w="721" w:type="pct"/>
          </w:tcPr>
          <w:p w14:paraId="1F6C032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586" w:type="pct"/>
          </w:tcPr>
          <w:p w14:paraId="0DC1C617"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100%</w:t>
            </w:r>
          </w:p>
        </w:tc>
        <w:tc>
          <w:tcPr>
            <w:tcW w:w="631" w:type="pct"/>
          </w:tcPr>
          <w:p w14:paraId="5DD9087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71-88%</w:t>
            </w:r>
          </w:p>
        </w:tc>
        <w:tc>
          <w:tcPr>
            <w:tcW w:w="587" w:type="pct"/>
          </w:tcPr>
          <w:p w14:paraId="6A25B7B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630" w:type="pct"/>
          </w:tcPr>
          <w:p w14:paraId="440580BB" w14:textId="1A73BC85" w:rsidR="002471A8" w:rsidRPr="00E97FC1" w:rsidRDefault="002471A8" w:rsidP="002471A8">
            <w:pPr>
              <w:rPr>
                <w:rFonts w:ascii="Helvetica" w:hAnsi="Helvetica" w:cs="Helvetica"/>
                <w:noProof/>
                <w:sz w:val="16"/>
                <w:szCs w:val="20"/>
                <w:lang w:val="en-GB"/>
              </w:rPr>
            </w:pPr>
            <w:r w:rsidRPr="00E97FC1">
              <w:rPr>
                <w:rFonts w:ascii="Helvetica" w:hAnsi="Helvetica" w:cs="Helvetica"/>
                <w:noProof/>
                <w:sz w:val="16"/>
                <w:szCs w:val="20"/>
                <w:lang w:val="en-GB"/>
              </w:rPr>
              <w:fldChar w:fldCharType="begin" w:fldLock="1"/>
            </w:r>
            <w:r w:rsidR="00DC25DF" w:rsidRPr="00E97FC1">
              <w:rPr>
                <w:rFonts w:ascii="Helvetica" w:hAnsi="Helvetica" w:cs="Helvetica"/>
                <w:noProof/>
                <w:sz w:val="16"/>
                <w:szCs w:val="20"/>
                <w:lang w:val="en-GB"/>
              </w:rPr>
              <w:instrText>ADDIN CSL_CITATION {"citationItems":[{"id":"ITEM-1","itemData":{"DOI":"10.1021/bi100885v","ISSN":"1520-4995 (Electronic)","PMID":"20979355","abstract":"The prokaryotic proton-translocating NADH-quinone oxidoreductase (NDH-1) is an  L-shaped membrane-bound enzyme that contains 14 subunits (NuoA-NuoN or Nqo1-Nqo14). All subunits have their counterparts in the eukaryotic enzyme (complex I). NDH-1 consists of two domains: the peripheral arm (NuoB, -C, -D, -E, -F, -G, and -I) and the membrane arm (NuoA, -H, -J, -K, -L, -M, and -N). In Escherichia coli NDH-1, the hydrophilic subunits NuoC/Nqo5/30k and NuoD/Nqo4/49k are fused together in a single polypeptide as the NuoCD subunit. The NuoCD subunit is the only subunit that does not bear a cofactor in the peripheral arm. While some roles for inhibitor and quinone association have been reported for the NuoD segment, structural and functional roles of the NuoC segment remain mostly elusive. In this work, 14 highly conserved residues of the NuoC segment were mutated and 21 mutants were constructed using the chromosomal gene manipulation technique. From the enzymatic assays and immunochemical and blue-native gel analyses, it was found that residues Glu-138, Glu-140, and Asp-143 that are thought to be in the third α-helix are absolutely required for the energy-transducing NDH-1 activities and the assembly of the whole enzyme. Together with available information for the hydrophobic subunits, we propose that Glu-138, Glu-140, and Asp-143 of the NuoC segment may have a pivotal role in the structural stability of NDH-1.","author":[{"dropping-particle":"","family":"Castro-Guerrero","given":"Norma","non-dropping-particle":"","parse-names":false,"suffix":""},{"dropping-particle":"","family":"Sinha","given":"Prem Kumar","non-dropping-particle":"","parse-names":false,"suffix":""},{"dropping-particle":"","family":"Torres-Bacete","given":"Jesus","non-dropping-particle":"","parse-names":false,"suffix":""},{"dropping-particle":"","family":"Matsuno-Yagi","given":"Akemi","non-dropping-particle":"","parse-names":false,"suffix":""},{"dropping-particle":"","family":"Yagi","given":"Takao","non-dropping-particle":"","parse-names":false,"suffix":""}],"container-title":"Biochemistry","id":"ITEM-1","issue":"47","issued":{"date-parts":[["2010","11"]]},"language":"eng","page":"10072-10080","title":"Pivotal roles of three conserved carboxyl residues of the NuoC (30k) segment in the  structural integrity of proton-translocating NADH-quinone oxidoreductase from Escherichia coli.","type":"article-journal","volume":"49"},"uris":["http://www.mendeley.com/documents/?uuid=979e1016-fd09-4d8e-bacb-e7ea36d240fe"]}],"mendeley":{"formattedCitation":"(Castro-Guerrero &lt;i&gt;et al&lt;/i&gt;, 2010)","plainTextFormattedCitation":"(Castro-Guerrero et al, 2010)","previouslyFormattedCitation":"(Castro-Guerrero &lt;i&gt;et al&lt;/i&gt;, 2010)"},"properties":{"noteIndex":0},"schema":"https://github.com/citation-style-language/schema/raw/master/csl-citation.json"}</w:instrText>
            </w:r>
            <w:r w:rsidRPr="00E97FC1">
              <w:rPr>
                <w:rFonts w:ascii="Helvetica" w:hAnsi="Helvetica" w:cs="Helvetica"/>
                <w:noProof/>
                <w:sz w:val="16"/>
                <w:szCs w:val="20"/>
                <w:lang w:val="en-GB"/>
              </w:rPr>
              <w:fldChar w:fldCharType="separate"/>
            </w:r>
            <w:r w:rsidRPr="00E97FC1">
              <w:rPr>
                <w:rFonts w:ascii="Helvetica" w:hAnsi="Helvetica" w:cs="Helvetica"/>
                <w:noProof/>
                <w:sz w:val="16"/>
                <w:szCs w:val="20"/>
                <w:lang w:val="en-GB"/>
              </w:rPr>
              <w:t xml:space="preserve">(Castro-Guerrero </w:t>
            </w:r>
            <w:r w:rsidRPr="00E97FC1">
              <w:rPr>
                <w:rFonts w:ascii="Helvetica" w:hAnsi="Helvetica" w:cs="Helvetica"/>
                <w:i/>
                <w:noProof/>
                <w:sz w:val="16"/>
                <w:szCs w:val="20"/>
                <w:lang w:val="en-GB"/>
              </w:rPr>
              <w:t>et al</w:t>
            </w:r>
            <w:r w:rsidRPr="00E97FC1">
              <w:rPr>
                <w:rFonts w:ascii="Helvetica" w:hAnsi="Helvetica" w:cs="Helvetica"/>
                <w:noProof/>
                <w:sz w:val="16"/>
                <w:szCs w:val="20"/>
                <w:lang w:val="en-GB"/>
              </w:rPr>
              <w:t>, 2010)</w:t>
            </w:r>
            <w:r w:rsidRPr="00E97FC1">
              <w:rPr>
                <w:rFonts w:ascii="Helvetica" w:hAnsi="Helvetica" w:cs="Helvetica"/>
                <w:noProof/>
                <w:sz w:val="16"/>
                <w:szCs w:val="20"/>
                <w:lang w:val="en-GB"/>
              </w:rPr>
              <w:fldChar w:fldCharType="end"/>
            </w:r>
          </w:p>
        </w:tc>
      </w:tr>
      <w:tr w:rsidR="002471A8" w:rsidRPr="00E97FC1" w14:paraId="148F56CF" w14:textId="77777777" w:rsidTr="002471A8">
        <w:trPr>
          <w:trHeight w:val="65"/>
        </w:trPr>
        <w:tc>
          <w:tcPr>
            <w:tcW w:w="531" w:type="pct"/>
          </w:tcPr>
          <w:p w14:paraId="0328528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G221V</w:t>
            </w:r>
          </w:p>
        </w:tc>
        <w:tc>
          <w:tcPr>
            <w:tcW w:w="1314" w:type="pct"/>
            <w:vMerge w:val="restart"/>
          </w:tcPr>
          <w:p w14:paraId="3CF2036B"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NuoCD loop, Q-site</w:t>
            </w:r>
          </w:p>
        </w:tc>
        <w:tc>
          <w:tcPr>
            <w:tcW w:w="721" w:type="pct"/>
          </w:tcPr>
          <w:p w14:paraId="2B79F09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586" w:type="pct"/>
          </w:tcPr>
          <w:p w14:paraId="000EF39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50%</w:t>
            </w:r>
          </w:p>
        </w:tc>
        <w:tc>
          <w:tcPr>
            <w:tcW w:w="631" w:type="pct"/>
          </w:tcPr>
          <w:p w14:paraId="58A2FC6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1-6%</w:t>
            </w:r>
          </w:p>
        </w:tc>
        <w:tc>
          <w:tcPr>
            <w:tcW w:w="587" w:type="pct"/>
          </w:tcPr>
          <w:p w14:paraId="7FBA0FD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630" w:type="pct"/>
          </w:tcPr>
          <w:p w14:paraId="1FFEFF28" w14:textId="3F46786D" w:rsidR="002471A8" w:rsidRPr="00E97FC1" w:rsidRDefault="002471A8" w:rsidP="002471A8">
            <w:pPr>
              <w:rPr>
                <w:rFonts w:ascii="Helvetica" w:hAnsi="Helvetica" w:cs="Helvetica"/>
                <w:noProof/>
                <w:sz w:val="16"/>
                <w:szCs w:val="20"/>
                <w:lang w:val="en-GB"/>
              </w:rPr>
            </w:pPr>
            <w:r w:rsidRPr="00E97FC1">
              <w:rPr>
                <w:rFonts w:ascii="Helvetica" w:hAnsi="Helvetica" w:cs="Helvetica"/>
                <w:noProof/>
                <w:sz w:val="16"/>
                <w:szCs w:val="20"/>
                <w:lang w:val="en-GB"/>
              </w:rPr>
              <w:fldChar w:fldCharType="begin" w:fldLock="1"/>
            </w:r>
            <w:r w:rsidR="00DC25DF" w:rsidRPr="00E97FC1">
              <w:rPr>
                <w:rFonts w:ascii="Helvetica" w:hAnsi="Helvetica" w:cs="Helvetica"/>
                <w:noProof/>
                <w:sz w:val="16"/>
                <w:szCs w:val="20"/>
                <w:lang w:val="en-GB"/>
              </w:rPr>
              <w:instrText>ADDIN CSL_CITATION {"citationItems":[{"id":"ITEM-1","itemData":{"DOI":"10.1021/bi501403t","ISSN":"1520-4995 (Electronic)","PMID":"25545070","abstract":"The NuoD segment (homologue of mitochondrial 49 kDa subunit) of the  proton-translocating NADH:quinone oxidoreductase (complex I/NDH-1) from Escherichia coli is in the hydrophilic domain and bears many highly conserved amino acid residues. The three-dimensional structural model of NDH-1 suggests that the NuoD segment, together with the neighboring subunits, constitutes a putative quinone binding cavity. We used the homologous DNA recombination technique to clarify the role of selected key amino acid residues of the NuoD segment. Among them, residues Tyr273 and His224 were considered candidates for having important interactions with the quinone headgroup. Mutant Y273F retained partial activity but lost sensitivity to capsaicin-40. Mutant H224R scarcely affected the activity, suggesting that this residue may not be essential. His224 is located in a loop near the N-terminus of the NuoD segment (Gly217-Phe227) which is considered to form part of the quinone binding cavity. In contrast to the His224 mutation, mutants G217V, P218A, and G225V almost completely lost the activity. One region of this loop is positioned close to a cytosolic loop of the NuoA subunit in the membrane domain, and together they seem to be important in keeping the quinone binding cavity intact. The structural role of the longest helix in the NuoD segment located behind the quinone binding cavity was also investigated. Possible roles of other highly conserved residues of the NuoD segment are discussed.","author":[{"dropping-particle":"","family":"Sinha","given":"Prem Kumar","non-dropping-particle":"","parse-names":false,"suffix":""},{"dropping-particle":"","family":"Castro-Guerrero","given":"Norma","non-dropping-particle":"","parse-names":false,"suffix":""},{"dropping-particle":"","family":"Patki","given":"Gaurav","non-dropping-particle":"","parse-names":false,"suffix":""},{"dropping-particle":"","family":"Sato","given":"Motoaki","non-dropping-particle":"","parse-names":false,"suffix":""},{"dropping-particle":"","family":"Torres-Bacete","given":"Jesus","non-dropping-particle":"","parse-names":false,"suffix":""},{"dropping-particle":"","family":"Sinha","given":"Subhash","non-dropping-particle":"","parse-names":false,"suffix":""},{"dropping-particle":"","family":"Miyoshi","given":"Hideto","non-dropping-particle":"","parse-names":false,"suffix":""},{"dropping-particle":"","family":"Matsuno-Yagi","given":"Akemi","non-dropping-particle":"","parse-names":false,"suffix":""},{"dropping-particle":"","family":"Yagi","given":"Takao","non-dropping-particle":"","parse-names":false,"suffix":""}],"container-title":"Biochemistry","id":"ITEM-1","issue":"3","issued":{"date-parts":[["2015","1"]]},"language":"eng","page":"753-764","title":"Conserved amino acid residues of the NuoD segment important for structure and  function of Escherichia coli NDH-1 (complex I).","type":"article-journal","volume":"54"},"uris":["http://www.mendeley.com/documents/?uuid=d24ae4eb-2d30-4ae6-9af2-979c836e1612"]}],"mendeley":{"formattedCitation":"(Sinha &lt;i&gt;et al&lt;/i&gt;, 2015)","plainTextFormattedCitation":"(Sinha et al, 2015)","previouslyFormattedCitation":"(Sinha &lt;i&gt;et al&lt;/i&gt;, 2015)"},"properties":{"noteIndex":0},"schema":"https://github.com/citation-style-language/schema/raw/master/csl-citation.json"}</w:instrText>
            </w:r>
            <w:r w:rsidRPr="00E97FC1">
              <w:rPr>
                <w:rFonts w:ascii="Helvetica" w:hAnsi="Helvetica" w:cs="Helvetica"/>
                <w:noProof/>
                <w:sz w:val="16"/>
                <w:szCs w:val="20"/>
                <w:lang w:val="en-GB"/>
              </w:rPr>
              <w:fldChar w:fldCharType="separate"/>
            </w:r>
            <w:r w:rsidRPr="00E97FC1">
              <w:rPr>
                <w:rFonts w:ascii="Helvetica" w:hAnsi="Helvetica" w:cs="Helvetica"/>
                <w:noProof/>
                <w:sz w:val="16"/>
                <w:szCs w:val="20"/>
                <w:lang w:val="en-GB"/>
              </w:rPr>
              <w:t xml:space="preserve">(Sinha </w:t>
            </w:r>
            <w:r w:rsidRPr="00E97FC1">
              <w:rPr>
                <w:rFonts w:ascii="Helvetica" w:hAnsi="Helvetica" w:cs="Helvetica"/>
                <w:i/>
                <w:noProof/>
                <w:sz w:val="16"/>
                <w:szCs w:val="20"/>
                <w:lang w:val="en-GB"/>
              </w:rPr>
              <w:t>et al</w:t>
            </w:r>
            <w:r w:rsidRPr="00E97FC1">
              <w:rPr>
                <w:rFonts w:ascii="Helvetica" w:hAnsi="Helvetica" w:cs="Helvetica"/>
                <w:noProof/>
                <w:sz w:val="16"/>
                <w:szCs w:val="20"/>
                <w:lang w:val="en-GB"/>
              </w:rPr>
              <w:t>, 2015)</w:t>
            </w:r>
            <w:r w:rsidRPr="00E97FC1">
              <w:rPr>
                <w:rFonts w:ascii="Helvetica" w:hAnsi="Helvetica" w:cs="Helvetica"/>
                <w:noProof/>
                <w:sz w:val="16"/>
                <w:szCs w:val="20"/>
                <w:lang w:val="en-GB"/>
              </w:rPr>
              <w:fldChar w:fldCharType="end"/>
            </w:r>
          </w:p>
        </w:tc>
      </w:tr>
      <w:tr w:rsidR="002471A8" w:rsidRPr="00E97FC1" w14:paraId="605075D4" w14:textId="77777777" w:rsidTr="002471A8">
        <w:trPr>
          <w:trHeight w:val="65"/>
        </w:trPr>
        <w:tc>
          <w:tcPr>
            <w:tcW w:w="531" w:type="pct"/>
          </w:tcPr>
          <w:p w14:paraId="5A01FC4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P222A</w:t>
            </w:r>
          </w:p>
        </w:tc>
        <w:tc>
          <w:tcPr>
            <w:tcW w:w="1314" w:type="pct"/>
            <w:vMerge/>
          </w:tcPr>
          <w:p w14:paraId="1938B2D3" w14:textId="77777777" w:rsidR="002471A8" w:rsidRPr="00E97FC1" w:rsidRDefault="002471A8" w:rsidP="002471A8">
            <w:pPr>
              <w:rPr>
                <w:rFonts w:ascii="Helvetica" w:hAnsi="Helvetica" w:cs="Helvetica"/>
                <w:bCs/>
                <w:sz w:val="20"/>
                <w:szCs w:val="20"/>
                <w:lang w:val="en-GB"/>
              </w:rPr>
            </w:pPr>
          </w:p>
        </w:tc>
        <w:tc>
          <w:tcPr>
            <w:tcW w:w="721" w:type="pct"/>
          </w:tcPr>
          <w:p w14:paraId="2F30F98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reduced</w:t>
            </w:r>
          </w:p>
        </w:tc>
        <w:tc>
          <w:tcPr>
            <w:tcW w:w="586" w:type="pct"/>
          </w:tcPr>
          <w:p w14:paraId="04E0B431"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51%</w:t>
            </w:r>
          </w:p>
        </w:tc>
        <w:tc>
          <w:tcPr>
            <w:tcW w:w="631" w:type="pct"/>
          </w:tcPr>
          <w:p w14:paraId="3B6D659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7-9%</w:t>
            </w:r>
          </w:p>
        </w:tc>
        <w:tc>
          <w:tcPr>
            <w:tcW w:w="587" w:type="pct"/>
          </w:tcPr>
          <w:p w14:paraId="6EDFF92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630" w:type="pct"/>
          </w:tcPr>
          <w:p w14:paraId="2165FABA" w14:textId="11ADF22C" w:rsidR="002471A8" w:rsidRPr="00E97FC1" w:rsidRDefault="002471A8" w:rsidP="002471A8">
            <w:pPr>
              <w:rPr>
                <w:rFonts w:ascii="Helvetica" w:hAnsi="Helvetica" w:cs="Helvetica"/>
                <w:noProof/>
                <w:sz w:val="16"/>
                <w:szCs w:val="20"/>
                <w:lang w:val="en-GB"/>
              </w:rPr>
            </w:pPr>
            <w:r w:rsidRPr="00E97FC1">
              <w:rPr>
                <w:rFonts w:ascii="Helvetica" w:hAnsi="Helvetica" w:cs="Helvetica"/>
                <w:noProof/>
                <w:sz w:val="16"/>
                <w:szCs w:val="20"/>
                <w:lang w:val="en-GB"/>
              </w:rPr>
              <w:fldChar w:fldCharType="begin" w:fldLock="1"/>
            </w:r>
            <w:r w:rsidR="00DC25DF" w:rsidRPr="00E97FC1">
              <w:rPr>
                <w:rFonts w:ascii="Helvetica" w:hAnsi="Helvetica" w:cs="Helvetica"/>
                <w:noProof/>
                <w:sz w:val="16"/>
                <w:szCs w:val="20"/>
                <w:lang w:val="en-GB"/>
              </w:rPr>
              <w:instrText>ADDIN CSL_CITATION {"citationItems":[{"id":"ITEM-1","itemData":{"DOI":"10.1021/bi501403t","ISSN":"1520-4995 (Electronic)","PMID":"25545070","abstract":"The NuoD segment (homologue of mitochondrial 49 kDa subunit) of the  proton-translocating NADH:quinone oxidoreductase (complex I/NDH-1) from Escherichia coli is in the hydrophilic domain and bears many highly conserved amino acid residues. The three-dimensional structural model of NDH-1 suggests that the NuoD segment, together with the neighboring subunits, constitutes a putative quinone binding cavity. We used the homologous DNA recombination technique to clarify the role of selected key amino acid residues of the NuoD segment. Among them, residues Tyr273 and His224 were considered candidates for having important interactions with the quinone headgroup. Mutant Y273F retained partial activity but lost sensitivity to capsaicin-40. Mutant H224R scarcely affected the activity, suggesting that this residue may not be essential. His224 is located in a loop near the N-terminus of the NuoD segment (Gly217-Phe227) which is considered to form part of the quinone binding cavity. In contrast to the His224 mutation, mutants G217V, P218A, and G225V almost completely lost the activity. One region of this loop is positioned close to a cytosolic loop of the NuoA subunit in the membrane domain, and together they seem to be important in keeping the quinone binding cavity intact. The structural role of the longest helix in the NuoD segment located behind the quinone binding cavity was also investigated. Possible roles of other highly conserved residues of the NuoD segment are discussed.","author":[{"dropping-particle":"","family":"Sinha","given":"Prem Kumar","non-dropping-particle":"","parse-names":false,"suffix":""},{"dropping-particle":"","family":"Castro-Guerrero","given":"Norma","non-dropping-particle":"","parse-names":false,"suffix":""},{"dropping-particle":"","family":"Patki","given":"Gaurav","non-dropping-particle":"","parse-names":false,"suffix":""},{"dropping-particle":"","family":"Sato","given":"Motoaki","non-dropping-particle":"","parse-names":false,"suffix":""},{"dropping-particle":"","family":"Torres-Bacete","given":"Jesus","non-dropping-particle":"","parse-names":false,"suffix":""},{"dropping-particle":"","family":"Sinha","given":"Subhash","non-dropping-particle":"","parse-names":false,"suffix":""},{"dropping-particle":"","family":"Miyoshi","given":"Hideto","non-dropping-particle":"","parse-names":false,"suffix":""},{"dropping-particle":"","family":"Matsuno-Yagi","given":"Akemi","non-dropping-particle":"","parse-names":false,"suffix":""},{"dropping-particle":"","family":"Yagi","given":"Takao","non-dropping-particle":"","parse-names":false,"suffix":""}],"container-title":"Biochemistry","id":"ITEM-1","issue":"3","issued":{"date-parts":[["2015","1"]]},"language":"eng","page":"753-764","title":"Conserved amino acid residues of the NuoD segment important for structure and  function of Escherichia coli NDH-1 (complex I).","type":"article-journal","volume":"54"},"uris":["http://www.mendeley.com/documents/?uuid=d24ae4eb-2d30-4ae6-9af2-979c836e1612"]}],"mendeley":{"formattedCitation":"(Sinha &lt;i&gt;et al&lt;/i&gt;, 2015)","plainTextFormattedCitation":"(Sinha et al, 2015)","previouslyFormattedCitation":"(Sinha &lt;i&gt;et al&lt;/i&gt;, 2015)"},"properties":{"noteIndex":0},"schema":"https://github.com/citation-style-language/schema/raw/master/csl-citation.json"}</w:instrText>
            </w:r>
            <w:r w:rsidRPr="00E97FC1">
              <w:rPr>
                <w:rFonts w:ascii="Helvetica" w:hAnsi="Helvetica" w:cs="Helvetica"/>
                <w:noProof/>
                <w:sz w:val="16"/>
                <w:szCs w:val="20"/>
                <w:lang w:val="en-GB"/>
              </w:rPr>
              <w:fldChar w:fldCharType="separate"/>
            </w:r>
            <w:r w:rsidRPr="00E97FC1">
              <w:rPr>
                <w:rFonts w:ascii="Helvetica" w:hAnsi="Helvetica" w:cs="Helvetica"/>
                <w:noProof/>
                <w:sz w:val="16"/>
                <w:szCs w:val="20"/>
                <w:lang w:val="en-GB"/>
              </w:rPr>
              <w:t xml:space="preserve">(Sinha </w:t>
            </w:r>
            <w:r w:rsidRPr="00E97FC1">
              <w:rPr>
                <w:rFonts w:ascii="Helvetica" w:hAnsi="Helvetica" w:cs="Helvetica"/>
                <w:i/>
                <w:noProof/>
                <w:sz w:val="16"/>
                <w:szCs w:val="20"/>
                <w:lang w:val="en-GB"/>
              </w:rPr>
              <w:t>et al</w:t>
            </w:r>
            <w:r w:rsidRPr="00E97FC1">
              <w:rPr>
                <w:rFonts w:ascii="Helvetica" w:hAnsi="Helvetica" w:cs="Helvetica"/>
                <w:noProof/>
                <w:sz w:val="16"/>
                <w:szCs w:val="20"/>
                <w:lang w:val="en-GB"/>
              </w:rPr>
              <w:t>, 2015)</w:t>
            </w:r>
            <w:r w:rsidRPr="00E97FC1">
              <w:rPr>
                <w:rFonts w:ascii="Helvetica" w:hAnsi="Helvetica" w:cs="Helvetica"/>
                <w:noProof/>
                <w:sz w:val="16"/>
                <w:szCs w:val="20"/>
                <w:lang w:val="en-GB"/>
              </w:rPr>
              <w:fldChar w:fldCharType="end"/>
            </w:r>
          </w:p>
        </w:tc>
      </w:tr>
      <w:tr w:rsidR="002471A8" w:rsidRPr="00E97FC1" w14:paraId="3C5183AF" w14:textId="77777777" w:rsidTr="002471A8">
        <w:trPr>
          <w:trHeight w:val="65"/>
        </w:trPr>
        <w:tc>
          <w:tcPr>
            <w:tcW w:w="531" w:type="pct"/>
          </w:tcPr>
          <w:p w14:paraId="09C5321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H224A</w:t>
            </w:r>
          </w:p>
        </w:tc>
        <w:tc>
          <w:tcPr>
            <w:tcW w:w="1314" w:type="pct"/>
            <w:vMerge/>
          </w:tcPr>
          <w:p w14:paraId="6D1E66CD" w14:textId="77777777" w:rsidR="002471A8" w:rsidRPr="00E97FC1" w:rsidRDefault="002471A8" w:rsidP="002471A8">
            <w:pPr>
              <w:rPr>
                <w:rFonts w:ascii="Helvetica" w:hAnsi="Helvetica" w:cs="Helvetica"/>
                <w:bCs/>
                <w:sz w:val="20"/>
                <w:szCs w:val="20"/>
                <w:lang w:val="en-GB"/>
              </w:rPr>
            </w:pPr>
          </w:p>
        </w:tc>
        <w:tc>
          <w:tcPr>
            <w:tcW w:w="721" w:type="pct"/>
          </w:tcPr>
          <w:p w14:paraId="425AC241"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586" w:type="pct"/>
          </w:tcPr>
          <w:p w14:paraId="2EDB1427"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88%</w:t>
            </w:r>
          </w:p>
        </w:tc>
        <w:tc>
          <w:tcPr>
            <w:tcW w:w="631" w:type="pct"/>
          </w:tcPr>
          <w:p w14:paraId="25A0DC2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64%</w:t>
            </w:r>
          </w:p>
        </w:tc>
        <w:tc>
          <w:tcPr>
            <w:tcW w:w="587" w:type="pct"/>
          </w:tcPr>
          <w:p w14:paraId="272AC90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65%</w:t>
            </w:r>
          </w:p>
        </w:tc>
        <w:tc>
          <w:tcPr>
            <w:tcW w:w="630" w:type="pct"/>
          </w:tcPr>
          <w:p w14:paraId="2F6E7A2B" w14:textId="37EE6E74" w:rsidR="002471A8" w:rsidRPr="00E97FC1" w:rsidRDefault="002471A8" w:rsidP="002471A8">
            <w:pPr>
              <w:rPr>
                <w:rFonts w:ascii="Helvetica" w:hAnsi="Helvetica" w:cs="Helvetica"/>
                <w:noProof/>
                <w:sz w:val="16"/>
                <w:szCs w:val="20"/>
                <w:lang w:val="en-GB"/>
              </w:rPr>
            </w:pPr>
            <w:r w:rsidRPr="00E97FC1">
              <w:rPr>
                <w:rFonts w:ascii="Helvetica" w:hAnsi="Helvetica" w:cs="Helvetica"/>
                <w:noProof/>
                <w:sz w:val="16"/>
                <w:szCs w:val="20"/>
                <w:lang w:val="en-GB"/>
              </w:rPr>
              <w:fldChar w:fldCharType="begin" w:fldLock="1"/>
            </w:r>
            <w:r w:rsidR="00DC25DF" w:rsidRPr="00E97FC1">
              <w:rPr>
                <w:rFonts w:ascii="Helvetica" w:hAnsi="Helvetica" w:cs="Helvetica"/>
                <w:noProof/>
                <w:sz w:val="16"/>
                <w:szCs w:val="20"/>
                <w:lang w:val="en-GB"/>
              </w:rPr>
              <w:instrText>ADDIN CSL_CITATION {"citationItems":[{"id":"ITEM-1","itemData":{"DOI":"10.1021/bi062062t","ISSN":"0006-2960 (Print)","PMID":"17209562","abstract":"The conserved arginine 274 and histidine 224 and 228 residues in subunit NuoCD of  complex I from Escherichia coli were substituted for alanine. The wild-type and mutated NuoCD subunit was expressed on a plasmid in an E. coli strain bearing a nuoCD deletion. Complex I was fully expressed in the H224A and H228A mutants, whereas the R274A mutation yielded approximately 50% expression. Ubiquinone reductase activity of complex I was studied in membranes and with purified enzyme and was 50% and 30% of the wild-type activity in the H224A and H228A mutants, respectively. The activity of R274A was less than 5% of the wild type in membranes but 20% in purified complex I. Rolliniastatin inhibited quinone reductase activity in the mutants with similar affinity as in the wild type, indicating that the quinone-binding site was not significantly altered by the mutations. Ubiquinone-dependent superoxide production by complex I was similar to the wild type in the R274A mutant but slightly higher in the H224A and H228A mutants. The EPR spectra of purified complex I from the H224A and H228A mutants did not differ from the wild type. In contrast, the signals of the N2 cluster and another fast-relaxing [4Fe-4S] cluster, tentatively assigned as N6b, were drastically decreased in the NADH-reduced R274A mutant enzyme but reappeared on further reduction with dithionite. These findings show that the redox potential of the N2 and N6b centers is shifted to more negative values by the R274A mutation. Purified complex I was reconstituted into liposomes, and electric potential was generated across the membrane upon NADH addition in all three mutant enzymes, suggesting that none of the mutations directly affect the proton-pumping machinery.","author":[{"dropping-particle":"","family":"Belevich","given":"Galina","non-dropping-particle":"","parse-names":false,"suffix":""},{"dropping-particle":"","family":"Euro","given":"Liliya","non-dropping-particle":"","parse-names":false,"suffix":""},{"dropping-particle":"","family":"Wikström","given":"Mårten","non-dropping-particle":"","parse-names":false,"suffix":""},{"dropping-particle":"","family":"Verkhovskaya","given":"Marina","non-dropping-particle":"","parse-names":false,"suffix":""}],"container-title":"Biochemistry","id":"ITEM-1","issue":"2","issued":{"date-parts":[["2007","1"]]},"language":"eng","page":"526-533","publisher-place":"United States","title":"Role of the conserved arginine 274 and histidine 224 and 228 residues in the NuoCD  subunit of complex I from Escherichia coli.","type":"article-journal","volume":"46"},"uris":["http://www.mendeley.com/documents/?uuid=6b2eea36-ccc4-4894-844d-0c974b4cfa0a"]}],"mendeley":{"formattedCitation":"(Belevich &lt;i&gt;et al&lt;/i&gt;, 2007)","plainTextFormattedCitation":"(Belevich et al, 2007)","previouslyFormattedCitation":"(Belevich &lt;i&gt;et al&lt;/i&gt;, 2007)"},"properties":{"noteIndex":0},"schema":"https://github.com/citation-style-language/schema/raw/master/csl-citation.json"}</w:instrText>
            </w:r>
            <w:r w:rsidRPr="00E97FC1">
              <w:rPr>
                <w:rFonts w:ascii="Helvetica" w:hAnsi="Helvetica" w:cs="Helvetica"/>
                <w:noProof/>
                <w:sz w:val="16"/>
                <w:szCs w:val="20"/>
                <w:lang w:val="en-GB"/>
              </w:rPr>
              <w:fldChar w:fldCharType="separate"/>
            </w:r>
            <w:r w:rsidRPr="00E97FC1">
              <w:rPr>
                <w:rFonts w:ascii="Helvetica" w:hAnsi="Helvetica" w:cs="Helvetica"/>
                <w:noProof/>
                <w:sz w:val="16"/>
                <w:szCs w:val="20"/>
                <w:lang w:val="en-GB"/>
              </w:rPr>
              <w:t xml:space="preserve">(Belevich </w:t>
            </w:r>
            <w:r w:rsidRPr="00E97FC1">
              <w:rPr>
                <w:rFonts w:ascii="Helvetica" w:hAnsi="Helvetica" w:cs="Helvetica"/>
                <w:i/>
                <w:noProof/>
                <w:sz w:val="16"/>
                <w:szCs w:val="20"/>
                <w:lang w:val="en-GB"/>
              </w:rPr>
              <w:t>et al</w:t>
            </w:r>
            <w:r w:rsidRPr="00E97FC1">
              <w:rPr>
                <w:rFonts w:ascii="Helvetica" w:hAnsi="Helvetica" w:cs="Helvetica"/>
                <w:noProof/>
                <w:sz w:val="16"/>
                <w:szCs w:val="20"/>
                <w:lang w:val="en-GB"/>
              </w:rPr>
              <w:t>, 2007)</w:t>
            </w:r>
            <w:r w:rsidRPr="00E97FC1">
              <w:rPr>
                <w:rFonts w:ascii="Helvetica" w:hAnsi="Helvetica" w:cs="Helvetica"/>
                <w:noProof/>
                <w:sz w:val="16"/>
                <w:szCs w:val="20"/>
                <w:lang w:val="en-GB"/>
              </w:rPr>
              <w:fldChar w:fldCharType="end"/>
            </w:r>
          </w:p>
        </w:tc>
      </w:tr>
      <w:tr w:rsidR="002471A8" w:rsidRPr="00E97FC1" w14:paraId="056B9130" w14:textId="77777777" w:rsidTr="002471A8">
        <w:trPr>
          <w:trHeight w:val="65"/>
        </w:trPr>
        <w:tc>
          <w:tcPr>
            <w:tcW w:w="531" w:type="pct"/>
          </w:tcPr>
          <w:p w14:paraId="1E35B60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H228A</w:t>
            </w:r>
          </w:p>
        </w:tc>
        <w:tc>
          <w:tcPr>
            <w:tcW w:w="1314" w:type="pct"/>
            <w:vMerge/>
          </w:tcPr>
          <w:p w14:paraId="0D950223" w14:textId="77777777" w:rsidR="002471A8" w:rsidRPr="00E97FC1" w:rsidRDefault="002471A8" w:rsidP="002471A8">
            <w:pPr>
              <w:rPr>
                <w:rFonts w:ascii="Helvetica" w:hAnsi="Helvetica" w:cs="Helvetica"/>
                <w:bCs/>
                <w:sz w:val="20"/>
                <w:szCs w:val="20"/>
                <w:lang w:val="en-GB"/>
              </w:rPr>
            </w:pPr>
          </w:p>
        </w:tc>
        <w:tc>
          <w:tcPr>
            <w:tcW w:w="721" w:type="pct"/>
          </w:tcPr>
          <w:p w14:paraId="287FB92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586" w:type="pct"/>
          </w:tcPr>
          <w:p w14:paraId="46EEEF1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100%</w:t>
            </w:r>
          </w:p>
        </w:tc>
        <w:tc>
          <w:tcPr>
            <w:tcW w:w="631" w:type="pct"/>
          </w:tcPr>
          <w:p w14:paraId="57577B6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48%</w:t>
            </w:r>
          </w:p>
        </w:tc>
        <w:tc>
          <w:tcPr>
            <w:tcW w:w="587" w:type="pct"/>
          </w:tcPr>
          <w:p w14:paraId="522713A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50%</w:t>
            </w:r>
          </w:p>
        </w:tc>
        <w:tc>
          <w:tcPr>
            <w:tcW w:w="630" w:type="pct"/>
          </w:tcPr>
          <w:p w14:paraId="4029248A" w14:textId="5F0FE842" w:rsidR="002471A8" w:rsidRPr="00E97FC1" w:rsidRDefault="002471A8" w:rsidP="002471A8">
            <w:pPr>
              <w:rPr>
                <w:rFonts w:ascii="Helvetica" w:hAnsi="Helvetica" w:cs="Helvetica"/>
                <w:noProof/>
                <w:sz w:val="16"/>
                <w:szCs w:val="20"/>
                <w:lang w:val="en-GB"/>
              </w:rPr>
            </w:pPr>
            <w:r w:rsidRPr="00E97FC1">
              <w:rPr>
                <w:rFonts w:ascii="Helvetica" w:hAnsi="Helvetica" w:cs="Helvetica"/>
                <w:noProof/>
                <w:sz w:val="16"/>
                <w:szCs w:val="20"/>
                <w:lang w:val="en-GB"/>
              </w:rPr>
              <w:fldChar w:fldCharType="begin" w:fldLock="1"/>
            </w:r>
            <w:r w:rsidR="00DC25DF" w:rsidRPr="00E97FC1">
              <w:rPr>
                <w:rFonts w:ascii="Helvetica" w:hAnsi="Helvetica" w:cs="Helvetica"/>
                <w:noProof/>
                <w:sz w:val="16"/>
                <w:szCs w:val="20"/>
                <w:lang w:val="en-GB"/>
              </w:rPr>
              <w:instrText>ADDIN CSL_CITATION {"citationItems":[{"id":"ITEM-1","itemData":{"DOI":"10.1021/bi062062t","ISSN":"0006-2960 (Print)","PMID":"17209562","abstract":"The conserved arginine 274 and histidine 224 and 228 residues in subunit NuoCD of  complex I from Escherichia coli were substituted for alanine. The wild-type and mutated NuoCD subunit was expressed on a plasmid in an E. coli strain bearing a nuoCD deletion. Complex I was fully expressed in the H224A and H228A mutants, whereas the R274A mutation yielded approximately 50% expression. Ubiquinone reductase activity of complex I was studied in membranes and with purified enzyme and was 50% and 30% of the wild-type activity in the H224A and H228A mutants, respectively. The activity of R274A was less than 5% of the wild type in membranes but 20% in purified complex I. Rolliniastatin inhibited quinone reductase activity in the mutants with similar affinity as in the wild type, indicating that the quinone-binding site was not significantly altered by the mutations. Ubiquinone-dependent superoxide production by complex I was similar to the wild type in the R274A mutant but slightly higher in the H224A and H228A mutants. The EPR spectra of purified complex I from the H224A and H228A mutants did not differ from the wild type. In contrast, the signals of the N2 cluster and another fast-relaxing [4Fe-4S] cluster, tentatively assigned as N6b, were drastically decreased in the NADH-reduced R274A mutant enzyme but reappeared on further reduction with dithionite. These findings show that the redox potential of the N2 and N6b centers is shifted to more negative values by the R274A mutation. Purified complex I was reconstituted into liposomes, and electric potential was generated across the membrane upon NADH addition in all three mutant enzymes, suggesting that none of the mutations directly affect the proton-pumping machinery.","author":[{"dropping-particle":"","family":"Belevich","given":"Galina","non-dropping-particle":"","parse-names":false,"suffix":""},{"dropping-particle":"","family":"Euro","given":"Liliya","non-dropping-particle":"","parse-names":false,"suffix":""},{"dropping-particle":"","family":"Wikström","given":"Mårten","non-dropping-particle":"","parse-names":false,"suffix":""},{"dropping-particle":"","family":"Verkhovskaya","given":"Marina","non-dropping-particle":"","parse-names":false,"suffix":""}],"container-title":"Biochemistry","id":"ITEM-1","issue":"2","issued":{"date-parts":[["2007","1"]]},"language":"eng","page":"526-533","publisher-place":"United States","title":"Role of the conserved arginine 274 and histidine 224 and 228 residues in the NuoCD  subunit of complex I from Escherichia coli.","type":"article-journal","volume":"46"},"uris":["http://www.mendeley.com/documents/?uuid=6b2eea36-ccc4-4894-844d-0c974b4cfa0a"]}],"mendeley":{"formattedCitation":"(Belevich &lt;i&gt;et al&lt;/i&gt;, 2007)","plainTextFormattedCitation":"(Belevich et al, 2007)","previouslyFormattedCitation":"(Belevich &lt;i&gt;et al&lt;/i&gt;, 2007)"},"properties":{"noteIndex":0},"schema":"https://github.com/citation-style-language/schema/raw/master/csl-citation.json"}</w:instrText>
            </w:r>
            <w:r w:rsidRPr="00E97FC1">
              <w:rPr>
                <w:rFonts w:ascii="Helvetica" w:hAnsi="Helvetica" w:cs="Helvetica"/>
                <w:noProof/>
                <w:sz w:val="16"/>
                <w:szCs w:val="20"/>
                <w:lang w:val="en-GB"/>
              </w:rPr>
              <w:fldChar w:fldCharType="separate"/>
            </w:r>
            <w:r w:rsidRPr="00E97FC1">
              <w:rPr>
                <w:rFonts w:ascii="Helvetica" w:hAnsi="Helvetica" w:cs="Helvetica"/>
                <w:noProof/>
                <w:sz w:val="16"/>
                <w:szCs w:val="20"/>
                <w:lang w:val="en-GB"/>
              </w:rPr>
              <w:t xml:space="preserve">(Belevich </w:t>
            </w:r>
            <w:r w:rsidRPr="00E97FC1">
              <w:rPr>
                <w:rFonts w:ascii="Helvetica" w:hAnsi="Helvetica" w:cs="Helvetica"/>
                <w:i/>
                <w:noProof/>
                <w:sz w:val="16"/>
                <w:szCs w:val="20"/>
                <w:lang w:val="en-GB"/>
              </w:rPr>
              <w:t>et al</w:t>
            </w:r>
            <w:r w:rsidRPr="00E97FC1">
              <w:rPr>
                <w:rFonts w:ascii="Helvetica" w:hAnsi="Helvetica" w:cs="Helvetica"/>
                <w:noProof/>
                <w:sz w:val="16"/>
                <w:szCs w:val="20"/>
                <w:lang w:val="en-GB"/>
              </w:rPr>
              <w:t>, 2007)</w:t>
            </w:r>
            <w:r w:rsidRPr="00E97FC1">
              <w:rPr>
                <w:rFonts w:ascii="Helvetica" w:hAnsi="Helvetica" w:cs="Helvetica"/>
                <w:noProof/>
                <w:sz w:val="16"/>
                <w:szCs w:val="20"/>
                <w:lang w:val="en-GB"/>
              </w:rPr>
              <w:fldChar w:fldCharType="end"/>
            </w:r>
          </w:p>
        </w:tc>
      </w:tr>
      <w:tr w:rsidR="002471A8" w:rsidRPr="00E97FC1" w14:paraId="2B3164CA" w14:textId="77777777" w:rsidTr="002471A8">
        <w:trPr>
          <w:trHeight w:val="65"/>
        </w:trPr>
        <w:tc>
          <w:tcPr>
            <w:tcW w:w="531" w:type="pct"/>
          </w:tcPr>
          <w:p w14:paraId="0AAD83C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H228R</w:t>
            </w:r>
          </w:p>
        </w:tc>
        <w:tc>
          <w:tcPr>
            <w:tcW w:w="1314" w:type="pct"/>
            <w:vMerge/>
          </w:tcPr>
          <w:p w14:paraId="3DA4481F" w14:textId="77777777" w:rsidR="002471A8" w:rsidRPr="00E97FC1" w:rsidRDefault="002471A8" w:rsidP="002471A8">
            <w:pPr>
              <w:rPr>
                <w:rFonts w:ascii="Helvetica" w:hAnsi="Helvetica" w:cs="Helvetica"/>
                <w:bCs/>
                <w:sz w:val="20"/>
                <w:szCs w:val="20"/>
                <w:lang w:val="en-GB"/>
              </w:rPr>
            </w:pPr>
          </w:p>
        </w:tc>
        <w:tc>
          <w:tcPr>
            <w:tcW w:w="721" w:type="pct"/>
          </w:tcPr>
          <w:p w14:paraId="626FB24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586" w:type="pct"/>
          </w:tcPr>
          <w:p w14:paraId="7216AED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85%</w:t>
            </w:r>
          </w:p>
        </w:tc>
        <w:tc>
          <w:tcPr>
            <w:tcW w:w="631" w:type="pct"/>
          </w:tcPr>
          <w:p w14:paraId="6B3E93F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67-98%</w:t>
            </w:r>
          </w:p>
        </w:tc>
        <w:tc>
          <w:tcPr>
            <w:tcW w:w="587" w:type="pct"/>
          </w:tcPr>
          <w:p w14:paraId="5AC07D7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630" w:type="pct"/>
          </w:tcPr>
          <w:p w14:paraId="259A4AB9" w14:textId="3F5B5989" w:rsidR="002471A8" w:rsidRPr="00E97FC1" w:rsidRDefault="002471A8" w:rsidP="002471A8">
            <w:pPr>
              <w:rPr>
                <w:rFonts w:ascii="Helvetica" w:hAnsi="Helvetica" w:cs="Helvetica"/>
                <w:noProof/>
                <w:sz w:val="16"/>
                <w:szCs w:val="20"/>
                <w:lang w:val="en-GB"/>
              </w:rPr>
            </w:pPr>
            <w:r w:rsidRPr="00E97FC1">
              <w:rPr>
                <w:rFonts w:ascii="Helvetica" w:hAnsi="Helvetica" w:cs="Helvetica"/>
                <w:noProof/>
                <w:sz w:val="16"/>
                <w:szCs w:val="20"/>
                <w:lang w:val="en-GB"/>
              </w:rPr>
              <w:fldChar w:fldCharType="begin" w:fldLock="1"/>
            </w:r>
            <w:r w:rsidR="00DC25DF" w:rsidRPr="00E97FC1">
              <w:rPr>
                <w:rFonts w:ascii="Helvetica" w:hAnsi="Helvetica" w:cs="Helvetica"/>
                <w:noProof/>
                <w:sz w:val="16"/>
                <w:szCs w:val="20"/>
                <w:lang w:val="en-GB"/>
              </w:rPr>
              <w:instrText>ADDIN CSL_CITATION {"citationItems":[{"id":"ITEM-1","itemData":{"DOI":"10.1021/bi501403t","ISSN":"1520-4995 (Electronic)","PMID":"25545070","abstract":"The NuoD segment (homologue of mitochondrial 49 kDa subunit) of the  proton-translocating NADH:quinone oxidoreductase (complex I/NDH-1) from Escherichia coli is in the hydrophilic domain and bears many highly conserved amino acid residues. The three-dimensional structural model of NDH-1 suggests that the NuoD segment, together with the neighboring subunits, constitutes a putative quinone binding cavity. We used the homologous DNA recombination technique to clarify the role of selected key amino acid residues of the NuoD segment. Among them, residues Tyr273 and His224 were considered candidates for having important interactions with the quinone headgroup. Mutant Y273F retained partial activity but lost sensitivity to capsaicin-40. Mutant H224R scarcely affected the activity, suggesting that this residue may not be essential. His224 is located in a loop near the N-terminus of the NuoD segment (Gly217-Phe227) which is considered to form part of the quinone binding cavity. In contrast to the His224 mutation, mutants G217V, P218A, and G225V almost completely lost the activity. One region of this loop is positioned close to a cytosolic loop of the NuoA subunit in the membrane domain, and together they seem to be important in keeping the quinone binding cavity intact. The structural role of the longest helix in the NuoD segment located behind the quinone binding cavity was also investigated. Possible roles of other highly conserved residues of the NuoD segment are discussed.","author":[{"dropping-particle":"","family":"Sinha","given":"Prem Kumar","non-dropping-particle":"","parse-names":false,"suffix":""},{"dropping-particle":"","family":"Castro-Guerrero","given":"Norma","non-dropping-particle":"","parse-names":false,"suffix":""},{"dropping-particle":"","family":"Patki","given":"Gaurav","non-dropping-particle":"","parse-names":false,"suffix":""},{"dropping-particle":"","family":"Sato","given":"Motoaki","non-dropping-particle":"","parse-names":false,"suffix":""},{"dropping-particle":"","family":"Torres-Bacete","given":"Jesus","non-dropping-particle":"","parse-names":false,"suffix":""},{"dropping-particle":"","family":"Sinha","given":"Subhash","non-dropping-particle":"","parse-names":false,"suffix":""},{"dropping-particle":"","family":"Miyoshi","given":"Hideto","non-dropping-particle":"","parse-names":false,"suffix":""},{"dropping-particle":"","family":"Matsuno-Yagi","given":"Akemi","non-dropping-particle":"","parse-names":false,"suffix":""},{"dropping-particle":"","family":"Yagi","given":"Takao","non-dropping-particle":"","parse-names":false,"suffix":""}],"container-title":"Biochemistry","id":"ITEM-1","issue":"3","issued":{"date-parts":[["2015","1"]]},"language":"eng","page":"753-764","title":"Conserved amino acid residues of the NuoD segment important for structure and  function of Escherichia coli NDH-1 (complex I).","type":"article-journal","volume":"54"},"uris":["http://www.mendeley.com/documents/?uuid=d24ae4eb-2d30-4ae6-9af2-979c836e1612"]}],"mendeley":{"formattedCitation":"(Sinha &lt;i&gt;et al&lt;/i&gt;, 2015)","plainTextFormattedCitation":"(Sinha et al, 2015)","previouslyFormattedCitation":"(Sinha &lt;i&gt;et al&lt;/i&gt;, 2015)"},"properties":{"noteIndex":0},"schema":"https://github.com/citation-style-language/schema/raw/master/csl-citation.json"}</w:instrText>
            </w:r>
            <w:r w:rsidRPr="00E97FC1">
              <w:rPr>
                <w:rFonts w:ascii="Helvetica" w:hAnsi="Helvetica" w:cs="Helvetica"/>
                <w:noProof/>
                <w:sz w:val="16"/>
                <w:szCs w:val="20"/>
                <w:lang w:val="en-GB"/>
              </w:rPr>
              <w:fldChar w:fldCharType="separate"/>
            </w:r>
            <w:r w:rsidRPr="00E97FC1">
              <w:rPr>
                <w:rFonts w:ascii="Helvetica" w:hAnsi="Helvetica" w:cs="Helvetica"/>
                <w:noProof/>
                <w:sz w:val="16"/>
                <w:szCs w:val="20"/>
                <w:lang w:val="en-GB"/>
              </w:rPr>
              <w:t xml:space="preserve">(Sinha </w:t>
            </w:r>
            <w:r w:rsidRPr="00E97FC1">
              <w:rPr>
                <w:rFonts w:ascii="Helvetica" w:hAnsi="Helvetica" w:cs="Helvetica"/>
                <w:i/>
                <w:noProof/>
                <w:sz w:val="16"/>
                <w:szCs w:val="20"/>
                <w:lang w:val="en-GB"/>
              </w:rPr>
              <w:t>et al</w:t>
            </w:r>
            <w:r w:rsidRPr="00E97FC1">
              <w:rPr>
                <w:rFonts w:ascii="Helvetica" w:hAnsi="Helvetica" w:cs="Helvetica"/>
                <w:noProof/>
                <w:sz w:val="16"/>
                <w:szCs w:val="20"/>
                <w:lang w:val="en-GB"/>
              </w:rPr>
              <w:t>, 2015)</w:t>
            </w:r>
            <w:r w:rsidRPr="00E97FC1">
              <w:rPr>
                <w:rFonts w:ascii="Helvetica" w:hAnsi="Helvetica" w:cs="Helvetica"/>
                <w:noProof/>
                <w:sz w:val="16"/>
                <w:szCs w:val="20"/>
                <w:lang w:val="en-GB"/>
              </w:rPr>
              <w:fldChar w:fldCharType="end"/>
            </w:r>
          </w:p>
        </w:tc>
      </w:tr>
      <w:tr w:rsidR="002471A8" w:rsidRPr="00E97FC1" w14:paraId="3F9B20BC" w14:textId="77777777" w:rsidTr="002471A8">
        <w:trPr>
          <w:trHeight w:val="65"/>
        </w:trPr>
        <w:tc>
          <w:tcPr>
            <w:tcW w:w="531" w:type="pct"/>
          </w:tcPr>
          <w:p w14:paraId="20F45B1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lastRenderedPageBreak/>
              <w:t>G229A</w:t>
            </w:r>
          </w:p>
        </w:tc>
        <w:tc>
          <w:tcPr>
            <w:tcW w:w="1314" w:type="pct"/>
            <w:vMerge/>
          </w:tcPr>
          <w:p w14:paraId="59578D05" w14:textId="77777777" w:rsidR="002471A8" w:rsidRPr="00E97FC1" w:rsidRDefault="002471A8" w:rsidP="002471A8">
            <w:pPr>
              <w:rPr>
                <w:rFonts w:ascii="Helvetica" w:hAnsi="Helvetica" w:cs="Helvetica"/>
                <w:bCs/>
                <w:sz w:val="20"/>
                <w:szCs w:val="20"/>
                <w:lang w:val="en-GB"/>
              </w:rPr>
            </w:pPr>
          </w:p>
        </w:tc>
        <w:tc>
          <w:tcPr>
            <w:tcW w:w="721" w:type="pct"/>
          </w:tcPr>
          <w:p w14:paraId="0EC9E8D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586" w:type="pct"/>
          </w:tcPr>
          <w:p w14:paraId="72F6226B"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67%</w:t>
            </w:r>
          </w:p>
        </w:tc>
        <w:tc>
          <w:tcPr>
            <w:tcW w:w="631" w:type="pct"/>
          </w:tcPr>
          <w:p w14:paraId="67936A6A"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24-38%</w:t>
            </w:r>
          </w:p>
        </w:tc>
        <w:tc>
          <w:tcPr>
            <w:tcW w:w="587" w:type="pct"/>
          </w:tcPr>
          <w:p w14:paraId="1D6654F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630" w:type="pct"/>
          </w:tcPr>
          <w:p w14:paraId="79D6C6F2" w14:textId="067A0625" w:rsidR="002471A8" w:rsidRPr="00E97FC1" w:rsidRDefault="002471A8" w:rsidP="002471A8">
            <w:pPr>
              <w:rPr>
                <w:rFonts w:ascii="Helvetica" w:hAnsi="Helvetica" w:cs="Helvetica"/>
                <w:noProof/>
                <w:sz w:val="16"/>
                <w:szCs w:val="20"/>
                <w:lang w:val="en-GB"/>
              </w:rPr>
            </w:pPr>
            <w:r w:rsidRPr="00E97FC1">
              <w:rPr>
                <w:rFonts w:ascii="Helvetica" w:hAnsi="Helvetica" w:cs="Helvetica"/>
                <w:noProof/>
                <w:sz w:val="16"/>
                <w:szCs w:val="20"/>
                <w:lang w:val="en-GB"/>
              </w:rPr>
              <w:fldChar w:fldCharType="begin" w:fldLock="1"/>
            </w:r>
            <w:r w:rsidR="00DC25DF" w:rsidRPr="00E97FC1">
              <w:rPr>
                <w:rFonts w:ascii="Helvetica" w:hAnsi="Helvetica" w:cs="Helvetica"/>
                <w:noProof/>
                <w:sz w:val="16"/>
                <w:szCs w:val="20"/>
                <w:lang w:val="en-GB"/>
              </w:rPr>
              <w:instrText>ADDIN CSL_CITATION {"citationItems":[{"id":"ITEM-1","itemData":{"DOI":"10.1021/bi501403t","ISSN":"1520-4995 (Electronic)","PMID":"25545070","abstract":"The NuoD segment (homologue of mitochondrial 49 kDa subunit) of the  proton-translocating NADH:quinone oxidoreductase (complex I/NDH-1) from Escherichia coli is in the hydrophilic domain and bears many highly conserved amino acid residues. The three-dimensional structural model of NDH-1 suggests that the NuoD segment, together with the neighboring subunits, constitutes a putative quinone binding cavity. We used the homologous DNA recombination technique to clarify the role of selected key amino acid residues of the NuoD segment. Among them, residues Tyr273 and His224 were considered candidates for having important interactions with the quinone headgroup. Mutant Y273F retained partial activity but lost sensitivity to capsaicin-40. Mutant H224R scarcely affected the activity, suggesting that this residue may not be essential. His224 is located in a loop near the N-terminus of the NuoD segment (Gly217-Phe227) which is considered to form part of the quinone binding cavity. In contrast to the His224 mutation, mutants G217V, P218A, and G225V almost completely lost the activity. One region of this loop is positioned close to a cytosolic loop of the NuoA subunit in the membrane domain, and together they seem to be important in keeping the quinone binding cavity intact. The structural role of the longest helix in the NuoD segment located behind the quinone binding cavity was also investigated. Possible roles of other highly conserved residues of the NuoD segment are discussed.","author":[{"dropping-particle":"","family":"Sinha","given":"Prem Kumar","non-dropping-particle":"","parse-names":false,"suffix":""},{"dropping-particle":"","family":"Castro-Guerrero","given":"Norma","non-dropping-particle":"","parse-names":false,"suffix":""},{"dropping-particle":"","family":"Patki","given":"Gaurav","non-dropping-particle":"","parse-names":false,"suffix":""},{"dropping-particle":"","family":"Sato","given":"Motoaki","non-dropping-particle":"","parse-names":false,"suffix":""},{"dropping-particle":"","family":"Torres-Bacete","given":"Jesus","non-dropping-particle":"","parse-names":false,"suffix":""},{"dropping-particle":"","family":"Sinha","given":"Subhash","non-dropping-particle":"","parse-names":false,"suffix":""},{"dropping-particle":"","family":"Miyoshi","given":"Hideto","non-dropping-particle":"","parse-names":false,"suffix":""},{"dropping-particle":"","family":"Matsuno-Yagi","given":"Akemi","non-dropping-particle":"","parse-names":false,"suffix":""},{"dropping-particle":"","family":"Yagi","given":"Takao","non-dropping-particle":"","parse-names":false,"suffix":""}],"container-title":"Biochemistry","id":"ITEM-1","issue":"3","issued":{"date-parts":[["2015","1"]]},"language":"eng","page":"753-764","title":"Conserved amino acid residues of the NuoD segment important for structure and  function of Escherichia coli NDH-1 (complex I).","type":"article-journal","volume":"54"},"uris":["http://www.mendeley.com/documents/?uuid=d24ae4eb-2d30-4ae6-9af2-979c836e1612"]}],"mendeley":{"formattedCitation":"(Sinha &lt;i&gt;et al&lt;/i&gt;, 2015)","plainTextFormattedCitation":"(Sinha et al, 2015)","previouslyFormattedCitation":"(Sinha &lt;i&gt;et al&lt;/i&gt;, 2015)"},"properties":{"noteIndex":0},"schema":"https://github.com/citation-style-language/schema/raw/master/csl-citation.json"}</w:instrText>
            </w:r>
            <w:r w:rsidRPr="00E97FC1">
              <w:rPr>
                <w:rFonts w:ascii="Helvetica" w:hAnsi="Helvetica" w:cs="Helvetica"/>
                <w:noProof/>
                <w:sz w:val="16"/>
                <w:szCs w:val="20"/>
                <w:lang w:val="en-GB"/>
              </w:rPr>
              <w:fldChar w:fldCharType="separate"/>
            </w:r>
            <w:r w:rsidRPr="00E97FC1">
              <w:rPr>
                <w:rFonts w:ascii="Helvetica" w:hAnsi="Helvetica" w:cs="Helvetica"/>
                <w:noProof/>
                <w:sz w:val="16"/>
                <w:szCs w:val="20"/>
                <w:lang w:val="en-GB"/>
              </w:rPr>
              <w:t xml:space="preserve">(Sinha </w:t>
            </w:r>
            <w:r w:rsidRPr="00E97FC1">
              <w:rPr>
                <w:rFonts w:ascii="Helvetica" w:hAnsi="Helvetica" w:cs="Helvetica"/>
                <w:i/>
                <w:noProof/>
                <w:sz w:val="16"/>
                <w:szCs w:val="20"/>
                <w:lang w:val="en-GB"/>
              </w:rPr>
              <w:t>et al</w:t>
            </w:r>
            <w:r w:rsidRPr="00E97FC1">
              <w:rPr>
                <w:rFonts w:ascii="Helvetica" w:hAnsi="Helvetica" w:cs="Helvetica"/>
                <w:noProof/>
                <w:sz w:val="16"/>
                <w:szCs w:val="20"/>
                <w:lang w:val="en-GB"/>
              </w:rPr>
              <w:t>, 2015)</w:t>
            </w:r>
            <w:r w:rsidRPr="00E97FC1">
              <w:rPr>
                <w:rFonts w:ascii="Helvetica" w:hAnsi="Helvetica" w:cs="Helvetica"/>
                <w:noProof/>
                <w:sz w:val="16"/>
                <w:szCs w:val="20"/>
                <w:lang w:val="en-GB"/>
              </w:rPr>
              <w:fldChar w:fldCharType="end"/>
            </w:r>
          </w:p>
        </w:tc>
      </w:tr>
      <w:tr w:rsidR="002471A8" w:rsidRPr="00E97FC1" w14:paraId="263C051F" w14:textId="77777777" w:rsidTr="002471A8">
        <w:trPr>
          <w:trHeight w:val="65"/>
        </w:trPr>
        <w:tc>
          <w:tcPr>
            <w:tcW w:w="531" w:type="pct"/>
          </w:tcPr>
          <w:p w14:paraId="3D4398A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lastRenderedPageBreak/>
              <w:t>G229V</w:t>
            </w:r>
          </w:p>
        </w:tc>
        <w:tc>
          <w:tcPr>
            <w:tcW w:w="1314" w:type="pct"/>
            <w:vMerge/>
          </w:tcPr>
          <w:p w14:paraId="6543F5AA" w14:textId="77777777" w:rsidR="002471A8" w:rsidRPr="00E97FC1" w:rsidRDefault="002471A8" w:rsidP="002471A8">
            <w:pPr>
              <w:rPr>
                <w:rFonts w:ascii="Helvetica" w:hAnsi="Helvetica" w:cs="Helvetica"/>
                <w:bCs/>
                <w:sz w:val="20"/>
                <w:szCs w:val="20"/>
                <w:lang w:val="en-GB"/>
              </w:rPr>
            </w:pPr>
          </w:p>
        </w:tc>
        <w:tc>
          <w:tcPr>
            <w:tcW w:w="721" w:type="pct"/>
          </w:tcPr>
          <w:p w14:paraId="7B34610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reduced</w:t>
            </w:r>
          </w:p>
        </w:tc>
        <w:tc>
          <w:tcPr>
            <w:tcW w:w="586" w:type="pct"/>
          </w:tcPr>
          <w:p w14:paraId="237B6DC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42%</w:t>
            </w:r>
          </w:p>
        </w:tc>
        <w:tc>
          <w:tcPr>
            <w:tcW w:w="631" w:type="pct"/>
          </w:tcPr>
          <w:p w14:paraId="512F97DA"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1-4%</w:t>
            </w:r>
          </w:p>
        </w:tc>
        <w:tc>
          <w:tcPr>
            <w:tcW w:w="587" w:type="pct"/>
          </w:tcPr>
          <w:p w14:paraId="29E16C40"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630" w:type="pct"/>
          </w:tcPr>
          <w:p w14:paraId="480295DC" w14:textId="57075565" w:rsidR="002471A8" w:rsidRPr="00E97FC1" w:rsidRDefault="002471A8" w:rsidP="002471A8">
            <w:pPr>
              <w:rPr>
                <w:rFonts w:ascii="Helvetica" w:hAnsi="Helvetica" w:cs="Helvetica"/>
                <w:noProof/>
                <w:sz w:val="16"/>
                <w:szCs w:val="20"/>
                <w:lang w:val="en-GB"/>
              </w:rPr>
            </w:pPr>
            <w:r w:rsidRPr="00E97FC1">
              <w:rPr>
                <w:rFonts w:ascii="Helvetica" w:hAnsi="Helvetica" w:cs="Helvetica"/>
                <w:noProof/>
                <w:sz w:val="16"/>
                <w:szCs w:val="20"/>
                <w:lang w:val="en-GB"/>
              </w:rPr>
              <w:fldChar w:fldCharType="begin" w:fldLock="1"/>
            </w:r>
            <w:r w:rsidR="00DC25DF" w:rsidRPr="00E97FC1">
              <w:rPr>
                <w:rFonts w:ascii="Helvetica" w:hAnsi="Helvetica" w:cs="Helvetica"/>
                <w:noProof/>
                <w:sz w:val="16"/>
                <w:szCs w:val="20"/>
                <w:lang w:val="en-GB"/>
              </w:rPr>
              <w:instrText>ADDIN CSL_CITATION {"citationItems":[{"id":"ITEM-1","itemData":{"DOI":"10.1021/bi501403t","ISSN":"1520-4995 (Electronic)","PMID":"25545070","abstract":"The NuoD segment (homologue of mitochondrial 49 kDa subunit) of the  proton-translocating NADH:quinone oxidoreductase (complex I/NDH-1) from Escherichia coli is in the hydrophilic domain and bears many highly conserved amino acid residues. The three-dimensional structural model of NDH-1 suggests that the NuoD segment, together with the neighboring subunits, constitutes a putative quinone binding cavity. We used the homologous DNA recombination technique to clarify the role of selected key amino acid residues of the NuoD segment. Among them, residues Tyr273 and His224 were considered candidates for having important interactions with the quinone headgroup. Mutant Y273F retained partial activity but lost sensitivity to capsaicin-40. Mutant H224R scarcely affected the activity, suggesting that this residue may not be essential. His224 is located in a loop near the N-terminus of the NuoD segment (Gly217-Phe227) which is considered to form part of the quinone binding cavity. In contrast to the His224 mutation, mutants G217V, P218A, and G225V almost completely lost the activity. One region of this loop is positioned close to a cytosolic loop of the NuoA subunit in the membrane domain, and together they seem to be important in keeping the quinone binding cavity intact. The structural role of the longest helix in the NuoD segment located behind the quinone binding cavity was also investigated. Possible roles of other highly conserved residues of the NuoD segment are discussed.","author":[{"dropping-particle":"","family":"Sinha","given":"Prem Kumar","non-dropping-particle":"","parse-names":false,"suffix":""},{"dropping-particle":"","family":"Castro-Guerrero","given":"Norma","non-dropping-particle":"","parse-names":false,"suffix":""},{"dropping-particle":"","family":"Patki","given":"Gaurav","non-dropping-particle":"","parse-names":false,"suffix":""},{"dropping-particle":"","family":"Sato","given":"Motoaki","non-dropping-particle":"","parse-names":false,"suffix":""},{"dropping-particle":"","family":"Torres-Bacete","given":"Jesus","non-dropping-particle":"","parse-names":false,"suffix":""},{"dropping-particle":"","family":"Sinha","given":"Subhash","non-dropping-particle":"","parse-names":false,"suffix":""},{"dropping-particle":"","family":"Miyoshi","given":"Hideto","non-dropping-particle":"","parse-names":false,"suffix":""},{"dropping-particle":"","family":"Matsuno-Yagi","given":"Akemi","non-dropping-particle":"","parse-names":false,"suffix":""},{"dropping-particle":"","family":"Yagi","given":"Takao","non-dropping-particle":"","parse-names":false,"suffix":""}],"container-title":"Biochemistry","id":"ITEM-1","issue":"3","issued":{"date-parts":[["2015","1"]]},"language":"eng","page":"753-764","title":"Conserved amino acid residues of the NuoD segment important for structure and  function of Escherichia coli NDH-1 (complex I).","type":"article-journal","volume":"54"},"uris":["http://www.mendeley.com/documents/?uuid=d24ae4eb-2d30-4ae6-9af2-979c836e1612"]}],"mendeley":{"formattedCitation":"(Sinha &lt;i&gt;et al&lt;/i&gt;, 2015)","plainTextFormattedCitation":"(Sinha et al, 2015)","previouslyFormattedCitation":"(Sinha &lt;i&gt;et al&lt;/i&gt;, 2015)"},"properties":{"noteIndex":0},"schema":"https://github.com/citation-style-language/schema/raw/master/csl-citation.json"}</w:instrText>
            </w:r>
            <w:r w:rsidRPr="00E97FC1">
              <w:rPr>
                <w:rFonts w:ascii="Helvetica" w:hAnsi="Helvetica" w:cs="Helvetica"/>
                <w:noProof/>
                <w:sz w:val="16"/>
                <w:szCs w:val="20"/>
                <w:lang w:val="en-GB"/>
              </w:rPr>
              <w:fldChar w:fldCharType="separate"/>
            </w:r>
            <w:r w:rsidRPr="00E97FC1">
              <w:rPr>
                <w:rFonts w:ascii="Helvetica" w:hAnsi="Helvetica" w:cs="Helvetica"/>
                <w:noProof/>
                <w:sz w:val="16"/>
                <w:szCs w:val="20"/>
                <w:lang w:val="en-GB"/>
              </w:rPr>
              <w:t xml:space="preserve">(Sinha </w:t>
            </w:r>
            <w:r w:rsidRPr="00E97FC1">
              <w:rPr>
                <w:rFonts w:ascii="Helvetica" w:hAnsi="Helvetica" w:cs="Helvetica"/>
                <w:i/>
                <w:noProof/>
                <w:sz w:val="16"/>
                <w:szCs w:val="20"/>
                <w:lang w:val="en-GB"/>
              </w:rPr>
              <w:t>et al</w:t>
            </w:r>
            <w:r w:rsidRPr="00E97FC1">
              <w:rPr>
                <w:rFonts w:ascii="Helvetica" w:hAnsi="Helvetica" w:cs="Helvetica"/>
                <w:noProof/>
                <w:sz w:val="16"/>
                <w:szCs w:val="20"/>
                <w:lang w:val="en-GB"/>
              </w:rPr>
              <w:t>, 2015)</w:t>
            </w:r>
            <w:r w:rsidRPr="00E97FC1">
              <w:rPr>
                <w:rFonts w:ascii="Helvetica" w:hAnsi="Helvetica" w:cs="Helvetica"/>
                <w:noProof/>
                <w:sz w:val="16"/>
                <w:szCs w:val="20"/>
                <w:lang w:val="en-GB"/>
              </w:rPr>
              <w:fldChar w:fldCharType="end"/>
            </w:r>
          </w:p>
        </w:tc>
      </w:tr>
      <w:tr w:rsidR="002471A8" w:rsidRPr="00E97FC1" w14:paraId="6245E59A" w14:textId="77777777" w:rsidTr="002471A8">
        <w:trPr>
          <w:trHeight w:val="65"/>
        </w:trPr>
        <w:tc>
          <w:tcPr>
            <w:tcW w:w="531" w:type="pct"/>
          </w:tcPr>
          <w:p w14:paraId="679D34D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R232A</w:t>
            </w:r>
          </w:p>
        </w:tc>
        <w:tc>
          <w:tcPr>
            <w:tcW w:w="1314" w:type="pct"/>
            <w:vMerge/>
          </w:tcPr>
          <w:p w14:paraId="15007632" w14:textId="77777777" w:rsidR="002471A8" w:rsidRPr="00E97FC1" w:rsidRDefault="002471A8" w:rsidP="002471A8">
            <w:pPr>
              <w:rPr>
                <w:rFonts w:ascii="Helvetica" w:hAnsi="Helvetica" w:cs="Helvetica"/>
                <w:bCs/>
                <w:sz w:val="20"/>
                <w:szCs w:val="20"/>
                <w:lang w:val="en-GB"/>
              </w:rPr>
            </w:pPr>
          </w:p>
        </w:tc>
        <w:tc>
          <w:tcPr>
            <w:tcW w:w="721" w:type="pct"/>
          </w:tcPr>
          <w:p w14:paraId="4DC3131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586" w:type="pct"/>
          </w:tcPr>
          <w:p w14:paraId="4FC0124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76%</w:t>
            </w:r>
          </w:p>
        </w:tc>
        <w:tc>
          <w:tcPr>
            <w:tcW w:w="631" w:type="pct"/>
          </w:tcPr>
          <w:p w14:paraId="168AEF9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50-74%</w:t>
            </w:r>
          </w:p>
        </w:tc>
        <w:tc>
          <w:tcPr>
            <w:tcW w:w="587" w:type="pct"/>
          </w:tcPr>
          <w:p w14:paraId="6B171321"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630" w:type="pct"/>
          </w:tcPr>
          <w:p w14:paraId="6F45C28F" w14:textId="625A0700" w:rsidR="002471A8" w:rsidRPr="00E97FC1" w:rsidRDefault="002471A8" w:rsidP="002471A8">
            <w:pPr>
              <w:rPr>
                <w:rFonts w:ascii="Helvetica" w:hAnsi="Helvetica" w:cs="Helvetica"/>
                <w:noProof/>
                <w:sz w:val="16"/>
                <w:szCs w:val="20"/>
                <w:lang w:val="en-GB"/>
              </w:rPr>
            </w:pPr>
            <w:r w:rsidRPr="00E97FC1">
              <w:rPr>
                <w:rFonts w:ascii="Helvetica" w:hAnsi="Helvetica" w:cs="Helvetica"/>
                <w:noProof/>
                <w:sz w:val="16"/>
                <w:szCs w:val="20"/>
                <w:lang w:val="en-GB"/>
              </w:rPr>
              <w:fldChar w:fldCharType="begin" w:fldLock="1"/>
            </w:r>
            <w:r w:rsidR="00DC25DF" w:rsidRPr="00E97FC1">
              <w:rPr>
                <w:rFonts w:ascii="Helvetica" w:hAnsi="Helvetica" w:cs="Helvetica"/>
                <w:noProof/>
                <w:sz w:val="16"/>
                <w:szCs w:val="20"/>
                <w:lang w:val="en-GB"/>
              </w:rPr>
              <w:instrText>ADDIN CSL_CITATION {"citationItems":[{"id":"ITEM-1","itemData":{"DOI":"10.1021/bi501403t","ISSN":"1520-4995 (Electronic)","PMID":"25545070","abstract":"The NuoD segment (homologue of mitochondrial 49 kDa subunit) of the  proton-translocating NADH:quinone oxidoreductase (complex I/NDH-1) from Escherichia coli is in the hydrophilic domain and bears many highly conserved amino acid residues. The three-dimensional structural model of NDH-1 suggests that the NuoD segment, together with the neighboring subunits, constitutes a putative quinone binding cavity. We used the homologous DNA recombination technique to clarify the role of selected key amino acid residues of the NuoD segment. Among them, residues Tyr273 and His224 were considered candidates for having important interactions with the quinone headgroup. Mutant Y273F retained partial activity but lost sensitivity to capsaicin-40. Mutant H224R scarcely affected the activity, suggesting that this residue may not be essential. His224 is located in a loop near the N-terminus of the NuoD segment (Gly217-Phe227) which is considered to form part of the quinone binding cavity. In contrast to the His224 mutation, mutants G217V, P218A, and G225V almost completely lost the activity. One region of this loop is positioned close to a cytosolic loop of the NuoA subunit in the membrane domain, and together they seem to be important in keeping the quinone binding cavity intact. The structural role of the longest helix in the NuoD segment located behind the quinone binding cavity was also investigated. Possible roles of other highly conserved residues of the NuoD segment are discussed.","author":[{"dropping-particle":"","family":"Sinha","given":"Prem Kumar","non-dropping-particle":"","parse-names":false,"suffix":""},{"dropping-particle":"","family":"Castro-Guerrero","given":"Norma","non-dropping-particle":"","parse-names":false,"suffix":""},{"dropping-particle":"","family":"Patki","given":"Gaurav","non-dropping-particle":"","parse-names":false,"suffix":""},{"dropping-particle":"","family":"Sato","given":"Motoaki","non-dropping-particle":"","parse-names":false,"suffix":""},{"dropping-particle":"","family":"Torres-Bacete","given":"Jesus","non-dropping-particle":"","parse-names":false,"suffix":""},{"dropping-particle":"","family":"Sinha","given":"Subhash","non-dropping-particle":"","parse-names":false,"suffix":""},{"dropping-particle":"","family":"Miyoshi","given":"Hideto","non-dropping-particle":"","parse-names":false,"suffix":""},{"dropping-particle":"","family":"Matsuno-Yagi","given":"Akemi","non-dropping-particle":"","parse-names":false,"suffix":""},{"dropping-particle":"","family":"Yagi","given":"Takao","non-dropping-particle":"","parse-names":false,"suffix":""}],"container-title":"Biochemistry","id":"ITEM-1","issue":"3","issued":{"date-parts":[["2015","1"]]},"language":"eng","page":"753-764","title":"Conserved amino acid residues of the NuoD segment important for structure and  function of Escherichia coli NDH-1 (complex I).","type":"article-journal","volume":"54"},"uris":["http://www.mendeley.com/documents/?uuid=d24ae4eb-2d30-4ae6-9af2-979c836e1612"]}],"mendeley":{"formattedCitation":"(Sinha &lt;i&gt;et al&lt;/i&gt;, 2015)","plainTextFormattedCitation":"(Sinha et al, 2015)","previouslyFormattedCitation":"(Sinha &lt;i&gt;et al&lt;/i&gt;, 2015)"},"properties":{"noteIndex":0},"schema":"https://github.com/citation-style-language/schema/raw/master/csl-citation.json"}</w:instrText>
            </w:r>
            <w:r w:rsidRPr="00E97FC1">
              <w:rPr>
                <w:rFonts w:ascii="Helvetica" w:hAnsi="Helvetica" w:cs="Helvetica"/>
                <w:noProof/>
                <w:sz w:val="16"/>
                <w:szCs w:val="20"/>
                <w:lang w:val="en-GB"/>
              </w:rPr>
              <w:fldChar w:fldCharType="separate"/>
            </w:r>
            <w:r w:rsidRPr="00E97FC1">
              <w:rPr>
                <w:rFonts w:ascii="Helvetica" w:hAnsi="Helvetica" w:cs="Helvetica"/>
                <w:noProof/>
                <w:sz w:val="16"/>
                <w:szCs w:val="20"/>
                <w:lang w:val="en-GB"/>
              </w:rPr>
              <w:t xml:space="preserve">(Sinha </w:t>
            </w:r>
            <w:r w:rsidRPr="00E97FC1">
              <w:rPr>
                <w:rFonts w:ascii="Helvetica" w:hAnsi="Helvetica" w:cs="Helvetica"/>
                <w:i/>
                <w:noProof/>
                <w:sz w:val="16"/>
                <w:szCs w:val="20"/>
                <w:lang w:val="en-GB"/>
              </w:rPr>
              <w:t>et al</w:t>
            </w:r>
            <w:r w:rsidRPr="00E97FC1">
              <w:rPr>
                <w:rFonts w:ascii="Helvetica" w:hAnsi="Helvetica" w:cs="Helvetica"/>
                <w:noProof/>
                <w:sz w:val="16"/>
                <w:szCs w:val="20"/>
                <w:lang w:val="en-GB"/>
              </w:rPr>
              <w:t>, 2015)</w:t>
            </w:r>
            <w:r w:rsidRPr="00E97FC1">
              <w:rPr>
                <w:rFonts w:ascii="Helvetica" w:hAnsi="Helvetica" w:cs="Helvetica"/>
                <w:noProof/>
                <w:sz w:val="16"/>
                <w:szCs w:val="20"/>
                <w:lang w:val="en-GB"/>
              </w:rPr>
              <w:fldChar w:fldCharType="end"/>
            </w:r>
          </w:p>
        </w:tc>
      </w:tr>
      <w:tr w:rsidR="002471A8" w:rsidRPr="00E97FC1" w14:paraId="3BCBAC1E" w14:textId="77777777" w:rsidTr="002471A8">
        <w:trPr>
          <w:trHeight w:val="65"/>
        </w:trPr>
        <w:tc>
          <w:tcPr>
            <w:tcW w:w="531" w:type="pct"/>
          </w:tcPr>
          <w:p w14:paraId="2E86365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R232K</w:t>
            </w:r>
          </w:p>
        </w:tc>
        <w:tc>
          <w:tcPr>
            <w:tcW w:w="1314" w:type="pct"/>
            <w:vMerge/>
          </w:tcPr>
          <w:p w14:paraId="6DDE6E15" w14:textId="77777777" w:rsidR="002471A8" w:rsidRPr="00E97FC1" w:rsidRDefault="002471A8" w:rsidP="002471A8">
            <w:pPr>
              <w:rPr>
                <w:rFonts w:ascii="Helvetica" w:hAnsi="Helvetica" w:cs="Helvetica"/>
                <w:bCs/>
                <w:sz w:val="20"/>
                <w:szCs w:val="20"/>
                <w:lang w:val="en-GB"/>
              </w:rPr>
            </w:pPr>
          </w:p>
        </w:tc>
        <w:tc>
          <w:tcPr>
            <w:tcW w:w="721" w:type="pct"/>
          </w:tcPr>
          <w:p w14:paraId="0931FF5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586" w:type="pct"/>
          </w:tcPr>
          <w:p w14:paraId="5E1E3D4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80%</w:t>
            </w:r>
          </w:p>
        </w:tc>
        <w:tc>
          <w:tcPr>
            <w:tcW w:w="631" w:type="pct"/>
          </w:tcPr>
          <w:p w14:paraId="4921598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61-93%</w:t>
            </w:r>
          </w:p>
        </w:tc>
        <w:tc>
          <w:tcPr>
            <w:tcW w:w="587" w:type="pct"/>
          </w:tcPr>
          <w:p w14:paraId="1F748B9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630" w:type="pct"/>
          </w:tcPr>
          <w:p w14:paraId="551C5A93" w14:textId="53C76C2D" w:rsidR="002471A8" w:rsidRPr="00E97FC1" w:rsidRDefault="002471A8" w:rsidP="002471A8">
            <w:pPr>
              <w:rPr>
                <w:rFonts w:ascii="Helvetica" w:hAnsi="Helvetica" w:cs="Helvetica"/>
                <w:noProof/>
                <w:sz w:val="16"/>
                <w:szCs w:val="20"/>
                <w:lang w:val="en-GB"/>
              </w:rPr>
            </w:pPr>
            <w:r w:rsidRPr="00E97FC1">
              <w:rPr>
                <w:rFonts w:ascii="Helvetica" w:hAnsi="Helvetica" w:cs="Helvetica"/>
                <w:noProof/>
                <w:sz w:val="16"/>
                <w:szCs w:val="20"/>
                <w:lang w:val="en-GB"/>
              </w:rPr>
              <w:fldChar w:fldCharType="begin" w:fldLock="1"/>
            </w:r>
            <w:r w:rsidR="00DC25DF" w:rsidRPr="00E97FC1">
              <w:rPr>
                <w:rFonts w:ascii="Helvetica" w:hAnsi="Helvetica" w:cs="Helvetica"/>
                <w:noProof/>
                <w:sz w:val="16"/>
                <w:szCs w:val="20"/>
                <w:lang w:val="en-GB"/>
              </w:rPr>
              <w:instrText>ADDIN CSL_CITATION {"citationItems":[{"id":"ITEM-1","itemData":{"DOI":"10.1021/bi501403t","ISSN":"1520-4995 (Electronic)","PMID":"25545070","abstract":"The NuoD segment (homologue of mitochondrial 49 kDa subunit) of the  proton-translocating NADH:quinone oxidoreductase (complex I/NDH-1) from Escherichia coli is in the hydrophilic domain and bears many highly conserved amino acid residues. The three-dimensional structural model of NDH-1 suggests that the NuoD segment, together with the neighboring subunits, constitutes a putative quinone binding cavity. We used the homologous DNA recombination technique to clarify the role of selected key amino acid residues of the NuoD segment. Among them, residues Tyr273 and His224 were considered candidates for having important interactions with the quinone headgroup. Mutant Y273F retained partial activity but lost sensitivity to capsaicin-40. Mutant H224R scarcely affected the activity, suggesting that this residue may not be essential. His224 is located in a loop near the N-terminus of the NuoD segment (Gly217-Phe227) which is considered to form part of the quinone binding cavity. In contrast to the His224 mutation, mutants G217V, P218A, and G225V almost completely lost the activity. One region of this loop is positioned close to a cytosolic loop of the NuoA subunit in the membrane domain, and together they seem to be important in keeping the quinone binding cavity intact. The structural role of the longest helix in the NuoD segment located behind the quinone binding cavity was also investigated. Possible roles of other highly conserved residues of the NuoD segment are discussed.","author":[{"dropping-particle":"","family":"Sinha","given":"Prem Kumar","non-dropping-particle":"","parse-names":false,"suffix":""},{"dropping-particle":"","family":"Castro-Guerrero","given":"Norma","non-dropping-particle":"","parse-names":false,"suffix":""},{"dropping-particle":"","family":"Patki","given":"Gaurav","non-dropping-particle":"","parse-names":false,"suffix":""},{"dropping-particle":"","family":"Sato","given":"Motoaki","non-dropping-particle":"","parse-names":false,"suffix":""},{"dropping-particle":"","family":"Torres-Bacete","given":"Jesus","non-dropping-particle":"","parse-names":false,"suffix":""},{"dropping-particle":"","family":"Sinha","given":"Subhash","non-dropping-particle":"","parse-names":false,"suffix":""},{"dropping-particle":"","family":"Miyoshi","given":"Hideto","non-dropping-particle":"","parse-names":false,"suffix":""},{"dropping-particle":"","family":"Matsuno-Yagi","given":"Akemi","non-dropping-particle":"","parse-names":false,"suffix":""},{"dropping-particle":"","family":"Yagi","given":"Takao","non-dropping-particle":"","parse-names":false,"suffix":""}],"container-title":"Biochemistry","id":"ITEM-1","issue":"3","issued":{"date-parts":[["2015","1"]]},"language":"eng","page":"753-764","title":"Conserved amino acid residues of the NuoD segment important for structure and  function of Escherichia coli NDH-1 (complex I).","type":"article-journal","volume":"54"},"uris":["http://www.mendeley.com/documents/?uuid=d24ae4eb-2d30-4ae6-9af2-979c836e1612"]}],"mendeley":{"formattedCitation":"(Sinha &lt;i&gt;et al&lt;/i&gt;, 2015)","plainTextFormattedCitation":"(Sinha et al, 2015)","previouslyFormattedCitation":"(Sinha &lt;i&gt;et al&lt;/i&gt;, 2015)"},"properties":{"noteIndex":0},"schema":"https://github.com/citation-style-language/schema/raw/master/csl-citation.json"}</w:instrText>
            </w:r>
            <w:r w:rsidRPr="00E97FC1">
              <w:rPr>
                <w:rFonts w:ascii="Helvetica" w:hAnsi="Helvetica" w:cs="Helvetica"/>
                <w:noProof/>
                <w:sz w:val="16"/>
                <w:szCs w:val="20"/>
                <w:lang w:val="en-GB"/>
              </w:rPr>
              <w:fldChar w:fldCharType="separate"/>
            </w:r>
            <w:r w:rsidRPr="00E97FC1">
              <w:rPr>
                <w:rFonts w:ascii="Helvetica" w:hAnsi="Helvetica" w:cs="Helvetica"/>
                <w:noProof/>
                <w:sz w:val="16"/>
                <w:szCs w:val="20"/>
                <w:lang w:val="en-GB"/>
              </w:rPr>
              <w:t xml:space="preserve">(Sinha </w:t>
            </w:r>
            <w:r w:rsidRPr="00E97FC1">
              <w:rPr>
                <w:rFonts w:ascii="Helvetica" w:hAnsi="Helvetica" w:cs="Helvetica"/>
                <w:i/>
                <w:noProof/>
                <w:sz w:val="16"/>
                <w:szCs w:val="20"/>
                <w:lang w:val="en-GB"/>
              </w:rPr>
              <w:t>et al</w:t>
            </w:r>
            <w:r w:rsidRPr="00E97FC1">
              <w:rPr>
                <w:rFonts w:ascii="Helvetica" w:hAnsi="Helvetica" w:cs="Helvetica"/>
                <w:noProof/>
                <w:sz w:val="16"/>
                <w:szCs w:val="20"/>
                <w:lang w:val="en-GB"/>
              </w:rPr>
              <w:t>, 2015)</w:t>
            </w:r>
            <w:r w:rsidRPr="00E97FC1">
              <w:rPr>
                <w:rFonts w:ascii="Helvetica" w:hAnsi="Helvetica" w:cs="Helvetica"/>
                <w:noProof/>
                <w:sz w:val="16"/>
                <w:szCs w:val="20"/>
                <w:lang w:val="en-GB"/>
              </w:rPr>
              <w:fldChar w:fldCharType="end"/>
            </w:r>
          </w:p>
        </w:tc>
      </w:tr>
      <w:tr w:rsidR="002471A8" w:rsidRPr="00E97FC1" w14:paraId="1859933E" w14:textId="77777777" w:rsidTr="002471A8">
        <w:trPr>
          <w:trHeight w:val="65"/>
        </w:trPr>
        <w:tc>
          <w:tcPr>
            <w:tcW w:w="531" w:type="pct"/>
          </w:tcPr>
          <w:p w14:paraId="0F96D84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G239A</w:t>
            </w:r>
          </w:p>
        </w:tc>
        <w:tc>
          <w:tcPr>
            <w:tcW w:w="1314" w:type="pct"/>
            <w:vMerge w:val="restart"/>
          </w:tcPr>
          <w:p w14:paraId="28F34241"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NuoA loop interface</w:t>
            </w:r>
          </w:p>
        </w:tc>
        <w:tc>
          <w:tcPr>
            <w:tcW w:w="721" w:type="pct"/>
          </w:tcPr>
          <w:p w14:paraId="17418F2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586" w:type="pct"/>
          </w:tcPr>
          <w:p w14:paraId="491CC4D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96%</w:t>
            </w:r>
          </w:p>
        </w:tc>
        <w:tc>
          <w:tcPr>
            <w:tcW w:w="631" w:type="pct"/>
          </w:tcPr>
          <w:p w14:paraId="6FB7925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88-118%</w:t>
            </w:r>
          </w:p>
        </w:tc>
        <w:tc>
          <w:tcPr>
            <w:tcW w:w="587" w:type="pct"/>
          </w:tcPr>
          <w:p w14:paraId="7075FC94"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630" w:type="pct"/>
          </w:tcPr>
          <w:p w14:paraId="7967A609" w14:textId="1D50918E" w:rsidR="002471A8" w:rsidRPr="00E97FC1" w:rsidRDefault="002471A8" w:rsidP="002471A8">
            <w:pPr>
              <w:rPr>
                <w:rFonts w:ascii="Helvetica" w:hAnsi="Helvetica" w:cs="Helvetica"/>
                <w:noProof/>
                <w:sz w:val="16"/>
                <w:szCs w:val="20"/>
                <w:lang w:val="en-GB"/>
              </w:rPr>
            </w:pPr>
            <w:r w:rsidRPr="00E97FC1">
              <w:rPr>
                <w:rFonts w:ascii="Helvetica" w:hAnsi="Helvetica" w:cs="Helvetica"/>
                <w:noProof/>
                <w:sz w:val="16"/>
                <w:szCs w:val="20"/>
                <w:lang w:val="en-GB"/>
              </w:rPr>
              <w:fldChar w:fldCharType="begin" w:fldLock="1"/>
            </w:r>
            <w:r w:rsidR="00DC25DF" w:rsidRPr="00E97FC1">
              <w:rPr>
                <w:rFonts w:ascii="Helvetica" w:hAnsi="Helvetica" w:cs="Helvetica"/>
                <w:noProof/>
                <w:sz w:val="16"/>
                <w:szCs w:val="20"/>
                <w:lang w:val="en-GB"/>
              </w:rPr>
              <w:instrText>ADDIN CSL_CITATION {"citationItems":[{"id":"ITEM-1","itemData":{"DOI":"10.1021/bi501403t","ISSN":"1520-4995 (Electronic)","PMID":"25545070","abstract":"The NuoD segment (homologue of mitochondrial 49 kDa subunit) of the  proton-translocating NADH:quinone oxidoreductase (complex I/NDH-1) from Escherichia coli is in the hydrophilic domain and bears many highly conserved amino acid residues. The three-dimensional structural model of NDH-1 suggests that the NuoD segment, together with the neighboring subunits, constitutes a putative quinone binding cavity. We used the homologous DNA recombination technique to clarify the role of selected key amino acid residues of the NuoD segment. Among them, residues Tyr273 and His224 were considered candidates for having important interactions with the quinone headgroup. Mutant Y273F retained partial activity but lost sensitivity to capsaicin-40. Mutant H224R scarcely affected the activity, suggesting that this residue may not be essential. His224 is located in a loop near the N-terminus of the NuoD segment (Gly217-Phe227) which is considered to form part of the quinone binding cavity. In contrast to the His224 mutation, mutants G217V, P218A, and G225V almost completely lost the activity. One region of this loop is positioned close to a cytosolic loop of the NuoA subunit in the membrane domain, and together they seem to be important in keeping the quinone binding cavity intact. The structural role of the longest helix in the NuoD segment located behind the quinone binding cavity was also investigated. Possible roles of other highly conserved residues of the NuoD segment are discussed.","author":[{"dropping-particle":"","family":"Sinha","given":"Prem Kumar","non-dropping-particle":"","parse-names":false,"suffix":""},{"dropping-particle":"","family":"Castro-Guerrero","given":"Norma","non-dropping-particle":"","parse-names":false,"suffix":""},{"dropping-particle":"","family":"Patki","given":"Gaurav","non-dropping-particle":"","parse-names":false,"suffix":""},{"dropping-particle":"","family":"Sato","given":"Motoaki","non-dropping-particle":"","parse-names":false,"suffix":""},{"dropping-particle":"","family":"Torres-Bacete","given":"Jesus","non-dropping-particle":"","parse-names":false,"suffix":""},{"dropping-particle":"","family":"Sinha","given":"Subhash","non-dropping-particle":"","parse-names":false,"suffix":""},{"dropping-particle":"","family":"Miyoshi","given":"Hideto","non-dropping-particle":"","parse-names":false,"suffix":""},{"dropping-particle":"","family":"Matsuno-Yagi","given":"Akemi","non-dropping-particle":"","parse-names":false,"suffix":""},{"dropping-particle":"","family":"Yagi","given":"Takao","non-dropping-particle":"","parse-names":false,"suffix":""}],"container-title":"Biochemistry","id":"ITEM-1","issue":"3","issued":{"date-parts":[["2015","1"]]},"language":"eng","page":"753-764","title":"Conserved amino acid residues of the NuoD segment important for structure and  function of Escherichia coli NDH-1 (complex I).","type":"article-journal","volume":"54"},"uris":["http://www.mendeley.com/documents/?uuid=d24ae4eb-2d30-4ae6-9af2-979c836e1612"]}],"mendeley":{"formattedCitation":"(Sinha &lt;i&gt;et al&lt;/i&gt;, 2015)","plainTextFormattedCitation":"(Sinha et al, 2015)","previouslyFormattedCitation":"(Sinha &lt;i&gt;et al&lt;/i&gt;, 2015)"},"properties":{"noteIndex":0},"schema":"https://github.com/citation-style-language/schema/raw/master/csl-citation.json"}</w:instrText>
            </w:r>
            <w:r w:rsidRPr="00E97FC1">
              <w:rPr>
                <w:rFonts w:ascii="Helvetica" w:hAnsi="Helvetica" w:cs="Helvetica"/>
                <w:noProof/>
                <w:sz w:val="16"/>
                <w:szCs w:val="20"/>
                <w:lang w:val="en-GB"/>
              </w:rPr>
              <w:fldChar w:fldCharType="separate"/>
            </w:r>
            <w:r w:rsidRPr="00E97FC1">
              <w:rPr>
                <w:rFonts w:ascii="Helvetica" w:hAnsi="Helvetica" w:cs="Helvetica"/>
                <w:noProof/>
                <w:sz w:val="16"/>
                <w:szCs w:val="20"/>
                <w:lang w:val="en-GB"/>
              </w:rPr>
              <w:t xml:space="preserve">(Sinha </w:t>
            </w:r>
            <w:r w:rsidRPr="00E97FC1">
              <w:rPr>
                <w:rFonts w:ascii="Helvetica" w:hAnsi="Helvetica" w:cs="Helvetica"/>
                <w:i/>
                <w:noProof/>
                <w:sz w:val="16"/>
                <w:szCs w:val="20"/>
                <w:lang w:val="en-GB"/>
              </w:rPr>
              <w:t>et al</w:t>
            </w:r>
            <w:r w:rsidRPr="00E97FC1">
              <w:rPr>
                <w:rFonts w:ascii="Helvetica" w:hAnsi="Helvetica" w:cs="Helvetica"/>
                <w:noProof/>
                <w:sz w:val="16"/>
                <w:szCs w:val="20"/>
                <w:lang w:val="en-GB"/>
              </w:rPr>
              <w:t>, 2015)</w:t>
            </w:r>
            <w:r w:rsidRPr="00E97FC1">
              <w:rPr>
                <w:rFonts w:ascii="Helvetica" w:hAnsi="Helvetica" w:cs="Helvetica"/>
                <w:noProof/>
                <w:sz w:val="16"/>
                <w:szCs w:val="20"/>
                <w:lang w:val="en-GB"/>
              </w:rPr>
              <w:fldChar w:fldCharType="end"/>
            </w:r>
          </w:p>
        </w:tc>
      </w:tr>
      <w:tr w:rsidR="002471A8" w:rsidRPr="00E97FC1" w14:paraId="1B555B57" w14:textId="77777777" w:rsidTr="002471A8">
        <w:trPr>
          <w:trHeight w:val="65"/>
        </w:trPr>
        <w:tc>
          <w:tcPr>
            <w:tcW w:w="531" w:type="pct"/>
          </w:tcPr>
          <w:p w14:paraId="3F72819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G239V</w:t>
            </w:r>
          </w:p>
        </w:tc>
        <w:tc>
          <w:tcPr>
            <w:tcW w:w="1314" w:type="pct"/>
            <w:vMerge/>
          </w:tcPr>
          <w:p w14:paraId="26E39145" w14:textId="77777777" w:rsidR="002471A8" w:rsidRPr="00E97FC1" w:rsidRDefault="002471A8" w:rsidP="002471A8">
            <w:pPr>
              <w:rPr>
                <w:rFonts w:ascii="Helvetica" w:hAnsi="Helvetica" w:cs="Helvetica"/>
                <w:bCs/>
                <w:sz w:val="20"/>
                <w:szCs w:val="20"/>
                <w:lang w:val="en-GB"/>
              </w:rPr>
            </w:pPr>
          </w:p>
        </w:tc>
        <w:tc>
          <w:tcPr>
            <w:tcW w:w="721" w:type="pct"/>
          </w:tcPr>
          <w:p w14:paraId="0348DC1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reduced</w:t>
            </w:r>
          </w:p>
        </w:tc>
        <w:tc>
          <w:tcPr>
            <w:tcW w:w="586" w:type="pct"/>
          </w:tcPr>
          <w:p w14:paraId="1D30E20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62%</w:t>
            </w:r>
          </w:p>
        </w:tc>
        <w:tc>
          <w:tcPr>
            <w:tcW w:w="631" w:type="pct"/>
          </w:tcPr>
          <w:p w14:paraId="775D22A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35-52%</w:t>
            </w:r>
          </w:p>
        </w:tc>
        <w:tc>
          <w:tcPr>
            <w:tcW w:w="587" w:type="pct"/>
          </w:tcPr>
          <w:p w14:paraId="4B07634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630" w:type="pct"/>
          </w:tcPr>
          <w:p w14:paraId="7578189E" w14:textId="035E1126" w:rsidR="002471A8" w:rsidRPr="00E97FC1" w:rsidRDefault="002471A8" w:rsidP="002471A8">
            <w:pPr>
              <w:rPr>
                <w:rFonts w:ascii="Helvetica" w:hAnsi="Helvetica" w:cs="Helvetica"/>
                <w:noProof/>
                <w:sz w:val="16"/>
                <w:szCs w:val="20"/>
                <w:lang w:val="en-GB"/>
              </w:rPr>
            </w:pPr>
            <w:r w:rsidRPr="00E97FC1">
              <w:rPr>
                <w:rFonts w:ascii="Helvetica" w:hAnsi="Helvetica" w:cs="Helvetica"/>
                <w:noProof/>
                <w:sz w:val="16"/>
                <w:szCs w:val="20"/>
                <w:lang w:val="en-GB"/>
              </w:rPr>
              <w:fldChar w:fldCharType="begin" w:fldLock="1"/>
            </w:r>
            <w:r w:rsidR="00DC25DF" w:rsidRPr="00E97FC1">
              <w:rPr>
                <w:rFonts w:ascii="Helvetica" w:hAnsi="Helvetica" w:cs="Helvetica"/>
                <w:noProof/>
                <w:sz w:val="16"/>
                <w:szCs w:val="20"/>
                <w:lang w:val="en-GB"/>
              </w:rPr>
              <w:instrText>ADDIN CSL_CITATION {"citationItems":[{"id":"ITEM-1","itemData":{"DOI":"10.1021/bi501403t","ISSN":"1520-4995 (Electronic)","PMID":"25545070","abstract":"The NuoD segment (homologue of mitochondrial 49 kDa subunit) of the  proton-translocating NADH:quinone oxidoreductase (complex I/NDH-1) from Escherichia coli is in the hydrophilic domain and bears many highly conserved amino acid residues. The three-dimensional structural model of NDH-1 suggests that the NuoD segment, together with the neighboring subunits, constitutes a putative quinone binding cavity. We used the homologous DNA recombination technique to clarify the role of selected key amino acid residues of the NuoD segment. Among them, residues Tyr273 and His224 were considered candidates for having important interactions with the quinone headgroup. Mutant Y273F retained partial activity but lost sensitivity to capsaicin-40. Mutant H224R scarcely affected the activity, suggesting that this residue may not be essential. His224 is located in a loop near the N-terminus of the NuoD segment (Gly217-Phe227) which is considered to form part of the quinone binding cavity. In contrast to the His224 mutation, mutants G217V, P218A, and G225V almost completely lost the activity. One region of this loop is positioned close to a cytosolic loop of the NuoA subunit in the membrane domain, and together they seem to be important in keeping the quinone binding cavity intact. The structural role of the longest helix in the NuoD segment located behind the quinone binding cavity was also investigated. Possible roles of other highly conserved residues of the NuoD segment are discussed.","author":[{"dropping-particle":"","family":"Sinha","given":"Prem Kumar","non-dropping-particle":"","parse-names":false,"suffix":""},{"dropping-particle":"","family":"Castro-Guerrero","given":"Norma","non-dropping-particle":"","parse-names":false,"suffix":""},{"dropping-particle":"","family":"Patki","given":"Gaurav","non-dropping-particle":"","parse-names":false,"suffix":""},{"dropping-particle":"","family":"Sato","given":"Motoaki","non-dropping-particle":"","parse-names":false,"suffix":""},{"dropping-particle":"","family":"Torres-Bacete","given":"Jesus","non-dropping-particle":"","parse-names":false,"suffix":""},{"dropping-particle":"","family":"Sinha","given":"Subhash","non-dropping-particle":"","parse-names":false,"suffix":""},{"dropping-particle":"","family":"Miyoshi","given":"Hideto","non-dropping-particle":"","parse-names":false,"suffix":""},{"dropping-particle":"","family":"Matsuno-Yagi","given":"Akemi","non-dropping-particle":"","parse-names":false,"suffix":""},{"dropping-particle":"","family":"Yagi","given":"Takao","non-dropping-particle":"","parse-names":false,"suffix":""}],"container-title":"Biochemistry","id":"ITEM-1","issue":"3","issued":{"date-parts":[["2015","1"]]},"language":"eng","page":"753-764","title":"Conserved amino acid residues of the NuoD segment important for structure and  function of Escherichia coli NDH-1 (complex I).","type":"article-journal","volume":"54"},"uris":["http://www.mendeley.com/documents/?uuid=d24ae4eb-2d30-4ae6-9af2-979c836e1612"]}],"mendeley":{"formattedCitation":"(Sinha &lt;i&gt;et al&lt;/i&gt;, 2015)","plainTextFormattedCitation":"(Sinha et al, 2015)","previouslyFormattedCitation":"(Sinha &lt;i&gt;et al&lt;/i&gt;, 2015)"},"properties":{"noteIndex":0},"schema":"https://github.com/citation-style-language/schema/raw/master/csl-citation.json"}</w:instrText>
            </w:r>
            <w:r w:rsidRPr="00E97FC1">
              <w:rPr>
                <w:rFonts w:ascii="Helvetica" w:hAnsi="Helvetica" w:cs="Helvetica"/>
                <w:noProof/>
                <w:sz w:val="16"/>
                <w:szCs w:val="20"/>
                <w:lang w:val="en-GB"/>
              </w:rPr>
              <w:fldChar w:fldCharType="separate"/>
            </w:r>
            <w:r w:rsidRPr="00E97FC1">
              <w:rPr>
                <w:rFonts w:ascii="Helvetica" w:hAnsi="Helvetica" w:cs="Helvetica"/>
                <w:noProof/>
                <w:sz w:val="16"/>
                <w:szCs w:val="20"/>
                <w:lang w:val="en-GB"/>
              </w:rPr>
              <w:t xml:space="preserve">(Sinha </w:t>
            </w:r>
            <w:r w:rsidRPr="00E97FC1">
              <w:rPr>
                <w:rFonts w:ascii="Helvetica" w:hAnsi="Helvetica" w:cs="Helvetica"/>
                <w:i/>
                <w:noProof/>
                <w:sz w:val="16"/>
                <w:szCs w:val="20"/>
                <w:lang w:val="en-GB"/>
              </w:rPr>
              <w:t>et al</w:t>
            </w:r>
            <w:r w:rsidRPr="00E97FC1">
              <w:rPr>
                <w:rFonts w:ascii="Helvetica" w:hAnsi="Helvetica" w:cs="Helvetica"/>
                <w:noProof/>
                <w:sz w:val="16"/>
                <w:szCs w:val="20"/>
                <w:lang w:val="en-GB"/>
              </w:rPr>
              <w:t>, 2015)</w:t>
            </w:r>
            <w:r w:rsidRPr="00E97FC1">
              <w:rPr>
                <w:rFonts w:ascii="Helvetica" w:hAnsi="Helvetica" w:cs="Helvetica"/>
                <w:noProof/>
                <w:sz w:val="16"/>
                <w:szCs w:val="20"/>
                <w:lang w:val="en-GB"/>
              </w:rPr>
              <w:fldChar w:fldCharType="end"/>
            </w:r>
          </w:p>
        </w:tc>
      </w:tr>
      <w:tr w:rsidR="002471A8" w:rsidRPr="00E97FC1" w14:paraId="316BF9E5" w14:textId="77777777" w:rsidTr="002471A8">
        <w:trPr>
          <w:trHeight w:val="65"/>
        </w:trPr>
        <w:tc>
          <w:tcPr>
            <w:tcW w:w="531" w:type="pct"/>
          </w:tcPr>
          <w:p w14:paraId="349DC87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E240A</w:t>
            </w:r>
          </w:p>
        </w:tc>
        <w:tc>
          <w:tcPr>
            <w:tcW w:w="1314" w:type="pct"/>
          </w:tcPr>
          <w:p w14:paraId="2421198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NuoH interface</w:t>
            </w:r>
          </w:p>
        </w:tc>
        <w:tc>
          <w:tcPr>
            <w:tcW w:w="721" w:type="pct"/>
          </w:tcPr>
          <w:p w14:paraId="24DC6F9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586" w:type="pct"/>
          </w:tcPr>
          <w:p w14:paraId="37B29647"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103%</w:t>
            </w:r>
          </w:p>
        </w:tc>
        <w:tc>
          <w:tcPr>
            <w:tcW w:w="631" w:type="pct"/>
          </w:tcPr>
          <w:p w14:paraId="593BFD2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14-26%</w:t>
            </w:r>
          </w:p>
        </w:tc>
        <w:tc>
          <w:tcPr>
            <w:tcW w:w="587" w:type="pct"/>
          </w:tcPr>
          <w:p w14:paraId="6D6AC4E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630" w:type="pct"/>
          </w:tcPr>
          <w:p w14:paraId="3411FEE2" w14:textId="29CC3395" w:rsidR="002471A8" w:rsidRPr="00E97FC1" w:rsidRDefault="002471A8" w:rsidP="002471A8">
            <w:pPr>
              <w:rPr>
                <w:rFonts w:ascii="Helvetica" w:hAnsi="Helvetica" w:cs="Helvetica"/>
                <w:noProof/>
                <w:sz w:val="16"/>
                <w:szCs w:val="20"/>
                <w:lang w:val="en-GB"/>
              </w:rPr>
            </w:pPr>
            <w:r w:rsidRPr="00E97FC1">
              <w:rPr>
                <w:rFonts w:ascii="Helvetica" w:hAnsi="Helvetica" w:cs="Helvetica"/>
                <w:noProof/>
                <w:sz w:val="16"/>
                <w:szCs w:val="20"/>
                <w:lang w:val="en-GB"/>
              </w:rPr>
              <w:fldChar w:fldCharType="begin" w:fldLock="1"/>
            </w:r>
            <w:r w:rsidR="00DC25DF" w:rsidRPr="00E97FC1">
              <w:rPr>
                <w:rFonts w:ascii="Helvetica" w:hAnsi="Helvetica" w:cs="Helvetica"/>
                <w:noProof/>
                <w:sz w:val="16"/>
                <w:szCs w:val="20"/>
                <w:lang w:val="en-GB"/>
              </w:rPr>
              <w:instrText>ADDIN CSL_CITATION {"citationItems":[{"id":"ITEM-1","itemData":{"DOI":"10.1021/bi501403t","ISSN":"1520-4995 (Electronic)","PMID":"25545070","abstract":"The NuoD segment (homologue of mitochondrial 49 kDa subunit) of the  proton-translocating NADH:quinone oxidoreductase (complex I/NDH-1) from Escherichia coli is in the hydrophilic domain and bears many highly conserved amino acid residues. The three-dimensional structural model of NDH-1 suggests that the NuoD segment, together with the neighboring subunits, constitutes a putative quinone binding cavity. We used the homologous DNA recombination technique to clarify the role of selected key amino acid residues of the NuoD segment. Among them, residues Tyr273 and His224 were considered candidates for having important interactions with the quinone headgroup. Mutant Y273F retained partial activity but lost sensitivity to capsaicin-40. Mutant H224R scarcely affected the activity, suggesting that this residue may not be essential. His224 is located in a loop near the N-terminus of the NuoD segment (Gly217-Phe227) which is considered to form part of the quinone binding cavity. In contrast to the His224 mutation, mutants G217V, P218A, and G225V almost completely lost the activity. One region of this loop is positioned close to a cytosolic loop of the NuoA subunit in the membrane domain, and together they seem to be important in keeping the quinone binding cavity intact. The structural role of the longest helix in the NuoD segment located behind the quinone binding cavity was also investigated. Possible roles of other highly conserved residues of the NuoD segment are discussed.","author":[{"dropping-particle":"","family":"Sinha","given":"Prem Kumar","non-dropping-particle":"","parse-names":false,"suffix":""},{"dropping-particle":"","family":"Castro-Guerrero","given":"Norma","non-dropping-particle":"","parse-names":false,"suffix":""},{"dropping-particle":"","family":"Patki","given":"Gaurav","non-dropping-particle":"","parse-names":false,"suffix":""},{"dropping-particle":"","family":"Sato","given":"Motoaki","non-dropping-particle":"","parse-names":false,"suffix":""},{"dropping-particle":"","family":"Torres-Bacete","given":"Jesus","non-dropping-particle":"","parse-names":false,"suffix":""},{"dropping-particle":"","family":"Sinha","given":"Subhash","non-dropping-particle":"","parse-names":false,"suffix":""},{"dropping-particle":"","family":"Miyoshi","given":"Hideto","non-dropping-particle":"","parse-names":false,"suffix":""},{"dropping-particle":"","family":"Matsuno-Yagi","given":"Akemi","non-dropping-particle":"","parse-names":false,"suffix":""},{"dropping-particle":"","family":"Yagi","given":"Takao","non-dropping-particle":"","parse-names":false,"suffix":""}],"container-title":"Biochemistry","id":"ITEM-1","issue":"3","issued":{"date-parts":[["2015","1"]]},"language":"eng","page":"753-764","title":"Conserved amino acid residues of the NuoD segment important for structure and  function of Escherichia coli NDH-1 (complex I).","type":"article-journal","volume":"54"},"uris":["http://www.mendeley.com/documents/?uuid=d24ae4eb-2d30-4ae6-9af2-979c836e1612"]}],"mendeley":{"formattedCitation":"(Sinha &lt;i&gt;et al&lt;/i&gt;, 2015)","plainTextFormattedCitation":"(Sinha et al, 2015)","previouslyFormattedCitation":"(Sinha &lt;i&gt;et al&lt;/i&gt;, 2015)"},"properties":{"noteIndex":0},"schema":"https://github.com/citation-style-language/schema/raw/master/csl-citation.json"}</w:instrText>
            </w:r>
            <w:r w:rsidRPr="00E97FC1">
              <w:rPr>
                <w:rFonts w:ascii="Helvetica" w:hAnsi="Helvetica" w:cs="Helvetica"/>
                <w:noProof/>
                <w:sz w:val="16"/>
                <w:szCs w:val="20"/>
                <w:lang w:val="en-GB"/>
              </w:rPr>
              <w:fldChar w:fldCharType="separate"/>
            </w:r>
            <w:r w:rsidRPr="00E97FC1">
              <w:rPr>
                <w:rFonts w:ascii="Helvetica" w:hAnsi="Helvetica" w:cs="Helvetica"/>
                <w:noProof/>
                <w:sz w:val="16"/>
                <w:szCs w:val="20"/>
                <w:lang w:val="en-GB"/>
              </w:rPr>
              <w:t xml:space="preserve">(Sinha </w:t>
            </w:r>
            <w:r w:rsidRPr="00E97FC1">
              <w:rPr>
                <w:rFonts w:ascii="Helvetica" w:hAnsi="Helvetica" w:cs="Helvetica"/>
                <w:i/>
                <w:noProof/>
                <w:sz w:val="16"/>
                <w:szCs w:val="20"/>
                <w:lang w:val="en-GB"/>
              </w:rPr>
              <w:t>et al</w:t>
            </w:r>
            <w:r w:rsidRPr="00E97FC1">
              <w:rPr>
                <w:rFonts w:ascii="Helvetica" w:hAnsi="Helvetica" w:cs="Helvetica"/>
                <w:noProof/>
                <w:sz w:val="16"/>
                <w:szCs w:val="20"/>
                <w:lang w:val="en-GB"/>
              </w:rPr>
              <w:t>, 2015)</w:t>
            </w:r>
            <w:r w:rsidRPr="00E97FC1">
              <w:rPr>
                <w:rFonts w:ascii="Helvetica" w:hAnsi="Helvetica" w:cs="Helvetica"/>
                <w:noProof/>
                <w:sz w:val="16"/>
                <w:szCs w:val="20"/>
                <w:lang w:val="en-GB"/>
              </w:rPr>
              <w:fldChar w:fldCharType="end"/>
            </w:r>
          </w:p>
        </w:tc>
      </w:tr>
    </w:tbl>
    <w:p w14:paraId="13378E5C" w14:textId="77777777" w:rsidR="002471A8" w:rsidRPr="00E97FC1" w:rsidRDefault="002471A8" w:rsidP="002471A8">
      <w:pPr>
        <w:rPr>
          <w:rFonts w:ascii="Helvetica" w:hAnsi="Helvetica" w:cs="Helvetica"/>
          <w:lang w:val="en-GB"/>
        </w:rPr>
      </w:pPr>
    </w:p>
    <w:p w14:paraId="555D2986" w14:textId="77777777" w:rsidR="002471A8" w:rsidRPr="00E97FC1" w:rsidRDefault="002471A8" w:rsidP="002471A8">
      <w:pPr>
        <w:pStyle w:val="ListParagraph"/>
        <w:numPr>
          <w:ilvl w:val="0"/>
          <w:numId w:val="42"/>
        </w:numPr>
        <w:jc w:val="left"/>
        <w:rPr>
          <w:rFonts w:ascii="Helvetica" w:hAnsi="Helvetica" w:cs="Helvetica"/>
          <w:b/>
        </w:rPr>
      </w:pPr>
      <w:r w:rsidRPr="00E97FC1">
        <w:rPr>
          <w:rFonts w:ascii="Helvetica" w:hAnsi="Helvetica" w:cs="Helvetica"/>
          <w:b/>
        </w:rPr>
        <w:t>Mutations in the peripheral arm, continuation</w:t>
      </w:r>
    </w:p>
    <w:tbl>
      <w:tblPr>
        <w:tblW w:w="5591" w:type="pct"/>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0A0" w:firstRow="1" w:lastRow="0" w:firstColumn="1" w:lastColumn="0" w:noHBand="0" w:noVBand="0"/>
      </w:tblPr>
      <w:tblGrid>
        <w:gridCol w:w="1065"/>
        <w:gridCol w:w="2623"/>
        <w:gridCol w:w="1442"/>
        <w:gridCol w:w="1172"/>
        <w:gridCol w:w="1266"/>
        <w:gridCol w:w="1167"/>
        <w:gridCol w:w="1347"/>
      </w:tblGrid>
      <w:tr w:rsidR="002471A8" w:rsidRPr="00E97FC1" w14:paraId="4C163E12" w14:textId="77777777" w:rsidTr="002471A8">
        <w:tc>
          <w:tcPr>
            <w:tcW w:w="528" w:type="pct"/>
            <w:vMerge w:val="restart"/>
          </w:tcPr>
          <w:p w14:paraId="720EEC2B" w14:textId="77777777" w:rsidR="002471A8" w:rsidRPr="00E97FC1" w:rsidRDefault="002471A8" w:rsidP="002471A8">
            <w:pPr>
              <w:rPr>
                <w:rFonts w:ascii="Helvetica" w:hAnsi="Helvetica" w:cs="Helvetica"/>
                <w:sz w:val="22"/>
                <w:lang w:val="en-GB"/>
              </w:rPr>
            </w:pPr>
            <w:r w:rsidRPr="00E97FC1">
              <w:rPr>
                <w:rFonts w:ascii="Helvetica" w:hAnsi="Helvetica" w:cs="Helvetica"/>
                <w:sz w:val="22"/>
                <w:lang w:val="en-GB"/>
              </w:rPr>
              <w:t>Mutation</w:t>
            </w:r>
          </w:p>
        </w:tc>
        <w:tc>
          <w:tcPr>
            <w:tcW w:w="1301" w:type="pct"/>
            <w:vMerge w:val="restart"/>
          </w:tcPr>
          <w:p w14:paraId="41871C71"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Amino acid location</w:t>
            </w:r>
          </w:p>
        </w:tc>
        <w:tc>
          <w:tcPr>
            <w:tcW w:w="715" w:type="pct"/>
            <w:vMerge w:val="restart"/>
          </w:tcPr>
          <w:p w14:paraId="775AE766"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Expression/</w:t>
            </w:r>
          </w:p>
          <w:p w14:paraId="756C37C7"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 xml:space="preserve">assembly </w:t>
            </w:r>
          </w:p>
        </w:tc>
        <w:tc>
          <w:tcPr>
            <w:tcW w:w="1788" w:type="pct"/>
            <w:gridSpan w:val="3"/>
          </w:tcPr>
          <w:p w14:paraId="53A4B3B8"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Effect</w:t>
            </w:r>
          </w:p>
        </w:tc>
        <w:tc>
          <w:tcPr>
            <w:tcW w:w="668" w:type="pct"/>
            <w:vMerge w:val="restart"/>
          </w:tcPr>
          <w:p w14:paraId="708F7F5E"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Reference and comments</w:t>
            </w:r>
          </w:p>
        </w:tc>
      </w:tr>
      <w:tr w:rsidR="002471A8" w:rsidRPr="00E97FC1" w14:paraId="0F34E32C" w14:textId="77777777" w:rsidTr="002471A8">
        <w:trPr>
          <w:trHeight w:val="768"/>
        </w:trPr>
        <w:tc>
          <w:tcPr>
            <w:tcW w:w="528" w:type="pct"/>
            <w:vMerge/>
          </w:tcPr>
          <w:p w14:paraId="0C581B5F" w14:textId="77777777" w:rsidR="002471A8" w:rsidRPr="00E97FC1" w:rsidRDefault="002471A8" w:rsidP="002471A8">
            <w:pPr>
              <w:rPr>
                <w:rFonts w:ascii="Helvetica" w:hAnsi="Helvetica" w:cs="Helvetica"/>
                <w:sz w:val="22"/>
                <w:lang w:val="en-GB"/>
              </w:rPr>
            </w:pPr>
          </w:p>
        </w:tc>
        <w:tc>
          <w:tcPr>
            <w:tcW w:w="1301" w:type="pct"/>
            <w:vMerge/>
          </w:tcPr>
          <w:p w14:paraId="2B1ED565" w14:textId="77777777" w:rsidR="002471A8" w:rsidRPr="00E97FC1" w:rsidRDefault="002471A8" w:rsidP="002471A8">
            <w:pPr>
              <w:jc w:val="center"/>
              <w:rPr>
                <w:rFonts w:ascii="Helvetica" w:hAnsi="Helvetica" w:cs="Helvetica"/>
                <w:sz w:val="22"/>
                <w:lang w:val="en-GB"/>
              </w:rPr>
            </w:pPr>
          </w:p>
        </w:tc>
        <w:tc>
          <w:tcPr>
            <w:tcW w:w="715" w:type="pct"/>
            <w:vMerge/>
          </w:tcPr>
          <w:p w14:paraId="58ED3AEA" w14:textId="77777777" w:rsidR="002471A8" w:rsidRPr="00E97FC1" w:rsidRDefault="002471A8" w:rsidP="002471A8">
            <w:pPr>
              <w:jc w:val="center"/>
              <w:rPr>
                <w:rFonts w:ascii="Helvetica" w:hAnsi="Helvetica" w:cs="Helvetica"/>
                <w:sz w:val="22"/>
                <w:lang w:val="en-GB"/>
              </w:rPr>
            </w:pPr>
          </w:p>
        </w:tc>
        <w:tc>
          <w:tcPr>
            <w:tcW w:w="581" w:type="pct"/>
          </w:tcPr>
          <w:p w14:paraId="1FF9F7D4"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FMN-site</w:t>
            </w:r>
          </w:p>
          <w:p w14:paraId="53A54B2B"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activity</w:t>
            </w:r>
          </w:p>
        </w:tc>
        <w:tc>
          <w:tcPr>
            <w:tcW w:w="628" w:type="pct"/>
          </w:tcPr>
          <w:p w14:paraId="07419195"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 xml:space="preserve">Oxido-reductase activity </w:t>
            </w:r>
          </w:p>
        </w:tc>
        <w:tc>
          <w:tcPr>
            <w:tcW w:w="579" w:type="pct"/>
          </w:tcPr>
          <w:p w14:paraId="797AB640"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Proton pumping activity</w:t>
            </w:r>
          </w:p>
        </w:tc>
        <w:tc>
          <w:tcPr>
            <w:tcW w:w="668" w:type="pct"/>
            <w:vMerge/>
          </w:tcPr>
          <w:p w14:paraId="73AEAD22" w14:textId="77777777" w:rsidR="002471A8" w:rsidRPr="00E97FC1" w:rsidRDefault="002471A8" w:rsidP="002471A8">
            <w:pPr>
              <w:jc w:val="center"/>
              <w:rPr>
                <w:rFonts w:ascii="Helvetica" w:hAnsi="Helvetica" w:cs="Helvetica"/>
                <w:sz w:val="22"/>
                <w:lang w:val="en-GB"/>
              </w:rPr>
            </w:pPr>
          </w:p>
        </w:tc>
      </w:tr>
      <w:tr w:rsidR="002471A8" w:rsidRPr="00E97FC1" w14:paraId="26E1803B" w14:textId="77777777" w:rsidTr="002471A8">
        <w:trPr>
          <w:trHeight w:val="65"/>
        </w:trPr>
        <w:tc>
          <w:tcPr>
            <w:tcW w:w="5000" w:type="pct"/>
            <w:gridSpan w:val="7"/>
          </w:tcPr>
          <w:p w14:paraId="7AFBBF29" w14:textId="77777777" w:rsidR="002471A8" w:rsidRPr="00E97FC1" w:rsidRDefault="002471A8" w:rsidP="002471A8">
            <w:pPr>
              <w:rPr>
                <w:rFonts w:ascii="Helvetica" w:hAnsi="Helvetica" w:cs="Helvetica"/>
                <w:b/>
                <w:noProof/>
                <w:sz w:val="22"/>
                <w:lang w:val="en-GB"/>
              </w:rPr>
            </w:pPr>
            <w:r w:rsidRPr="00E97FC1">
              <w:rPr>
                <w:rFonts w:ascii="Helvetica" w:hAnsi="Helvetica" w:cs="Helvetica"/>
                <w:b/>
                <w:bCs/>
                <w:sz w:val="28"/>
                <w:lang w:val="en-GB"/>
              </w:rPr>
              <w:t>NuoCD</w:t>
            </w:r>
          </w:p>
        </w:tc>
      </w:tr>
      <w:tr w:rsidR="002471A8" w:rsidRPr="00E97FC1" w14:paraId="1C6C8D4C" w14:textId="77777777" w:rsidTr="002471A8">
        <w:trPr>
          <w:trHeight w:val="65"/>
        </w:trPr>
        <w:tc>
          <w:tcPr>
            <w:tcW w:w="528" w:type="pct"/>
          </w:tcPr>
          <w:p w14:paraId="3401267C"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E240D</w:t>
            </w:r>
          </w:p>
        </w:tc>
        <w:tc>
          <w:tcPr>
            <w:tcW w:w="1301" w:type="pct"/>
          </w:tcPr>
          <w:p w14:paraId="2B2E2EBA"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szCs w:val="20"/>
                <w:lang w:val="en-GB"/>
              </w:rPr>
              <w:t>NuoH interface</w:t>
            </w:r>
          </w:p>
        </w:tc>
        <w:tc>
          <w:tcPr>
            <w:tcW w:w="715" w:type="pct"/>
          </w:tcPr>
          <w:p w14:paraId="25C35A95"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normal</w:t>
            </w:r>
          </w:p>
        </w:tc>
        <w:tc>
          <w:tcPr>
            <w:tcW w:w="581" w:type="pct"/>
          </w:tcPr>
          <w:p w14:paraId="5276C4C5" w14:textId="77777777" w:rsidR="002471A8" w:rsidRPr="00E97FC1" w:rsidRDefault="002471A8" w:rsidP="002471A8">
            <w:pPr>
              <w:rPr>
                <w:rFonts w:ascii="Helvetica" w:hAnsi="Helvetica" w:cs="Helvetica"/>
                <w:bCs/>
                <w:sz w:val="20"/>
                <w:lang w:val="en-GB"/>
              </w:rPr>
            </w:pPr>
            <w:r w:rsidRPr="00E97FC1">
              <w:rPr>
                <w:rFonts w:ascii="Helvetica" w:hAnsi="Helvetica" w:cs="Helvetica"/>
                <w:sz w:val="20"/>
                <w:lang w:val="en-GB"/>
              </w:rPr>
              <w:t>71%</w:t>
            </w:r>
          </w:p>
        </w:tc>
        <w:tc>
          <w:tcPr>
            <w:tcW w:w="628" w:type="pct"/>
          </w:tcPr>
          <w:p w14:paraId="31678DB6"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46-75%</w:t>
            </w:r>
          </w:p>
        </w:tc>
        <w:tc>
          <w:tcPr>
            <w:tcW w:w="579" w:type="pct"/>
          </w:tcPr>
          <w:p w14:paraId="6CB45848"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NA</w:t>
            </w:r>
          </w:p>
        </w:tc>
        <w:tc>
          <w:tcPr>
            <w:tcW w:w="668" w:type="pct"/>
          </w:tcPr>
          <w:p w14:paraId="5DABA1D7" w14:textId="20D55A71" w:rsidR="002471A8" w:rsidRPr="00E97FC1" w:rsidRDefault="002471A8" w:rsidP="002471A8">
            <w:pPr>
              <w:rPr>
                <w:rFonts w:ascii="Helvetica" w:hAnsi="Helvetica" w:cs="Helvetica"/>
                <w:noProof/>
                <w:sz w:val="16"/>
                <w:szCs w:val="16"/>
                <w:lang w:val="en-GB"/>
              </w:rPr>
            </w:pPr>
            <w:r w:rsidRPr="00E97FC1">
              <w:rPr>
                <w:rFonts w:ascii="Helvetica" w:hAnsi="Helvetica" w:cs="Helvetica"/>
                <w:noProof/>
                <w:sz w:val="16"/>
                <w:szCs w:val="16"/>
                <w:lang w:val="en-GB"/>
              </w:rPr>
              <w:fldChar w:fldCharType="begin" w:fldLock="1"/>
            </w:r>
            <w:r w:rsidR="00DC25DF" w:rsidRPr="00E97FC1">
              <w:rPr>
                <w:rFonts w:ascii="Helvetica" w:hAnsi="Helvetica" w:cs="Helvetica"/>
                <w:noProof/>
                <w:sz w:val="16"/>
                <w:szCs w:val="16"/>
                <w:lang w:val="en-GB"/>
              </w:rPr>
              <w:instrText>ADDIN CSL_CITATION {"citationItems":[{"id":"ITEM-1","itemData":{"DOI":"10.1021/bi501403t","ISSN":"1520-4995 (Electronic)","PMID":"25545070","abstract":"The NuoD segment (homologue of mitochondrial 49 kDa subunit) of the  proton-translocating NADH:quinone oxidoreductase (complex I/NDH-1) from Escherichia coli is in the hydrophilic domain and bears many highly conserved amino acid residues. The three-dimensional structural model of NDH-1 suggests that the NuoD segment, together with the neighboring subunits, constitutes a putative quinone binding cavity. We used the homologous DNA recombination technique to clarify the role of selected key amino acid residues of the NuoD segment. Among them, residues Tyr273 and His224 were considered candidates for having important interactions with the quinone headgroup. Mutant Y273F retained partial activity but lost sensitivity to capsaicin-40. Mutant H224R scarcely affected the activity, suggesting that this residue may not be essential. His224 is located in a loop near the N-terminus of the NuoD segment (Gly217-Phe227) which is considered to form part of the quinone binding cavity. In contrast to the His224 mutation, mutants G217V, P218A, and G225V almost completely lost the activity. One region of this loop is positioned close to a cytosolic loop of the NuoA subunit in the membrane domain, and together they seem to be important in keeping the quinone binding cavity intact. The structural role of the longest helix in the NuoD segment located behind the quinone binding cavity was also investigated. Possible roles of other highly conserved residues of the NuoD segment are discussed.","author":[{"dropping-particle":"","family":"Sinha","given":"Prem Kumar","non-dropping-particle":"","parse-names":false,"suffix":""},{"dropping-particle":"","family":"Castro-Guerrero","given":"Norma","non-dropping-particle":"","parse-names":false,"suffix":""},{"dropping-particle":"","family":"Patki","given":"Gaurav","non-dropping-particle":"","parse-names":false,"suffix":""},{"dropping-particle":"","family":"Sato","given":"Motoaki","non-dropping-particle":"","parse-names":false,"suffix":""},{"dropping-particle":"","family":"Torres-Bacete","given":"Jesus","non-dropping-particle":"","parse-names":false,"suffix":""},{"dropping-particle":"","family":"Sinha","given":"Subhash","non-dropping-particle":"","parse-names":false,"suffix":""},{"dropping-particle":"","family":"Miyoshi","given":"Hideto","non-dropping-particle":"","parse-names":false,"suffix":""},{"dropping-particle":"","family":"Matsuno-Yagi","given":"Akemi","non-dropping-particle":"","parse-names":false,"suffix":""},{"dropping-particle":"","family":"Yagi","given":"Takao","non-dropping-particle":"","parse-names":false,"suffix":""}],"container-title":"Biochemistry","id":"ITEM-1","issue":"3","issued":{"date-parts":[["2015","1"]]},"language":"eng","page":"753-764","title":"Conserved amino acid residues of the NuoD segment important for structure and  function of Escherichia coli NDH-1 (complex I).","type":"article-journal","volume":"54"},"uris":["http://www.mendeley.com/documents/?uuid=d24ae4eb-2d30-4ae6-9af2-979c836e1612"]}],"mendeley":{"formattedCitation":"(Sinha &lt;i&gt;et al&lt;/i&gt;, 2015)","plainTextFormattedCitation":"(Sinha et al, 2015)","previouslyFormattedCitation":"(Sinha &lt;i&gt;et al&lt;/i&gt;, 2015)"},"properties":{"noteIndex":0},"schema":"https://github.com/citation-style-language/schema/raw/master/csl-citation.json"}</w:instrText>
            </w:r>
            <w:r w:rsidRPr="00E97FC1">
              <w:rPr>
                <w:rFonts w:ascii="Helvetica" w:hAnsi="Helvetica" w:cs="Helvetica"/>
                <w:noProof/>
                <w:sz w:val="16"/>
                <w:szCs w:val="16"/>
                <w:lang w:val="en-GB"/>
              </w:rPr>
              <w:fldChar w:fldCharType="separate"/>
            </w:r>
            <w:r w:rsidRPr="00E97FC1">
              <w:rPr>
                <w:rFonts w:ascii="Helvetica" w:hAnsi="Helvetica" w:cs="Helvetica"/>
                <w:noProof/>
                <w:sz w:val="16"/>
                <w:szCs w:val="16"/>
                <w:lang w:val="en-GB"/>
              </w:rPr>
              <w:t xml:space="preserve">(Sinha </w:t>
            </w:r>
            <w:r w:rsidRPr="00E97FC1">
              <w:rPr>
                <w:rFonts w:ascii="Helvetica" w:hAnsi="Helvetica" w:cs="Helvetica"/>
                <w:i/>
                <w:noProof/>
                <w:sz w:val="16"/>
                <w:szCs w:val="16"/>
                <w:lang w:val="en-GB"/>
              </w:rPr>
              <w:t>et al</w:t>
            </w:r>
            <w:r w:rsidRPr="00E97FC1">
              <w:rPr>
                <w:rFonts w:ascii="Helvetica" w:hAnsi="Helvetica" w:cs="Helvetica"/>
                <w:noProof/>
                <w:sz w:val="16"/>
                <w:szCs w:val="16"/>
                <w:lang w:val="en-GB"/>
              </w:rPr>
              <w:t>, 2015)</w:t>
            </w:r>
            <w:r w:rsidRPr="00E97FC1">
              <w:rPr>
                <w:rFonts w:ascii="Helvetica" w:hAnsi="Helvetica" w:cs="Helvetica"/>
                <w:noProof/>
                <w:sz w:val="16"/>
                <w:szCs w:val="16"/>
                <w:lang w:val="en-GB"/>
              </w:rPr>
              <w:fldChar w:fldCharType="end"/>
            </w:r>
          </w:p>
        </w:tc>
      </w:tr>
      <w:tr w:rsidR="002471A8" w:rsidRPr="00E97FC1" w14:paraId="4F131B11" w14:textId="77777777" w:rsidTr="002471A8">
        <w:trPr>
          <w:trHeight w:val="65"/>
        </w:trPr>
        <w:tc>
          <w:tcPr>
            <w:tcW w:w="528" w:type="pct"/>
          </w:tcPr>
          <w:p w14:paraId="0B756E6F"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H253A</w:t>
            </w:r>
          </w:p>
        </w:tc>
        <w:tc>
          <w:tcPr>
            <w:tcW w:w="1301" w:type="pct"/>
            <w:vMerge w:val="restart"/>
          </w:tcPr>
          <w:p w14:paraId="331A594A"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N2 environment</w:t>
            </w:r>
          </w:p>
        </w:tc>
        <w:tc>
          <w:tcPr>
            <w:tcW w:w="715" w:type="pct"/>
          </w:tcPr>
          <w:p w14:paraId="14E031DE"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low</w:t>
            </w:r>
          </w:p>
        </w:tc>
        <w:tc>
          <w:tcPr>
            <w:tcW w:w="581" w:type="pct"/>
          </w:tcPr>
          <w:p w14:paraId="77E5DE26" w14:textId="77777777" w:rsidR="002471A8" w:rsidRPr="00E97FC1" w:rsidRDefault="002471A8" w:rsidP="002471A8">
            <w:pPr>
              <w:rPr>
                <w:rFonts w:ascii="Helvetica" w:hAnsi="Helvetica" w:cs="Helvetica"/>
                <w:bCs/>
                <w:sz w:val="20"/>
                <w:lang w:val="en-GB"/>
              </w:rPr>
            </w:pPr>
            <w:r w:rsidRPr="00E97FC1">
              <w:rPr>
                <w:rFonts w:ascii="Helvetica" w:hAnsi="Helvetica" w:cs="Helvetica"/>
                <w:sz w:val="20"/>
                <w:lang w:val="en-GB"/>
              </w:rPr>
              <w:t>24%</w:t>
            </w:r>
          </w:p>
        </w:tc>
        <w:tc>
          <w:tcPr>
            <w:tcW w:w="628" w:type="pct"/>
          </w:tcPr>
          <w:p w14:paraId="4888431A"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13-18%</w:t>
            </w:r>
          </w:p>
        </w:tc>
        <w:tc>
          <w:tcPr>
            <w:tcW w:w="579" w:type="pct"/>
          </w:tcPr>
          <w:p w14:paraId="2E831A7B"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NA</w:t>
            </w:r>
          </w:p>
        </w:tc>
        <w:tc>
          <w:tcPr>
            <w:tcW w:w="668" w:type="pct"/>
          </w:tcPr>
          <w:p w14:paraId="769BB8F2" w14:textId="12414C71" w:rsidR="002471A8" w:rsidRPr="00E97FC1" w:rsidRDefault="002471A8" w:rsidP="002471A8">
            <w:pPr>
              <w:rPr>
                <w:rFonts w:ascii="Helvetica" w:hAnsi="Helvetica" w:cs="Helvetica"/>
                <w:noProof/>
                <w:sz w:val="16"/>
                <w:szCs w:val="16"/>
                <w:lang w:val="en-GB"/>
              </w:rPr>
            </w:pPr>
            <w:r w:rsidRPr="00E97FC1">
              <w:rPr>
                <w:rFonts w:ascii="Helvetica" w:hAnsi="Helvetica" w:cs="Helvetica"/>
                <w:noProof/>
                <w:sz w:val="16"/>
                <w:szCs w:val="16"/>
                <w:lang w:val="en-GB"/>
              </w:rPr>
              <w:fldChar w:fldCharType="begin" w:fldLock="1"/>
            </w:r>
            <w:r w:rsidR="00DC25DF" w:rsidRPr="00E97FC1">
              <w:rPr>
                <w:rFonts w:ascii="Helvetica" w:hAnsi="Helvetica" w:cs="Helvetica"/>
                <w:noProof/>
                <w:sz w:val="16"/>
                <w:szCs w:val="16"/>
                <w:lang w:val="en-GB"/>
              </w:rPr>
              <w:instrText>ADDIN CSL_CITATION {"citationItems":[{"id":"ITEM-1","itemData":{"DOI":"10.1021/bi501403t","ISSN":"1520-4995 (Electronic)","PMID":"25545070","abstract":"The NuoD segment (homologue of mitochondrial 49 kDa subunit) of the  proton-translocating NADH:quinone oxidoreductase (complex I/NDH-1) from Escherichia coli is in the hydrophilic domain and bears many highly conserved amino acid residues. The three-dimensional structural model of NDH-1 suggests that the NuoD segment, together with the neighboring subunits, constitutes a putative quinone binding cavity. We used the homologous DNA recombination technique to clarify the role of selected key amino acid residues of the NuoD segment. Among them, residues Tyr273 and His224 were considered candidates for having important interactions with the quinone headgroup. Mutant Y273F retained partial activity but lost sensitivity to capsaicin-40. Mutant H224R scarcely affected the activity, suggesting that this residue may not be essential. His224 is located in a loop near the N-terminus of the NuoD segment (Gly217-Phe227) which is considered to form part of the quinone binding cavity. In contrast to the His224 mutation, mutants G217V, P218A, and G225V almost completely lost the activity. One region of this loop is positioned close to a cytosolic loop of the NuoA subunit in the membrane domain, and together they seem to be important in keeping the quinone binding cavity intact. The structural role of the longest helix in the NuoD segment located behind the quinone binding cavity was also investigated. Possible roles of other highly conserved residues of the NuoD segment are discussed.","author":[{"dropping-particle":"","family":"Sinha","given":"Prem Kumar","non-dropping-particle":"","parse-names":false,"suffix":""},{"dropping-particle":"","family":"Castro-Guerrero","given":"Norma","non-dropping-particle":"","parse-names":false,"suffix":""},{"dropping-particle":"","family":"Patki","given":"Gaurav","non-dropping-particle":"","parse-names":false,"suffix":""},{"dropping-particle":"","family":"Sato","given":"Motoaki","non-dropping-particle":"","parse-names":false,"suffix":""},{"dropping-particle":"","family":"Torres-Bacete","given":"Jesus","non-dropping-particle":"","parse-names":false,"suffix":""},{"dropping-particle":"","family":"Sinha","given":"Subhash","non-dropping-particle":"","parse-names":false,"suffix":""},{"dropping-particle":"","family":"Miyoshi","given":"Hideto","non-dropping-particle":"","parse-names":false,"suffix":""},{"dropping-particle":"","family":"Matsuno-Yagi","given":"Akemi","non-dropping-particle":"","parse-names":false,"suffix":""},{"dropping-particle":"","family":"Yagi","given":"Takao","non-dropping-particle":"","parse-names":false,"suffix":""}],"container-title":"Biochemistry","id":"ITEM-1","issue":"3","issued":{"date-parts":[["2015","1"]]},"language":"eng","page":"753-764","title":"Conserved amino acid residues of the NuoD segment important for structure and  function of Escherichia coli NDH-1 (complex I).","type":"article-journal","volume":"54"},"uris":["http://www.mendeley.com/documents/?uuid=d24ae4eb-2d30-4ae6-9af2-979c836e1612"]}],"mendeley":{"formattedCitation":"(Sinha &lt;i&gt;et al&lt;/i&gt;, 2015)","plainTextFormattedCitation":"(Sinha et al, 2015)","previouslyFormattedCitation":"(Sinha &lt;i&gt;et al&lt;/i&gt;, 2015)"},"properties":{"noteIndex":0},"schema":"https://github.com/citation-style-language/schema/raw/master/csl-citation.json"}</w:instrText>
            </w:r>
            <w:r w:rsidRPr="00E97FC1">
              <w:rPr>
                <w:rFonts w:ascii="Helvetica" w:hAnsi="Helvetica" w:cs="Helvetica"/>
                <w:noProof/>
                <w:sz w:val="16"/>
                <w:szCs w:val="16"/>
                <w:lang w:val="en-GB"/>
              </w:rPr>
              <w:fldChar w:fldCharType="separate"/>
            </w:r>
            <w:r w:rsidRPr="00E97FC1">
              <w:rPr>
                <w:rFonts w:ascii="Helvetica" w:hAnsi="Helvetica" w:cs="Helvetica"/>
                <w:noProof/>
                <w:sz w:val="16"/>
                <w:szCs w:val="16"/>
                <w:lang w:val="en-GB"/>
              </w:rPr>
              <w:t xml:space="preserve">(Sinha </w:t>
            </w:r>
            <w:r w:rsidRPr="00E97FC1">
              <w:rPr>
                <w:rFonts w:ascii="Helvetica" w:hAnsi="Helvetica" w:cs="Helvetica"/>
                <w:i/>
                <w:noProof/>
                <w:sz w:val="16"/>
                <w:szCs w:val="16"/>
                <w:lang w:val="en-GB"/>
              </w:rPr>
              <w:t>et al</w:t>
            </w:r>
            <w:r w:rsidRPr="00E97FC1">
              <w:rPr>
                <w:rFonts w:ascii="Helvetica" w:hAnsi="Helvetica" w:cs="Helvetica"/>
                <w:noProof/>
                <w:sz w:val="16"/>
                <w:szCs w:val="16"/>
                <w:lang w:val="en-GB"/>
              </w:rPr>
              <w:t>, 2015)</w:t>
            </w:r>
            <w:r w:rsidRPr="00E97FC1">
              <w:rPr>
                <w:rFonts w:ascii="Helvetica" w:hAnsi="Helvetica" w:cs="Helvetica"/>
                <w:noProof/>
                <w:sz w:val="16"/>
                <w:szCs w:val="16"/>
                <w:lang w:val="en-GB"/>
              </w:rPr>
              <w:fldChar w:fldCharType="end"/>
            </w:r>
          </w:p>
        </w:tc>
      </w:tr>
      <w:tr w:rsidR="002471A8" w:rsidRPr="00E97FC1" w14:paraId="2731DF1F" w14:textId="77777777" w:rsidTr="002471A8">
        <w:trPr>
          <w:trHeight w:val="65"/>
        </w:trPr>
        <w:tc>
          <w:tcPr>
            <w:tcW w:w="528" w:type="pct"/>
          </w:tcPr>
          <w:p w14:paraId="2B023E75"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H253K</w:t>
            </w:r>
          </w:p>
        </w:tc>
        <w:tc>
          <w:tcPr>
            <w:tcW w:w="1301" w:type="pct"/>
            <w:vMerge/>
          </w:tcPr>
          <w:p w14:paraId="1022DBD5" w14:textId="77777777" w:rsidR="002471A8" w:rsidRPr="00E97FC1" w:rsidRDefault="002471A8" w:rsidP="002471A8">
            <w:pPr>
              <w:rPr>
                <w:rFonts w:ascii="Helvetica" w:hAnsi="Helvetica" w:cs="Helvetica"/>
                <w:bCs/>
                <w:sz w:val="20"/>
                <w:lang w:val="en-GB"/>
              </w:rPr>
            </w:pPr>
          </w:p>
        </w:tc>
        <w:tc>
          <w:tcPr>
            <w:tcW w:w="715" w:type="pct"/>
          </w:tcPr>
          <w:p w14:paraId="24583F3D"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low</w:t>
            </w:r>
          </w:p>
        </w:tc>
        <w:tc>
          <w:tcPr>
            <w:tcW w:w="581" w:type="pct"/>
          </w:tcPr>
          <w:p w14:paraId="687EDE3A" w14:textId="77777777" w:rsidR="002471A8" w:rsidRPr="00E97FC1" w:rsidRDefault="002471A8" w:rsidP="002471A8">
            <w:pPr>
              <w:rPr>
                <w:rFonts w:ascii="Helvetica" w:hAnsi="Helvetica" w:cs="Helvetica"/>
                <w:bCs/>
                <w:sz w:val="20"/>
                <w:lang w:val="en-GB"/>
              </w:rPr>
            </w:pPr>
            <w:r w:rsidRPr="00E97FC1">
              <w:rPr>
                <w:rFonts w:ascii="Helvetica" w:hAnsi="Helvetica" w:cs="Helvetica"/>
                <w:sz w:val="20"/>
                <w:lang w:val="en-GB"/>
              </w:rPr>
              <w:t>26%</w:t>
            </w:r>
          </w:p>
        </w:tc>
        <w:tc>
          <w:tcPr>
            <w:tcW w:w="628" w:type="pct"/>
          </w:tcPr>
          <w:p w14:paraId="66203374"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4-7%</w:t>
            </w:r>
          </w:p>
        </w:tc>
        <w:tc>
          <w:tcPr>
            <w:tcW w:w="579" w:type="pct"/>
          </w:tcPr>
          <w:p w14:paraId="7C62E7EA"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NA</w:t>
            </w:r>
          </w:p>
        </w:tc>
        <w:tc>
          <w:tcPr>
            <w:tcW w:w="668" w:type="pct"/>
          </w:tcPr>
          <w:p w14:paraId="79680918" w14:textId="2FC56F29" w:rsidR="002471A8" w:rsidRPr="00E97FC1" w:rsidRDefault="002471A8" w:rsidP="002471A8">
            <w:pPr>
              <w:rPr>
                <w:rFonts w:ascii="Helvetica" w:hAnsi="Helvetica" w:cs="Helvetica"/>
                <w:noProof/>
                <w:sz w:val="16"/>
                <w:szCs w:val="16"/>
                <w:lang w:val="en-GB"/>
              </w:rPr>
            </w:pPr>
            <w:r w:rsidRPr="00E97FC1">
              <w:rPr>
                <w:rFonts w:ascii="Helvetica" w:hAnsi="Helvetica" w:cs="Helvetica"/>
                <w:noProof/>
                <w:sz w:val="16"/>
                <w:szCs w:val="16"/>
                <w:lang w:val="en-GB"/>
              </w:rPr>
              <w:fldChar w:fldCharType="begin" w:fldLock="1"/>
            </w:r>
            <w:r w:rsidR="00DC25DF" w:rsidRPr="00E97FC1">
              <w:rPr>
                <w:rFonts w:ascii="Helvetica" w:hAnsi="Helvetica" w:cs="Helvetica"/>
                <w:noProof/>
                <w:sz w:val="16"/>
                <w:szCs w:val="16"/>
                <w:lang w:val="en-GB"/>
              </w:rPr>
              <w:instrText>ADDIN CSL_CITATION {"citationItems":[{"id":"ITEM-1","itemData":{"DOI":"10.1021/bi062062t","ISSN":"0006-2960 (Print)","PMID":"17209562","abstract":"The conserved arginine 274 and histidine 224 and 228 residues in subunit NuoCD of  complex I from Escherichia coli were substituted for alanine. The wild-type and mutated NuoCD subunit was expressed on a plasmid in an E. coli strain bearing a nuoCD deletion. Complex I was fully expressed in the H224A and H228A mutants, whereas the R274A mutation yielded approximately 50% expression. Ubiquinone reductase activity of complex I was studied in membranes and with purified enzyme and was 50% and 30% of the wild-type activity in the H224A and H228A mutants, respectively. The activity of R274A was less than 5% of the wild type in membranes but 20% in purified complex I. Rolliniastatin inhibited quinone reductase activity in the mutants with similar affinity as in the wild type, indicating that the quinone-binding site was not significantly altered by the mutations. Ubiquinone-dependent superoxide production by complex I was similar to the wild type in the R274A mutant but slightly higher in the H224A and H228A mutants. The EPR spectra of purified complex I from the H224A and H228A mutants did not differ from the wild type. In contrast, the signals of the N2 cluster and another fast-relaxing [4Fe-4S] cluster, tentatively assigned as N6b, were drastically decreased in the NADH-reduced R274A mutant enzyme but reappeared on further reduction with dithionite. These findings show that the redox potential of the N2 and N6b centers is shifted to more negative values by the R274A mutation. Purified complex I was reconstituted into liposomes, and electric potential was generated across the membrane upon NADH addition in all three mutant enzymes, suggesting that none of the mutations directly affect the proton-pumping machinery.","author":[{"dropping-particle":"","family":"Belevich","given":"Galina","non-dropping-particle":"","parse-names":false,"suffix":""},{"dropping-particle":"","family":"Euro","given":"Liliya","non-dropping-particle":"","parse-names":false,"suffix":""},{"dropping-particle":"","family":"Wikström","given":"Mårten","non-dropping-particle":"","parse-names":false,"suffix":""},{"dropping-particle":"","family":"Verkhovskaya","given":"Marina","non-dropping-particle":"","parse-names":false,"suffix":""}],"container-title":"Biochemistry","id":"ITEM-1","issue":"2","issued":{"date-parts":[["2007","1"]]},"language":"eng","page":"526-533","publisher-place":"United States","title":"Role of the conserved arginine 274 and histidine 224 and 228 residues in the NuoCD  subunit of complex I from Escherichia coli.","type":"article-journal","volume":"46"},"uris":["http://www.mendeley.com/documents/?uuid=6b2eea36-ccc4-4894-844d-0c974b4cfa0a"]}],"mendeley":{"formattedCitation":"(Belevich &lt;i&gt;et al&lt;/i&gt;, 2007)","plainTextFormattedCitation":"(Belevich et al, 2007)","previouslyFormattedCitation":"(Belevich &lt;i&gt;et al&lt;/i&gt;, 2007)"},"properties":{"noteIndex":0},"schema":"https://github.com/citation-style-language/schema/raw/master/csl-citation.json"}</w:instrText>
            </w:r>
            <w:r w:rsidRPr="00E97FC1">
              <w:rPr>
                <w:rFonts w:ascii="Helvetica" w:hAnsi="Helvetica" w:cs="Helvetica"/>
                <w:noProof/>
                <w:sz w:val="16"/>
                <w:szCs w:val="16"/>
                <w:lang w:val="en-GB"/>
              </w:rPr>
              <w:fldChar w:fldCharType="separate"/>
            </w:r>
            <w:r w:rsidRPr="00E97FC1">
              <w:rPr>
                <w:rFonts w:ascii="Helvetica" w:hAnsi="Helvetica" w:cs="Helvetica"/>
                <w:noProof/>
                <w:sz w:val="16"/>
                <w:szCs w:val="16"/>
                <w:lang w:val="en-GB"/>
              </w:rPr>
              <w:t xml:space="preserve">(Belevich </w:t>
            </w:r>
            <w:r w:rsidRPr="00E97FC1">
              <w:rPr>
                <w:rFonts w:ascii="Helvetica" w:hAnsi="Helvetica" w:cs="Helvetica"/>
                <w:i/>
                <w:noProof/>
                <w:sz w:val="16"/>
                <w:szCs w:val="16"/>
                <w:lang w:val="en-GB"/>
              </w:rPr>
              <w:t>et al</w:t>
            </w:r>
            <w:r w:rsidRPr="00E97FC1">
              <w:rPr>
                <w:rFonts w:ascii="Helvetica" w:hAnsi="Helvetica" w:cs="Helvetica"/>
                <w:noProof/>
                <w:sz w:val="16"/>
                <w:szCs w:val="16"/>
                <w:lang w:val="en-GB"/>
              </w:rPr>
              <w:t>, 2007)</w:t>
            </w:r>
            <w:r w:rsidRPr="00E97FC1">
              <w:rPr>
                <w:rFonts w:ascii="Helvetica" w:hAnsi="Helvetica" w:cs="Helvetica"/>
                <w:noProof/>
                <w:sz w:val="16"/>
                <w:szCs w:val="16"/>
                <w:lang w:val="en-GB"/>
              </w:rPr>
              <w:fldChar w:fldCharType="end"/>
            </w:r>
          </w:p>
        </w:tc>
      </w:tr>
      <w:tr w:rsidR="002471A8" w:rsidRPr="00E97FC1" w14:paraId="1B13105C" w14:textId="77777777" w:rsidTr="002471A8">
        <w:trPr>
          <w:trHeight w:val="65"/>
        </w:trPr>
        <w:tc>
          <w:tcPr>
            <w:tcW w:w="528" w:type="pct"/>
          </w:tcPr>
          <w:p w14:paraId="3F49766A"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G255A</w:t>
            </w:r>
          </w:p>
        </w:tc>
        <w:tc>
          <w:tcPr>
            <w:tcW w:w="1301" w:type="pct"/>
            <w:vMerge/>
          </w:tcPr>
          <w:p w14:paraId="0050854C" w14:textId="77777777" w:rsidR="002471A8" w:rsidRPr="00E97FC1" w:rsidRDefault="002471A8" w:rsidP="002471A8">
            <w:pPr>
              <w:rPr>
                <w:rFonts w:ascii="Helvetica" w:hAnsi="Helvetica" w:cs="Helvetica"/>
                <w:bCs/>
                <w:sz w:val="20"/>
                <w:lang w:val="en-GB"/>
              </w:rPr>
            </w:pPr>
          </w:p>
        </w:tc>
        <w:tc>
          <w:tcPr>
            <w:tcW w:w="715" w:type="pct"/>
          </w:tcPr>
          <w:p w14:paraId="2C165E59"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normal</w:t>
            </w:r>
          </w:p>
        </w:tc>
        <w:tc>
          <w:tcPr>
            <w:tcW w:w="581" w:type="pct"/>
          </w:tcPr>
          <w:p w14:paraId="712E367A" w14:textId="77777777" w:rsidR="002471A8" w:rsidRPr="00E97FC1" w:rsidRDefault="002471A8" w:rsidP="002471A8">
            <w:pPr>
              <w:rPr>
                <w:rFonts w:ascii="Helvetica" w:hAnsi="Helvetica" w:cs="Helvetica"/>
                <w:bCs/>
                <w:sz w:val="20"/>
                <w:lang w:val="en-GB"/>
              </w:rPr>
            </w:pPr>
            <w:r w:rsidRPr="00E97FC1">
              <w:rPr>
                <w:rFonts w:ascii="Helvetica" w:hAnsi="Helvetica" w:cs="Helvetica"/>
                <w:sz w:val="20"/>
                <w:lang w:val="en-GB"/>
              </w:rPr>
              <w:t>81%</w:t>
            </w:r>
          </w:p>
        </w:tc>
        <w:tc>
          <w:tcPr>
            <w:tcW w:w="628" w:type="pct"/>
          </w:tcPr>
          <w:p w14:paraId="14ECCCC0"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82-105%</w:t>
            </w:r>
          </w:p>
        </w:tc>
        <w:tc>
          <w:tcPr>
            <w:tcW w:w="579" w:type="pct"/>
          </w:tcPr>
          <w:p w14:paraId="5B77A0EA"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NA</w:t>
            </w:r>
          </w:p>
        </w:tc>
        <w:tc>
          <w:tcPr>
            <w:tcW w:w="668" w:type="pct"/>
          </w:tcPr>
          <w:p w14:paraId="17650F92" w14:textId="023D7B50" w:rsidR="002471A8" w:rsidRPr="00E97FC1" w:rsidRDefault="002471A8" w:rsidP="002471A8">
            <w:pPr>
              <w:rPr>
                <w:rFonts w:ascii="Helvetica" w:hAnsi="Helvetica" w:cs="Helvetica"/>
                <w:noProof/>
                <w:sz w:val="16"/>
                <w:szCs w:val="16"/>
                <w:lang w:val="en-GB"/>
              </w:rPr>
            </w:pPr>
            <w:r w:rsidRPr="00E97FC1">
              <w:rPr>
                <w:rFonts w:ascii="Helvetica" w:hAnsi="Helvetica" w:cs="Helvetica"/>
                <w:noProof/>
                <w:sz w:val="16"/>
                <w:szCs w:val="16"/>
                <w:lang w:val="en-GB"/>
              </w:rPr>
              <w:fldChar w:fldCharType="begin" w:fldLock="1"/>
            </w:r>
            <w:r w:rsidR="00DC25DF" w:rsidRPr="00E97FC1">
              <w:rPr>
                <w:rFonts w:ascii="Helvetica" w:hAnsi="Helvetica" w:cs="Helvetica"/>
                <w:noProof/>
                <w:sz w:val="16"/>
                <w:szCs w:val="16"/>
                <w:lang w:val="en-GB"/>
              </w:rPr>
              <w:instrText>ADDIN CSL_CITATION {"citationItems":[{"id":"ITEM-1","itemData":{"DOI":"10.1021/bi501403t","ISSN":"1520-4995 (Electronic)","PMID":"25545070","abstract":"The NuoD segment (homologue of mitochondrial 49 kDa subunit) of the  proton-translocating NADH:quinone oxidoreductase (complex I/NDH-1) from Escherichia coli is in the hydrophilic domain and bears many highly conserved amino acid residues. The three-dimensional structural model of NDH-1 suggests that the NuoD segment, together with the neighboring subunits, constitutes a putative quinone binding cavity. We used the homologous DNA recombination technique to clarify the role of selected key amino acid residues of the NuoD segment. Among them, residues Tyr273 and His224 were considered candidates for having important interactions with the quinone headgroup. Mutant Y273F retained partial activity but lost sensitivity to capsaicin-40. Mutant H224R scarcely affected the activity, suggesting that this residue may not be essential. His224 is located in a loop near the N-terminus of the NuoD segment (Gly217-Phe227) which is considered to form part of the quinone binding cavity. In contrast to the His224 mutation, mutants G217V, P218A, and G225V almost completely lost the activity. One region of this loop is positioned close to a cytosolic loop of the NuoA subunit in the membrane domain, and together they seem to be important in keeping the quinone binding cavity intact. The structural role of the longest helix in the NuoD segment located behind the quinone binding cavity was also investigated. Possible roles of other highly conserved residues of the NuoD segment are discussed.","author":[{"dropping-particle":"","family":"Sinha","given":"Prem Kumar","non-dropping-particle":"","parse-names":false,"suffix":""},{"dropping-particle":"","family":"Castro-Guerrero","given":"Norma","non-dropping-particle":"","parse-names":false,"suffix":""},{"dropping-particle":"","family":"Patki","given":"Gaurav","non-dropping-particle":"","parse-names":false,"suffix":""},{"dropping-particle":"","family":"Sato","given":"Motoaki","non-dropping-particle":"","parse-names":false,"suffix":""},{"dropping-particle":"","family":"Torres-Bacete","given":"Jesus","non-dropping-particle":"","parse-names":false,"suffix":""},{"dropping-particle":"","family":"Sinha","given":"Subhash","non-dropping-particle":"","parse-names":false,"suffix":""},{"dropping-particle":"","family":"Miyoshi","given":"Hideto","non-dropping-particle":"","parse-names":false,"suffix":""},{"dropping-particle":"","family":"Matsuno-Yagi","given":"Akemi","non-dropping-particle":"","parse-names":false,"suffix":""},{"dropping-particle":"","family":"Yagi","given":"Takao","non-dropping-particle":"","parse-names":false,"suffix":""}],"container-title":"Biochemistry","id":"ITEM-1","issue":"3","issued":{"date-parts":[["2015","1"]]},"language":"eng","page":"753-764","title":"Conserved amino acid residues of the NuoD segment important for structure and  function of Escherichia coli NDH-1 (complex I).","type":"article-journal","volume":"54"},"uris":["http://www.mendeley.com/documents/?uuid=d24ae4eb-2d30-4ae6-9af2-979c836e1612"]}],"mendeley":{"formattedCitation":"(Sinha &lt;i&gt;et al&lt;/i&gt;, 2015)","plainTextFormattedCitation":"(Sinha et al, 2015)","previouslyFormattedCitation":"(Sinha &lt;i&gt;et al&lt;/i&gt;, 2015)"},"properties":{"noteIndex":0},"schema":"https://github.com/citation-style-language/schema/raw/master/csl-citation.json"}</w:instrText>
            </w:r>
            <w:r w:rsidRPr="00E97FC1">
              <w:rPr>
                <w:rFonts w:ascii="Helvetica" w:hAnsi="Helvetica" w:cs="Helvetica"/>
                <w:noProof/>
                <w:sz w:val="16"/>
                <w:szCs w:val="16"/>
                <w:lang w:val="en-GB"/>
              </w:rPr>
              <w:fldChar w:fldCharType="separate"/>
            </w:r>
            <w:r w:rsidRPr="00E97FC1">
              <w:rPr>
                <w:rFonts w:ascii="Helvetica" w:hAnsi="Helvetica" w:cs="Helvetica"/>
                <w:noProof/>
                <w:sz w:val="16"/>
                <w:szCs w:val="16"/>
                <w:lang w:val="en-GB"/>
              </w:rPr>
              <w:t xml:space="preserve">(Sinha </w:t>
            </w:r>
            <w:r w:rsidRPr="00E97FC1">
              <w:rPr>
                <w:rFonts w:ascii="Helvetica" w:hAnsi="Helvetica" w:cs="Helvetica"/>
                <w:i/>
                <w:noProof/>
                <w:sz w:val="16"/>
                <w:szCs w:val="16"/>
                <w:lang w:val="en-GB"/>
              </w:rPr>
              <w:t>et al</w:t>
            </w:r>
            <w:r w:rsidRPr="00E97FC1">
              <w:rPr>
                <w:rFonts w:ascii="Helvetica" w:hAnsi="Helvetica" w:cs="Helvetica"/>
                <w:noProof/>
                <w:sz w:val="16"/>
                <w:szCs w:val="16"/>
                <w:lang w:val="en-GB"/>
              </w:rPr>
              <w:t>, 2015)</w:t>
            </w:r>
            <w:r w:rsidRPr="00E97FC1">
              <w:rPr>
                <w:rFonts w:ascii="Helvetica" w:hAnsi="Helvetica" w:cs="Helvetica"/>
                <w:noProof/>
                <w:sz w:val="16"/>
                <w:szCs w:val="16"/>
                <w:lang w:val="en-GB"/>
              </w:rPr>
              <w:fldChar w:fldCharType="end"/>
            </w:r>
          </w:p>
        </w:tc>
      </w:tr>
      <w:tr w:rsidR="002471A8" w:rsidRPr="00E97FC1" w14:paraId="570FCA95" w14:textId="77777777" w:rsidTr="002471A8">
        <w:trPr>
          <w:trHeight w:val="65"/>
        </w:trPr>
        <w:tc>
          <w:tcPr>
            <w:tcW w:w="528" w:type="pct"/>
          </w:tcPr>
          <w:p w14:paraId="4567555D"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G255V</w:t>
            </w:r>
          </w:p>
        </w:tc>
        <w:tc>
          <w:tcPr>
            <w:tcW w:w="1301" w:type="pct"/>
            <w:vMerge/>
          </w:tcPr>
          <w:p w14:paraId="2842B69D" w14:textId="77777777" w:rsidR="002471A8" w:rsidRPr="00E97FC1" w:rsidRDefault="002471A8" w:rsidP="002471A8">
            <w:pPr>
              <w:rPr>
                <w:rFonts w:ascii="Helvetica" w:hAnsi="Helvetica" w:cs="Helvetica"/>
                <w:bCs/>
                <w:sz w:val="20"/>
                <w:lang w:val="en-GB"/>
              </w:rPr>
            </w:pPr>
          </w:p>
        </w:tc>
        <w:tc>
          <w:tcPr>
            <w:tcW w:w="715" w:type="pct"/>
          </w:tcPr>
          <w:p w14:paraId="2264791B"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reduced</w:t>
            </w:r>
          </w:p>
        </w:tc>
        <w:tc>
          <w:tcPr>
            <w:tcW w:w="581" w:type="pct"/>
          </w:tcPr>
          <w:p w14:paraId="0386D302" w14:textId="77777777" w:rsidR="002471A8" w:rsidRPr="00E97FC1" w:rsidRDefault="002471A8" w:rsidP="002471A8">
            <w:pPr>
              <w:rPr>
                <w:rFonts w:ascii="Helvetica" w:hAnsi="Helvetica" w:cs="Helvetica"/>
                <w:bCs/>
                <w:sz w:val="20"/>
                <w:lang w:val="en-GB"/>
              </w:rPr>
            </w:pPr>
            <w:r w:rsidRPr="00E97FC1">
              <w:rPr>
                <w:rFonts w:ascii="Helvetica" w:hAnsi="Helvetica" w:cs="Helvetica"/>
                <w:sz w:val="20"/>
                <w:lang w:val="en-GB"/>
              </w:rPr>
              <w:t>67%</w:t>
            </w:r>
          </w:p>
        </w:tc>
        <w:tc>
          <w:tcPr>
            <w:tcW w:w="628" w:type="pct"/>
          </w:tcPr>
          <w:p w14:paraId="6659B12A"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35-51%</w:t>
            </w:r>
          </w:p>
        </w:tc>
        <w:tc>
          <w:tcPr>
            <w:tcW w:w="579" w:type="pct"/>
          </w:tcPr>
          <w:p w14:paraId="19EE965D"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NA</w:t>
            </w:r>
          </w:p>
        </w:tc>
        <w:tc>
          <w:tcPr>
            <w:tcW w:w="668" w:type="pct"/>
          </w:tcPr>
          <w:p w14:paraId="710B3C28" w14:textId="525F09A3" w:rsidR="002471A8" w:rsidRPr="00E97FC1" w:rsidRDefault="002471A8" w:rsidP="002471A8">
            <w:pPr>
              <w:rPr>
                <w:rFonts w:ascii="Helvetica" w:hAnsi="Helvetica" w:cs="Helvetica"/>
                <w:noProof/>
                <w:sz w:val="16"/>
                <w:szCs w:val="16"/>
                <w:lang w:val="en-GB"/>
              </w:rPr>
            </w:pPr>
            <w:r w:rsidRPr="00E97FC1">
              <w:rPr>
                <w:rFonts w:ascii="Helvetica" w:hAnsi="Helvetica" w:cs="Helvetica"/>
                <w:noProof/>
                <w:sz w:val="16"/>
                <w:szCs w:val="16"/>
                <w:lang w:val="en-GB"/>
              </w:rPr>
              <w:fldChar w:fldCharType="begin" w:fldLock="1"/>
            </w:r>
            <w:r w:rsidR="00DC25DF" w:rsidRPr="00E97FC1">
              <w:rPr>
                <w:rFonts w:ascii="Helvetica" w:hAnsi="Helvetica" w:cs="Helvetica"/>
                <w:noProof/>
                <w:sz w:val="16"/>
                <w:szCs w:val="16"/>
                <w:lang w:val="en-GB"/>
              </w:rPr>
              <w:instrText>ADDIN CSL_CITATION {"citationItems":[{"id":"ITEM-1","itemData":{"DOI":"10.1021/bi501403t","ISSN":"1520-4995 (Electronic)","PMID":"25545070","abstract":"The NuoD segment (homologue of mitochondrial 49 kDa subunit) of the  proton-translocating NADH:quinone oxidoreductase (complex I/NDH-1) from Escherichia coli is in the hydrophilic domain and bears many highly conserved amino acid residues. The three-dimensional structural model of NDH-1 suggests that the NuoD segment, together with the neighboring subunits, constitutes a putative quinone binding cavity. We used the homologous DNA recombination technique to clarify the role of selected key amino acid residues of the NuoD segment. Among them, residues Tyr273 and His224 were considered candidates for having important interactions with the quinone headgroup. Mutant Y273F retained partial activity but lost sensitivity to capsaicin-40. Mutant H224R scarcely affected the activity, suggesting that this residue may not be essential. His224 is located in a loop near the N-terminus of the NuoD segment (Gly217-Phe227) which is considered to form part of the quinone binding cavity. In contrast to the His224 mutation, mutants G217V, P218A, and G225V almost completely lost the activity. One region of this loop is positioned close to a cytosolic loop of the NuoA subunit in the membrane domain, and together they seem to be important in keeping the quinone binding cavity intact. The structural role of the longest helix in the NuoD segment located behind the quinone binding cavity was also investigated. Possible roles of other highly conserved residues of the NuoD segment are discussed.","author":[{"dropping-particle":"","family":"Sinha","given":"Prem Kumar","non-dropping-particle":"","parse-names":false,"suffix":""},{"dropping-particle":"","family":"Castro-Guerrero","given":"Norma","non-dropping-particle":"","parse-names":false,"suffix":""},{"dropping-particle":"","family":"Patki","given":"Gaurav","non-dropping-particle":"","parse-names":false,"suffix":""},{"dropping-particle":"","family":"Sato","given":"Motoaki","non-dropping-particle":"","parse-names":false,"suffix":""},{"dropping-particle":"","family":"Torres-Bacete","given":"Jesus","non-dropping-particle":"","parse-names":false,"suffix":""},{"dropping-particle":"","family":"Sinha","given":"Subhash","non-dropping-particle":"","parse-names":false,"suffix":""},{"dropping-particle":"","family":"Miyoshi","given":"Hideto","non-dropping-particle":"","parse-names":false,"suffix":""},{"dropping-particle":"","family":"Matsuno-Yagi","given":"Akemi","non-dropping-particle":"","parse-names":false,"suffix":""},{"dropping-particle":"","family":"Yagi","given":"Takao","non-dropping-particle":"","parse-names":false,"suffix":""}],"container-title":"Biochemistry","id":"ITEM-1","issue":"3","issued":{"date-parts":[["2015","1"]]},"language":"eng","page":"753-764","title":"Conserved amino acid residues of the NuoD segment important for structure and  function of Escherichia coli NDH-1 (complex I).","type":"article-journal","volume":"54"},"uris":["http://www.mendeley.com/documents/?uuid=d24ae4eb-2d30-4ae6-9af2-979c836e1612"]}],"mendeley":{"formattedCitation":"(Sinha &lt;i&gt;et al&lt;/i&gt;, 2015)","plainTextFormattedCitation":"(Sinha et al, 2015)","previouslyFormattedCitation":"(Sinha &lt;i&gt;et al&lt;/i&gt;, 2015)"},"properties":{"noteIndex":0},"schema":"https://github.com/citation-style-language/schema/raw/master/csl-citation.json"}</w:instrText>
            </w:r>
            <w:r w:rsidRPr="00E97FC1">
              <w:rPr>
                <w:rFonts w:ascii="Helvetica" w:hAnsi="Helvetica" w:cs="Helvetica"/>
                <w:noProof/>
                <w:sz w:val="16"/>
                <w:szCs w:val="16"/>
                <w:lang w:val="en-GB"/>
              </w:rPr>
              <w:fldChar w:fldCharType="separate"/>
            </w:r>
            <w:r w:rsidRPr="00E97FC1">
              <w:rPr>
                <w:rFonts w:ascii="Helvetica" w:hAnsi="Helvetica" w:cs="Helvetica"/>
                <w:noProof/>
                <w:sz w:val="16"/>
                <w:szCs w:val="16"/>
                <w:lang w:val="en-GB"/>
              </w:rPr>
              <w:t xml:space="preserve">(Sinha </w:t>
            </w:r>
            <w:r w:rsidRPr="00E97FC1">
              <w:rPr>
                <w:rFonts w:ascii="Helvetica" w:hAnsi="Helvetica" w:cs="Helvetica"/>
                <w:i/>
                <w:noProof/>
                <w:sz w:val="16"/>
                <w:szCs w:val="16"/>
                <w:lang w:val="en-GB"/>
              </w:rPr>
              <w:t>et al</w:t>
            </w:r>
            <w:r w:rsidRPr="00E97FC1">
              <w:rPr>
                <w:rFonts w:ascii="Helvetica" w:hAnsi="Helvetica" w:cs="Helvetica"/>
                <w:noProof/>
                <w:sz w:val="16"/>
                <w:szCs w:val="16"/>
                <w:lang w:val="en-GB"/>
              </w:rPr>
              <w:t>, 2015)</w:t>
            </w:r>
            <w:r w:rsidRPr="00E97FC1">
              <w:rPr>
                <w:rFonts w:ascii="Helvetica" w:hAnsi="Helvetica" w:cs="Helvetica"/>
                <w:noProof/>
                <w:sz w:val="16"/>
                <w:szCs w:val="16"/>
                <w:lang w:val="en-GB"/>
              </w:rPr>
              <w:fldChar w:fldCharType="end"/>
            </w:r>
          </w:p>
        </w:tc>
      </w:tr>
      <w:tr w:rsidR="002471A8" w:rsidRPr="00E97FC1" w14:paraId="625A9D5A" w14:textId="77777777" w:rsidTr="002471A8">
        <w:trPr>
          <w:trHeight w:val="65"/>
        </w:trPr>
        <w:tc>
          <w:tcPr>
            <w:tcW w:w="528" w:type="pct"/>
          </w:tcPr>
          <w:p w14:paraId="13DBA04E"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R274A</w:t>
            </w:r>
          </w:p>
        </w:tc>
        <w:tc>
          <w:tcPr>
            <w:tcW w:w="1301" w:type="pct"/>
            <w:vMerge/>
          </w:tcPr>
          <w:p w14:paraId="6BA19292" w14:textId="77777777" w:rsidR="002471A8" w:rsidRPr="00E97FC1" w:rsidRDefault="002471A8" w:rsidP="002471A8">
            <w:pPr>
              <w:rPr>
                <w:rFonts w:ascii="Helvetica" w:hAnsi="Helvetica" w:cs="Helvetica"/>
                <w:bCs/>
                <w:sz w:val="20"/>
                <w:lang w:val="en-GB"/>
              </w:rPr>
            </w:pPr>
          </w:p>
        </w:tc>
        <w:tc>
          <w:tcPr>
            <w:tcW w:w="715" w:type="pct"/>
          </w:tcPr>
          <w:p w14:paraId="3080DAC2"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normal</w:t>
            </w:r>
          </w:p>
        </w:tc>
        <w:tc>
          <w:tcPr>
            <w:tcW w:w="581" w:type="pct"/>
          </w:tcPr>
          <w:p w14:paraId="5A5517B8" w14:textId="77777777" w:rsidR="002471A8" w:rsidRPr="00E97FC1" w:rsidRDefault="002471A8" w:rsidP="002471A8">
            <w:pPr>
              <w:rPr>
                <w:rFonts w:ascii="Helvetica" w:hAnsi="Helvetica" w:cs="Helvetica"/>
                <w:bCs/>
                <w:sz w:val="20"/>
                <w:lang w:val="en-GB"/>
              </w:rPr>
            </w:pPr>
            <w:r w:rsidRPr="00E97FC1">
              <w:rPr>
                <w:rFonts w:ascii="Helvetica" w:hAnsi="Helvetica" w:cs="Helvetica"/>
                <w:sz w:val="20"/>
                <w:lang w:val="en-GB"/>
              </w:rPr>
              <w:t>47%</w:t>
            </w:r>
          </w:p>
        </w:tc>
        <w:tc>
          <w:tcPr>
            <w:tcW w:w="628" w:type="pct"/>
          </w:tcPr>
          <w:p w14:paraId="0D7BE67B"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3-4%</w:t>
            </w:r>
          </w:p>
        </w:tc>
        <w:tc>
          <w:tcPr>
            <w:tcW w:w="579" w:type="pct"/>
          </w:tcPr>
          <w:p w14:paraId="6545C117"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NA</w:t>
            </w:r>
          </w:p>
        </w:tc>
        <w:tc>
          <w:tcPr>
            <w:tcW w:w="668" w:type="pct"/>
          </w:tcPr>
          <w:p w14:paraId="400D8957" w14:textId="57E725CB" w:rsidR="002471A8" w:rsidRPr="00E97FC1" w:rsidRDefault="002471A8" w:rsidP="002471A8">
            <w:pPr>
              <w:rPr>
                <w:rFonts w:ascii="Helvetica" w:hAnsi="Helvetica" w:cs="Helvetica"/>
                <w:noProof/>
                <w:sz w:val="16"/>
                <w:szCs w:val="16"/>
                <w:lang w:val="en-GB"/>
              </w:rPr>
            </w:pPr>
            <w:r w:rsidRPr="00E97FC1">
              <w:rPr>
                <w:rFonts w:ascii="Helvetica" w:hAnsi="Helvetica" w:cs="Helvetica"/>
                <w:noProof/>
                <w:sz w:val="16"/>
                <w:szCs w:val="16"/>
                <w:lang w:val="en-GB"/>
              </w:rPr>
              <w:fldChar w:fldCharType="begin" w:fldLock="1"/>
            </w:r>
            <w:r w:rsidR="00DC25DF" w:rsidRPr="00E97FC1">
              <w:rPr>
                <w:rFonts w:ascii="Helvetica" w:hAnsi="Helvetica" w:cs="Helvetica"/>
                <w:noProof/>
                <w:sz w:val="16"/>
                <w:szCs w:val="16"/>
                <w:lang w:val="en-GB"/>
              </w:rPr>
              <w:instrText>ADDIN CSL_CITATION {"citationItems":[{"id":"ITEM-1","itemData":{"DOI":"10.1021/bi501403t","ISSN":"1520-4995 (Electronic)","PMID":"25545070","abstract":"The NuoD segment (homologue of mitochondrial 49 kDa subunit) of the  proton-translocating NADH:quinone oxidoreductase (complex I/NDH-1) from Escherichia coli is in the hydrophilic domain and bears many highly conserved amino acid residues. The three-dimensional structural model of NDH-1 suggests that the NuoD segment, together with the neighboring subunits, constitutes a putative quinone binding cavity. We used the homologous DNA recombination technique to clarify the role of selected key amino acid residues of the NuoD segment. Among them, residues Tyr273 and His224 were considered candidates for having important interactions with the quinone headgroup. Mutant Y273F retained partial activity but lost sensitivity to capsaicin-40. Mutant H224R scarcely affected the activity, suggesting that this residue may not be essential. His224 is located in a loop near the N-terminus of the NuoD segment (Gly217-Phe227) which is considered to form part of the quinone binding cavity. In contrast to the His224 mutation, mutants G217V, P218A, and G225V almost completely lost the activity. One region of this loop is positioned close to a cytosolic loop of the NuoA subunit in the membrane domain, and together they seem to be important in keeping the quinone binding cavity intact. The structural role of the longest helix in the NuoD segment located behind the quinone binding cavity was also investigated. Possible roles of other highly conserved residues of the NuoD segment are discussed.","author":[{"dropping-particle":"","family":"Sinha","given":"Prem Kumar","non-dropping-particle":"","parse-names":false,"suffix":""},{"dropping-particle":"","family":"Castro-Guerrero","given":"Norma","non-dropping-particle":"","parse-names":false,"suffix":""},{"dropping-particle":"","family":"Patki","given":"Gaurav","non-dropping-particle":"","parse-names":false,"suffix":""},{"dropping-particle":"","family":"Sato","given":"Motoaki","non-dropping-particle":"","parse-names":false,"suffix":""},{"dropping-particle":"","family":"Torres-Bacete","given":"Jesus","non-dropping-particle":"","parse-names":false,"suffix":""},{"dropping-particle":"","family":"Sinha","given":"Subhash","non-dropping-particle":"","parse-names":false,"suffix":""},{"dropping-particle":"","family":"Miyoshi","given":"Hideto","non-dropping-particle":"","parse-names":false,"suffix":""},{"dropping-particle":"","family":"Matsuno-Yagi","given":"Akemi","non-dropping-particle":"","parse-names":false,"suffix":""},{"dropping-particle":"","family":"Yagi","given":"Takao","non-dropping-particle":"","parse-names":false,"suffix":""}],"container-title":"Biochemistry","id":"ITEM-1","issue":"3","issued":{"date-parts":[["2015","1"]]},"language":"eng","page":"753-764","title":"Conserved amino acid residues of the NuoD segment important for structure and  function of Escherichia coli NDH-1 (complex I).","type":"article-journal","volume":"54"},"uris":["http://www.mendeley.com/documents/?uuid=d24ae4eb-2d30-4ae6-9af2-979c836e1612"]}],"mendeley":{"formattedCitation":"(Sinha &lt;i&gt;et al&lt;/i&gt;, 2015)","plainTextFormattedCitation":"(Sinha et al, 2015)","previouslyFormattedCitation":"(Sinha &lt;i&gt;et al&lt;/i&gt;, 2015)"},"properties":{"noteIndex":0},"schema":"https://github.com/citation-style-language/schema/raw/master/csl-citation.json"}</w:instrText>
            </w:r>
            <w:r w:rsidRPr="00E97FC1">
              <w:rPr>
                <w:rFonts w:ascii="Helvetica" w:hAnsi="Helvetica" w:cs="Helvetica"/>
                <w:noProof/>
                <w:sz w:val="16"/>
                <w:szCs w:val="16"/>
                <w:lang w:val="en-GB"/>
              </w:rPr>
              <w:fldChar w:fldCharType="separate"/>
            </w:r>
            <w:r w:rsidRPr="00E97FC1">
              <w:rPr>
                <w:rFonts w:ascii="Helvetica" w:hAnsi="Helvetica" w:cs="Helvetica"/>
                <w:noProof/>
                <w:sz w:val="16"/>
                <w:szCs w:val="16"/>
                <w:lang w:val="en-GB"/>
              </w:rPr>
              <w:t xml:space="preserve">(Sinha </w:t>
            </w:r>
            <w:r w:rsidRPr="00E97FC1">
              <w:rPr>
                <w:rFonts w:ascii="Helvetica" w:hAnsi="Helvetica" w:cs="Helvetica"/>
                <w:i/>
                <w:noProof/>
                <w:sz w:val="16"/>
                <w:szCs w:val="16"/>
                <w:lang w:val="en-GB"/>
              </w:rPr>
              <w:t>et al</w:t>
            </w:r>
            <w:r w:rsidRPr="00E97FC1">
              <w:rPr>
                <w:rFonts w:ascii="Helvetica" w:hAnsi="Helvetica" w:cs="Helvetica"/>
                <w:noProof/>
                <w:sz w:val="16"/>
                <w:szCs w:val="16"/>
                <w:lang w:val="en-GB"/>
              </w:rPr>
              <w:t>, 2015)</w:t>
            </w:r>
            <w:r w:rsidRPr="00E97FC1">
              <w:rPr>
                <w:rFonts w:ascii="Helvetica" w:hAnsi="Helvetica" w:cs="Helvetica"/>
                <w:noProof/>
                <w:sz w:val="16"/>
                <w:szCs w:val="16"/>
                <w:lang w:val="en-GB"/>
              </w:rPr>
              <w:fldChar w:fldCharType="end"/>
            </w:r>
          </w:p>
        </w:tc>
      </w:tr>
      <w:tr w:rsidR="002471A8" w:rsidRPr="00E97FC1" w14:paraId="0F1C0A0B" w14:textId="77777777" w:rsidTr="002471A8">
        <w:trPr>
          <w:trHeight w:val="65"/>
        </w:trPr>
        <w:tc>
          <w:tcPr>
            <w:tcW w:w="528" w:type="pct"/>
          </w:tcPr>
          <w:p w14:paraId="4953823A"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R274K</w:t>
            </w:r>
          </w:p>
        </w:tc>
        <w:tc>
          <w:tcPr>
            <w:tcW w:w="1301" w:type="pct"/>
            <w:vMerge/>
          </w:tcPr>
          <w:p w14:paraId="23B7C091" w14:textId="77777777" w:rsidR="002471A8" w:rsidRPr="00E97FC1" w:rsidRDefault="002471A8" w:rsidP="002471A8">
            <w:pPr>
              <w:rPr>
                <w:rFonts w:ascii="Helvetica" w:hAnsi="Helvetica" w:cs="Helvetica"/>
                <w:bCs/>
                <w:sz w:val="20"/>
                <w:lang w:val="en-GB"/>
              </w:rPr>
            </w:pPr>
          </w:p>
        </w:tc>
        <w:tc>
          <w:tcPr>
            <w:tcW w:w="715" w:type="pct"/>
          </w:tcPr>
          <w:p w14:paraId="5B6337D1"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normal</w:t>
            </w:r>
          </w:p>
        </w:tc>
        <w:tc>
          <w:tcPr>
            <w:tcW w:w="581" w:type="pct"/>
          </w:tcPr>
          <w:p w14:paraId="08612F29" w14:textId="77777777" w:rsidR="002471A8" w:rsidRPr="00E97FC1" w:rsidRDefault="002471A8" w:rsidP="002471A8">
            <w:pPr>
              <w:rPr>
                <w:rFonts w:ascii="Helvetica" w:hAnsi="Helvetica" w:cs="Helvetica"/>
                <w:bCs/>
                <w:sz w:val="20"/>
                <w:lang w:val="en-GB"/>
              </w:rPr>
            </w:pPr>
            <w:r w:rsidRPr="00E97FC1">
              <w:rPr>
                <w:rFonts w:ascii="Helvetica" w:hAnsi="Helvetica" w:cs="Helvetica"/>
                <w:sz w:val="20"/>
                <w:lang w:val="en-GB"/>
              </w:rPr>
              <w:t>77%</w:t>
            </w:r>
          </w:p>
        </w:tc>
        <w:tc>
          <w:tcPr>
            <w:tcW w:w="628" w:type="pct"/>
          </w:tcPr>
          <w:p w14:paraId="135AF065"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45-60%</w:t>
            </w:r>
          </w:p>
        </w:tc>
        <w:tc>
          <w:tcPr>
            <w:tcW w:w="579" w:type="pct"/>
          </w:tcPr>
          <w:p w14:paraId="22C50485"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NA</w:t>
            </w:r>
          </w:p>
        </w:tc>
        <w:tc>
          <w:tcPr>
            <w:tcW w:w="668" w:type="pct"/>
          </w:tcPr>
          <w:p w14:paraId="7B4B3423" w14:textId="7CAF6B33" w:rsidR="002471A8" w:rsidRPr="00E97FC1" w:rsidRDefault="002471A8" w:rsidP="002471A8">
            <w:pPr>
              <w:rPr>
                <w:rFonts w:ascii="Helvetica" w:hAnsi="Helvetica" w:cs="Helvetica"/>
                <w:noProof/>
                <w:sz w:val="16"/>
                <w:szCs w:val="16"/>
                <w:lang w:val="en-GB"/>
              </w:rPr>
            </w:pPr>
            <w:r w:rsidRPr="00E97FC1">
              <w:rPr>
                <w:rFonts w:ascii="Helvetica" w:hAnsi="Helvetica" w:cs="Helvetica"/>
                <w:noProof/>
                <w:sz w:val="16"/>
                <w:szCs w:val="16"/>
                <w:lang w:val="en-GB"/>
              </w:rPr>
              <w:fldChar w:fldCharType="begin" w:fldLock="1"/>
            </w:r>
            <w:r w:rsidR="00DC25DF" w:rsidRPr="00E97FC1">
              <w:rPr>
                <w:rFonts w:ascii="Helvetica" w:hAnsi="Helvetica" w:cs="Helvetica"/>
                <w:noProof/>
                <w:sz w:val="16"/>
                <w:szCs w:val="16"/>
                <w:lang w:val="en-GB"/>
              </w:rPr>
              <w:instrText>ADDIN CSL_CITATION {"citationItems":[{"id":"ITEM-1","itemData":{"DOI":"10.1021/bi501403t","ISSN":"1520-4995 (Electronic)","PMID":"25545070","abstract":"The NuoD segment (homologue of mitochondrial 49 kDa subunit) of the  proton-translocating NADH:quinone oxidoreductase (complex I/NDH-1) from Escherichia coli is in the hydrophilic domain and bears many highly conserved amino acid residues. The three-dimensional structural model of NDH-1 suggests that the NuoD segment, together with the neighboring subunits, constitutes a putative quinone binding cavity. We used the homologous DNA recombination technique to clarify the role of selected key amino acid residues of the NuoD segment. Among them, residues Tyr273 and His224 were considered candidates for having important interactions with the quinone headgroup. Mutant Y273F retained partial activity but lost sensitivity to capsaicin-40. Mutant H224R scarcely affected the activity, suggesting that this residue may not be essential. His224 is located in a loop near the N-terminus of the NuoD segment (Gly217-Phe227) which is considered to form part of the quinone binding cavity. In contrast to the His224 mutation, mutants G217V, P218A, and G225V almost completely lost the activity. One region of this loop is positioned close to a cytosolic loop of the NuoA subunit in the membrane domain, and together they seem to be important in keeping the quinone binding cavity intact. The structural role of the longest helix in the NuoD segment located behind the quinone binding cavity was also investigated. Possible roles of other highly conserved residues of the NuoD segment are discussed.","author":[{"dropping-particle":"","family":"Sinha","given":"Prem Kumar","non-dropping-particle":"","parse-names":false,"suffix":""},{"dropping-particle":"","family":"Castro-Guerrero","given":"Norma","non-dropping-particle":"","parse-names":false,"suffix":""},{"dropping-particle":"","family":"Patki","given":"Gaurav","non-dropping-particle":"","parse-names":false,"suffix":""},{"dropping-particle":"","family":"Sato","given":"Motoaki","non-dropping-particle":"","parse-names":false,"suffix":""},{"dropping-particle":"","family":"Torres-Bacete","given":"Jesus","non-dropping-particle":"","parse-names":false,"suffix":""},{"dropping-particle":"","family":"Sinha","given":"Subhash","non-dropping-particle":"","parse-names":false,"suffix":""},{"dropping-particle":"","family":"Miyoshi","given":"Hideto","non-dropping-particle":"","parse-names":false,"suffix":""},{"dropping-particle":"","family":"Matsuno-Yagi","given":"Akemi","non-dropping-particle":"","parse-names":false,"suffix":""},{"dropping-particle":"","family":"Yagi","given":"Takao","non-dropping-particle":"","parse-names":false,"suffix":""}],"container-title":"Biochemistry","id":"ITEM-1","issue":"3","issued":{"date-parts":[["2015","1"]]},"language":"eng","page":"753-764","title":"Conserved amino acid residues of the NuoD segment important for structure and  function of Escherichia coli NDH-1 (complex I).","type":"article-journal","volume":"54"},"uris":["http://www.mendeley.com/documents/?uuid=d24ae4eb-2d30-4ae6-9af2-979c836e1612"]}],"mendeley":{"formattedCitation":"(Sinha &lt;i&gt;et al&lt;/i&gt;, 2015)","plainTextFormattedCitation":"(Sinha et al, 2015)","previouslyFormattedCitation":"(Sinha &lt;i&gt;et al&lt;/i&gt;, 2015)"},"properties":{"noteIndex":0},"schema":"https://github.com/citation-style-language/schema/raw/master/csl-citation.json"}</w:instrText>
            </w:r>
            <w:r w:rsidRPr="00E97FC1">
              <w:rPr>
                <w:rFonts w:ascii="Helvetica" w:hAnsi="Helvetica" w:cs="Helvetica"/>
                <w:noProof/>
                <w:sz w:val="16"/>
                <w:szCs w:val="16"/>
                <w:lang w:val="en-GB"/>
              </w:rPr>
              <w:fldChar w:fldCharType="separate"/>
            </w:r>
            <w:r w:rsidRPr="00E97FC1">
              <w:rPr>
                <w:rFonts w:ascii="Helvetica" w:hAnsi="Helvetica" w:cs="Helvetica"/>
                <w:noProof/>
                <w:sz w:val="16"/>
                <w:szCs w:val="16"/>
                <w:lang w:val="en-GB"/>
              </w:rPr>
              <w:t xml:space="preserve">(Sinha </w:t>
            </w:r>
            <w:r w:rsidRPr="00E97FC1">
              <w:rPr>
                <w:rFonts w:ascii="Helvetica" w:hAnsi="Helvetica" w:cs="Helvetica"/>
                <w:i/>
                <w:noProof/>
                <w:sz w:val="16"/>
                <w:szCs w:val="16"/>
                <w:lang w:val="en-GB"/>
              </w:rPr>
              <w:t>et al</w:t>
            </w:r>
            <w:r w:rsidRPr="00E97FC1">
              <w:rPr>
                <w:rFonts w:ascii="Helvetica" w:hAnsi="Helvetica" w:cs="Helvetica"/>
                <w:noProof/>
                <w:sz w:val="16"/>
                <w:szCs w:val="16"/>
                <w:lang w:val="en-GB"/>
              </w:rPr>
              <w:t>, 2015)</w:t>
            </w:r>
            <w:r w:rsidRPr="00E97FC1">
              <w:rPr>
                <w:rFonts w:ascii="Helvetica" w:hAnsi="Helvetica" w:cs="Helvetica"/>
                <w:noProof/>
                <w:sz w:val="16"/>
                <w:szCs w:val="16"/>
                <w:lang w:val="en-GB"/>
              </w:rPr>
              <w:fldChar w:fldCharType="end"/>
            </w:r>
          </w:p>
        </w:tc>
      </w:tr>
      <w:tr w:rsidR="002471A8" w:rsidRPr="00E97FC1" w14:paraId="777BAA42" w14:textId="77777777" w:rsidTr="002471A8">
        <w:trPr>
          <w:trHeight w:val="65"/>
        </w:trPr>
        <w:tc>
          <w:tcPr>
            <w:tcW w:w="528" w:type="pct"/>
          </w:tcPr>
          <w:p w14:paraId="41BA0E0E"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R274A</w:t>
            </w:r>
          </w:p>
        </w:tc>
        <w:tc>
          <w:tcPr>
            <w:tcW w:w="1301" w:type="pct"/>
            <w:vMerge/>
          </w:tcPr>
          <w:p w14:paraId="19BA028F" w14:textId="77777777" w:rsidR="002471A8" w:rsidRPr="00E97FC1" w:rsidRDefault="002471A8" w:rsidP="002471A8">
            <w:pPr>
              <w:rPr>
                <w:rFonts w:ascii="Helvetica" w:hAnsi="Helvetica" w:cs="Helvetica"/>
                <w:bCs/>
                <w:sz w:val="20"/>
                <w:lang w:val="en-GB"/>
              </w:rPr>
            </w:pPr>
          </w:p>
        </w:tc>
        <w:tc>
          <w:tcPr>
            <w:tcW w:w="715" w:type="pct"/>
          </w:tcPr>
          <w:p w14:paraId="1000E8C4"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NA</w:t>
            </w:r>
          </w:p>
        </w:tc>
        <w:tc>
          <w:tcPr>
            <w:tcW w:w="581" w:type="pct"/>
          </w:tcPr>
          <w:p w14:paraId="0DEE5F41"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77%</w:t>
            </w:r>
          </w:p>
        </w:tc>
        <w:tc>
          <w:tcPr>
            <w:tcW w:w="628" w:type="pct"/>
          </w:tcPr>
          <w:p w14:paraId="0CC8EEFF"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22%</w:t>
            </w:r>
          </w:p>
        </w:tc>
        <w:tc>
          <w:tcPr>
            <w:tcW w:w="579" w:type="pct"/>
          </w:tcPr>
          <w:p w14:paraId="138570D3"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25%</w:t>
            </w:r>
          </w:p>
        </w:tc>
        <w:tc>
          <w:tcPr>
            <w:tcW w:w="668" w:type="pct"/>
          </w:tcPr>
          <w:p w14:paraId="01460D5F" w14:textId="7DA9C41A" w:rsidR="002471A8" w:rsidRPr="00E97FC1" w:rsidRDefault="002471A8" w:rsidP="002471A8">
            <w:pPr>
              <w:rPr>
                <w:rFonts w:ascii="Helvetica" w:hAnsi="Helvetica" w:cs="Helvetica"/>
                <w:b/>
                <w:bCs/>
                <w:sz w:val="16"/>
                <w:szCs w:val="16"/>
                <w:lang w:val="en-GB"/>
              </w:rPr>
            </w:pPr>
            <w:r w:rsidRPr="00E97FC1">
              <w:rPr>
                <w:rFonts w:ascii="Helvetica" w:hAnsi="Helvetica" w:cs="Helvetica"/>
                <w:noProof/>
                <w:sz w:val="16"/>
                <w:szCs w:val="16"/>
                <w:lang w:val="en-GB"/>
              </w:rPr>
              <w:fldChar w:fldCharType="begin" w:fldLock="1"/>
            </w:r>
            <w:r w:rsidR="00DC25DF" w:rsidRPr="00E97FC1">
              <w:rPr>
                <w:rFonts w:ascii="Helvetica" w:hAnsi="Helvetica" w:cs="Helvetica"/>
                <w:noProof/>
                <w:sz w:val="16"/>
                <w:szCs w:val="16"/>
                <w:lang w:val="en-GB"/>
              </w:rPr>
              <w:instrText>ADDIN CSL_CITATION {"citationItems":[{"id":"ITEM-1","itemData":{"DOI":"10.1021/bi062062t","ISSN":"0006-2960 (Print)","PMID":"17209562","abstract":"The conserved arginine 274 and histidine 224 and 228 residues in subunit NuoCD of  complex I from Escherichia coli were substituted for alanine. The wild-type and mutated NuoCD subunit was expressed on a plasmid in an E. coli strain bearing a nuoCD deletion. Complex I was fully expressed in the H224A and H228A mutants, whereas the R274A mutation yielded approximately 50% expression. Ubiquinone reductase activity of complex I was studied in membranes and with purified enzyme and was 50% and 30% of the wild-type activity in the H224A and H228A mutants, respectively. The activity of R274A was less than 5% of the wild type in membranes but 20% in purified complex I. Rolliniastatin inhibited quinone reductase activity in the mutants with similar affinity as in the wild type, indicating that the quinone-binding site was not significantly altered by the mutations. Ubiquinone-dependent superoxide production by complex I was similar to the wild type in the R274A mutant but slightly higher in the H224A and H228A mutants. The EPR spectra of purified complex I from the H224A and H228A mutants did not differ from the wild type. In contrast, the signals of the N2 cluster and another fast-relaxing [4Fe-4S] cluster, tentatively assigned as N6b, were drastically decreased in the NADH-reduced R274A mutant enzyme but reappeared on further reduction with dithionite. These findings show that the redox potential of the N2 and N6b centers is shifted to more negative values by the R274A mutation. Purified complex I was reconstituted into liposomes, and electric potential was generated across the membrane upon NADH addition in all three mutant enzymes, suggesting that none of the mutations directly affect the proton-pumping machinery.","author":[{"dropping-particle":"","family":"Belevich","given":"Galina","non-dropping-particle":"","parse-names":false,"suffix":""},{"dropping-particle":"","family":"Euro","given":"Liliya","non-dropping-particle":"","parse-names":false,"suffix":""},{"dropping-particle":"","family":"Wikström","given":"Mårten","non-dropping-particle":"","parse-names":false,"suffix":""},{"dropping-particle":"","family":"Verkhovskaya","given":"Marina","non-dropping-particle":"","parse-names":false,"suffix":""}],"container-title":"Biochemistry","id":"ITEM-1","issue":"2","issued":{"date-parts":[["2007","1"]]},"language":"eng","page":"526-533","publisher-place":"United States","title":"Role of the conserved arginine 274 and histidine 224 and 228 residues in the NuoCD  subunit of complex I from Escherichia coli.","type":"article-journal","volume":"46"},"uris":["http://www.mendeley.com/documents/?uuid=6b2eea36-ccc4-4894-844d-0c974b4cfa0a"]}],"mendeley":{"formattedCitation":"(Belevich &lt;i&gt;et al&lt;/i&gt;, 2007)","plainTextFormattedCitation":"(Belevich et al, 2007)","previouslyFormattedCitation":"(Belevich &lt;i&gt;et al&lt;/i&gt;, 2007)"},"properties":{"noteIndex":0},"schema":"https://github.com/citation-style-language/schema/raw/master/csl-citation.json"}</w:instrText>
            </w:r>
            <w:r w:rsidRPr="00E97FC1">
              <w:rPr>
                <w:rFonts w:ascii="Helvetica" w:hAnsi="Helvetica" w:cs="Helvetica"/>
                <w:noProof/>
                <w:sz w:val="16"/>
                <w:szCs w:val="16"/>
                <w:lang w:val="en-GB"/>
              </w:rPr>
              <w:fldChar w:fldCharType="separate"/>
            </w:r>
            <w:r w:rsidRPr="00E97FC1">
              <w:rPr>
                <w:rFonts w:ascii="Helvetica" w:hAnsi="Helvetica" w:cs="Helvetica"/>
                <w:noProof/>
                <w:sz w:val="16"/>
                <w:szCs w:val="16"/>
                <w:lang w:val="en-GB"/>
              </w:rPr>
              <w:t xml:space="preserve">(Belevich </w:t>
            </w:r>
            <w:r w:rsidRPr="00E97FC1">
              <w:rPr>
                <w:rFonts w:ascii="Helvetica" w:hAnsi="Helvetica" w:cs="Helvetica"/>
                <w:i/>
                <w:noProof/>
                <w:sz w:val="16"/>
                <w:szCs w:val="16"/>
                <w:lang w:val="en-GB"/>
              </w:rPr>
              <w:t>et al</w:t>
            </w:r>
            <w:r w:rsidRPr="00E97FC1">
              <w:rPr>
                <w:rFonts w:ascii="Helvetica" w:hAnsi="Helvetica" w:cs="Helvetica"/>
                <w:noProof/>
                <w:sz w:val="16"/>
                <w:szCs w:val="16"/>
                <w:lang w:val="en-GB"/>
              </w:rPr>
              <w:t>, 2007)</w:t>
            </w:r>
            <w:r w:rsidRPr="00E97FC1">
              <w:rPr>
                <w:rFonts w:ascii="Helvetica" w:hAnsi="Helvetica" w:cs="Helvetica"/>
                <w:noProof/>
                <w:sz w:val="16"/>
                <w:szCs w:val="16"/>
                <w:lang w:val="en-GB"/>
              </w:rPr>
              <w:fldChar w:fldCharType="end"/>
            </w:r>
          </w:p>
        </w:tc>
      </w:tr>
      <w:tr w:rsidR="002471A8" w:rsidRPr="00E97FC1" w14:paraId="4CA2F1D3" w14:textId="77777777" w:rsidTr="002471A8">
        <w:trPr>
          <w:trHeight w:val="65"/>
        </w:trPr>
        <w:tc>
          <w:tcPr>
            <w:tcW w:w="528" w:type="pct"/>
          </w:tcPr>
          <w:p w14:paraId="5E3FA162"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Y277A</w:t>
            </w:r>
          </w:p>
        </w:tc>
        <w:tc>
          <w:tcPr>
            <w:tcW w:w="1301" w:type="pct"/>
            <w:vMerge w:val="restart"/>
          </w:tcPr>
          <w:p w14:paraId="4A1F1846"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N2 environment, Q-site</w:t>
            </w:r>
          </w:p>
        </w:tc>
        <w:tc>
          <w:tcPr>
            <w:tcW w:w="715" w:type="pct"/>
          </w:tcPr>
          <w:p w14:paraId="25F30FF2"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normal</w:t>
            </w:r>
          </w:p>
        </w:tc>
        <w:tc>
          <w:tcPr>
            <w:tcW w:w="581" w:type="pct"/>
          </w:tcPr>
          <w:p w14:paraId="78B77A92" w14:textId="77777777" w:rsidR="002471A8" w:rsidRPr="00E97FC1" w:rsidRDefault="002471A8" w:rsidP="002471A8">
            <w:pPr>
              <w:rPr>
                <w:rFonts w:ascii="Helvetica" w:hAnsi="Helvetica" w:cs="Helvetica"/>
                <w:bCs/>
                <w:sz w:val="20"/>
                <w:lang w:val="en-GB"/>
              </w:rPr>
            </w:pPr>
            <w:r w:rsidRPr="00E97FC1">
              <w:rPr>
                <w:rFonts w:ascii="Helvetica" w:hAnsi="Helvetica" w:cs="Helvetica"/>
                <w:sz w:val="20"/>
                <w:lang w:val="en-GB"/>
              </w:rPr>
              <w:t>66%</w:t>
            </w:r>
          </w:p>
        </w:tc>
        <w:tc>
          <w:tcPr>
            <w:tcW w:w="628" w:type="pct"/>
          </w:tcPr>
          <w:p w14:paraId="31E63411"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3-7%</w:t>
            </w:r>
          </w:p>
        </w:tc>
        <w:tc>
          <w:tcPr>
            <w:tcW w:w="579" w:type="pct"/>
          </w:tcPr>
          <w:p w14:paraId="676841EC"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NA</w:t>
            </w:r>
          </w:p>
        </w:tc>
        <w:tc>
          <w:tcPr>
            <w:tcW w:w="668" w:type="pct"/>
          </w:tcPr>
          <w:p w14:paraId="25B5DB18" w14:textId="51282C46" w:rsidR="002471A8" w:rsidRPr="00E97FC1" w:rsidRDefault="002471A8" w:rsidP="002471A8">
            <w:pPr>
              <w:rPr>
                <w:rFonts w:ascii="Helvetica" w:hAnsi="Helvetica" w:cs="Helvetica"/>
                <w:noProof/>
                <w:sz w:val="16"/>
                <w:szCs w:val="16"/>
                <w:lang w:val="en-GB"/>
              </w:rPr>
            </w:pPr>
            <w:r w:rsidRPr="00E97FC1">
              <w:rPr>
                <w:rFonts w:ascii="Helvetica" w:hAnsi="Helvetica" w:cs="Helvetica"/>
                <w:noProof/>
                <w:sz w:val="16"/>
                <w:szCs w:val="16"/>
                <w:lang w:val="en-GB"/>
              </w:rPr>
              <w:fldChar w:fldCharType="begin" w:fldLock="1"/>
            </w:r>
            <w:r w:rsidR="00DC25DF" w:rsidRPr="00E97FC1">
              <w:rPr>
                <w:rFonts w:ascii="Helvetica" w:hAnsi="Helvetica" w:cs="Helvetica"/>
                <w:noProof/>
                <w:sz w:val="16"/>
                <w:szCs w:val="16"/>
                <w:lang w:val="en-GB"/>
              </w:rPr>
              <w:instrText>ADDIN CSL_CITATION {"citationItems":[{"id":"ITEM-1","itemData":{"DOI":"10.1021/bi501403t","ISSN":"1520-4995 (Electronic)","PMID":"25545070","abstract":"The NuoD segment (homologue of mitochondrial 49 kDa subunit) of the  proton-translocating NADH:quinone oxidoreductase (complex I/NDH-1) from Escherichia coli is in the hydrophilic domain and bears many highly conserved amino acid residues. The three-dimensional structural model of NDH-1 suggests that the NuoD segment, together with the neighboring subunits, constitutes a putative quinone binding cavity. We used the homologous DNA recombination technique to clarify the role of selected key amino acid residues of the NuoD segment. Among them, residues Tyr273 and His224 were considered candidates for having important interactions with the quinone headgroup. Mutant Y273F retained partial activity but lost sensitivity to capsaicin-40. Mutant H224R scarcely affected the activity, suggesting that this residue may not be essential. His224 is located in a loop near the N-terminus of the NuoD segment (Gly217-Phe227) which is considered to form part of the quinone binding cavity. In contrast to the His224 mutation, mutants G217V, P218A, and G225V almost completely lost the activity. One region of this loop is positioned close to a cytosolic loop of the NuoA subunit in the membrane domain, and together they seem to be important in keeping the quinone binding cavity intact. The structural role of the longest helix in the NuoD segment located behind the quinone binding cavity was also investigated. Possible roles of other highly conserved residues of the NuoD segment are discussed.","author":[{"dropping-particle":"","family":"Sinha","given":"Prem Kumar","non-dropping-particle":"","parse-names":false,"suffix":""},{"dropping-particle":"","family":"Castro-Guerrero","given":"Norma","non-dropping-particle":"","parse-names":false,"suffix":""},{"dropping-particle":"","family":"Patki","given":"Gaurav","non-dropping-particle":"","parse-names":false,"suffix":""},{"dropping-particle":"","family":"Sato","given":"Motoaki","non-dropping-particle":"","parse-names":false,"suffix":""},{"dropping-particle":"","family":"Torres-Bacete","given":"Jesus","non-dropping-particle":"","parse-names":false,"suffix":""},{"dropping-particle":"","family":"Sinha","given":"Subhash","non-dropping-particle":"","parse-names":false,"suffix":""},{"dropping-particle":"","family":"Miyoshi","given":"Hideto","non-dropping-particle":"","parse-names":false,"suffix":""},{"dropping-particle":"","family":"Matsuno-Yagi","given":"Akemi","non-dropping-particle":"","parse-names":false,"suffix":""},{"dropping-particle":"","family":"Yagi","given":"Takao","non-dropping-particle":"","parse-names":false,"suffix":""}],"container-title":"Biochemistry","id":"ITEM-1","issue":"3","issued":{"date-parts":[["2015","1"]]},"language":"eng","page":"753-764","title":"Conserved amino acid residues of the NuoD segment important for structure and  function of Escherichia coli NDH-1 (complex I).","type":"article-journal","volume":"54"},"uris":["http://www.mendeley.com/documents/?uuid=d24ae4eb-2d30-4ae6-9af2-979c836e1612"]}],"mendeley":{"formattedCitation":"(Sinha &lt;i&gt;et al&lt;/i&gt;, 2015)","plainTextFormattedCitation":"(Sinha et al, 2015)","previouslyFormattedCitation":"(Sinha &lt;i&gt;et al&lt;/i&gt;, 2015)"},"properties":{"noteIndex":0},"schema":"https://github.com/citation-style-language/schema/raw/master/csl-citation.json"}</w:instrText>
            </w:r>
            <w:r w:rsidRPr="00E97FC1">
              <w:rPr>
                <w:rFonts w:ascii="Helvetica" w:hAnsi="Helvetica" w:cs="Helvetica"/>
                <w:noProof/>
                <w:sz w:val="16"/>
                <w:szCs w:val="16"/>
                <w:lang w:val="en-GB"/>
              </w:rPr>
              <w:fldChar w:fldCharType="separate"/>
            </w:r>
            <w:r w:rsidRPr="00E97FC1">
              <w:rPr>
                <w:rFonts w:ascii="Helvetica" w:hAnsi="Helvetica" w:cs="Helvetica"/>
                <w:noProof/>
                <w:sz w:val="16"/>
                <w:szCs w:val="16"/>
                <w:lang w:val="en-GB"/>
              </w:rPr>
              <w:t xml:space="preserve">(Sinha </w:t>
            </w:r>
            <w:r w:rsidRPr="00E97FC1">
              <w:rPr>
                <w:rFonts w:ascii="Helvetica" w:hAnsi="Helvetica" w:cs="Helvetica"/>
                <w:i/>
                <w:noProof/>
                <w:sz w:val="16"/>
                <w:szCs w:val="16"/>
                <w:lang w:val="en-GB"/>
              </w:rPr>
              <w:t>et al</w:t>
            </w:r>
            <w:r w:rsidRPr="00E97FC1">
              <w:rPr>
                <w:rFonts w:ascii="Helvetica" w:hAnsi="Helvetica" w:cs="Helvetica"/>
                <w:noProof/>
                <w:sz w:val="16"/>
                <w:szCs w:val="16"/>
                <w:lang w:val="en-GB"/>
              </w:rPr>
              <w:t>, 2015)</w:t>
            </w:r>
            <w:r w:rsidRPr="00E97FC1">
              <w:rPr>
                <w:rFonts w:ascii="Helvetica" w:hAnsi="Helvetica" w:cs="Helvetica"/>
                <w:noProof/>
                <w:sz w:val="16"/>
                <w:szCs w:val="16"/>
                <w:lang w:val="en-GB"/>
              </w:rPr>
              <w:fldChar w:fldCharType="end"/>
            </w:r>
          </w:p>
        </w:tc>
      </w:tr>
      <w:tr w:rsidR="002471A8" w:rsidRPr="00E97FC1" w14:paraId="0CAE3605" w14:textId="77777777" w:rsidTr="002471A8">
        <w:trPr>
          <w:trHeight w:val="65"/>
        </w:trPr>
        <w:tc>
          <w:tcPr>
            <w:tcW w:w="528" w:type="pct"/>
          </w:tcPr>
          <w:p w14:paraId="2223F7C8"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Y277W</w:t>
            </w:r>
          </w:p>
        </w:tc>
        <w:tc>
          <w:tcPr>
            <w:tcW w:w="1301" w:type="pct"/>
            <w:vMerge/>
          </w:tcPr>
          <w:p w14:paraId="58E57C1C" w14:textId="77777777" w:rsidR="002471A8" w:rsidRPr="00E97FC1" w:rsidRDefault="002471A8" w:rsidP="002471A8">
            <w:pPr>
              <w:rPr>
                <w:rFonts w:ascii="Helvetica" w:hAnsi="Helvetica" w:cs="Helvetica"/>
                <w:bCs/>
                <w:sz w:val="20"/>
                <w:lang w:val="en-GB"/>
              </w:rPr>
            </w:pPr>
          </w:p>
        </w:tc>
        <w:tc>
          <w:tcPr>
            <w:tcW w:w="715" w:type="pct"/>
          </w:tcPr>
          <w:p w14:paraId="76D730CF"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normal</w:t>
            </w:r>
          </w:p>
        </w:tc>
        <w:tc>
          <w:tcPr>
            <w:tcW w:w="581" w:type="pct"/>
          </w:tcPr>
          <w:p w14:paraId="387871F5" w14:textId="77777777" w:rsidR="002471A8" w:rsidRPr="00E97FC1" w:rsidRDefault="002471A8" w:rsidP="002471A8">
            <w:pPr>
              <w:rPr>
                <w:rFonts w:ascii="Helvetica" w:hAnsi="Helvetica" w:cs="Helvetica"/>
                <w:bCs/>
                <w:sz w:val="20"/>
                <w:lang w:val="en-GB"/>
              </w:rPr>
            </w:pPr>
            <w:r w:rsidRPr="00E97FC1">
              <w:rPr>
                <w:rFonts w:ascii="Helvetica" w:hAnsi="Helvetica" w:cs="Helvetica"/>
                <w:sz w:val="20"/>
                <w:lang w:val="en-GB"/>
              </w:rPr>
              <w:t>60%</w:t>
            </w:r>
          </w:p>
        </w:tc>
        <w:tc>
          <w:tcPr>
            <w:tcW w:w="628" w:type="pct"/>
          </w:tcPr>
          <w:p w14:paraId="7FB8881C"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2-8%</w:t>
            </w:r>
          </w:p>
        </w:tc>
        <w:tc>
          <w:tcPr>
            <w:tcW w:w="579" w:type="pct"/>
          </w:tcPr>
          <w:p w14:paraId="654A9EA5"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NA</w:t>
            </w:r>
          </w:p>
        </w:tc>
        <w:tc>
          <w:tcPr>
            <w:tcW w:w="668" w:type="pct"/>
          </w:tcPr>
          <w:p w14:paraId="7AB4FF2C" w14:textId="14F52612" w:rsidR="002471A8" w:rsidRPr="00E97FC1" w:rsidRDefault="002471A8" w:rsidP="002471A8">
            <w:pPr>
              <w:rPr>
                <w:rFonts w:ascii="Helvetica" w:hAnsi="Helvetica" w:cs="Helvetica"/>
                <w:noProof/>
                <w:sz w:val="16"/>
                <w:szCs w:val="16"/>
                <w:lang w:val="en-GB"/>
              </w:rPr>
            </w:pPr>
            <w:r w:rsidRPr="00E97FC1">
              <w:rPr>
                <w:rFonts w:ascii="Helvetica" w:hAnsi="Helvetica" w:cs="Helvetica"/>
                <w:noProof/>
                <w:sz w:val="16"/>
                <w:szCs w:val="16"/>
                <w:lang w:val="en-GB"/>
              </w:rPr>
              <w:fldChar w:fldCharType="begin" w:fldLock="1"/>
            </w:r>
            <w:r w:rsidR="00DC25DF" w:rsidRPr="00E97FC1">
              <w:rPr>
                <w:rFonts w:ascii="Helvetica" w:hAnsi="Helvetica" w:cs="Helvetica"/>
                <w:noProof/>
                <w:sz w:val="16"/>
                <w:szCs w:val="16"/>
                <w:lang w:val="en-GB"/>
              </w:rPr>
              <w:instrText>ADDIN CSL_CITATION {"citationItems":[{"id":"ITEM-1","itemData":{"DOI":"10.1021/bi501403t","ISSN":"1520-4995 (Electronic)","PMID":"25545070","abstract":"The NuoD segment (homologue of mitochondrial 49 kDa subunit) of the  proton-translocating NADH:quinone oxidoreductase (complex I/NDH-1) from Escherichia coli is in the hydrophilic domain and bears many highly conserved amino acid residues. The three-dimensional structural model of NDH-1 suggests that the NuoD segment, together with the neighboring subunits, constitutes a putative quinone binding cavity. We used the homologous DNA recombination technique to clarify the role of selected key amino acid residues of the NuoD segment. Among them, residues Tyr273 and His224 were considered candidates for having important interactions with the quinone headgroup. Mutant Y273F retained partial activity but lost sensitivity to capsaicin-40. Mutant H224R scarcely affected the activity, suggesting that this residue may not be essential. His224 is located in a loop near the N-terminus of the NuoD segment (Gly217-Phe227) which is considered to form part of the quinone binding cavity. In contrast to the His224 mutation, mutants G217V, P218A, and G225V almost completely lost the activity. One region of this loop is positioned close to a cytosolic loop of the NuoA subunit in the membrane domain, and together they seem to be important in keeping the quinone binding cavity intact. The structural role of the longest helix in the NuoD segment located behind the quinone binding cavity was also investigated. Possible roles of other highly conserved residues of the NuoD segment are discussed.","author":[{"dropping-particle":"","family":"Sinha","given":"Prem Kumar","non-dropping-particle":"","parse-names":false,"suffix":""},{"dropping-particle":"","family":"Castro-Guerrero","given":"Norma","non-dropping-particle":"","parse-names":false,"suffix":""},{"dropping-particle":"","family":"Patki","given":"Gaurav","non-dropping-particle":"","parse-names":false,"suffix":""},{"dropping-particle":"","family":"Sato","given":"Motoaki","non-dropping-particle":"","parse-names":false,"suffix":""},{"dropping-particle":"","family":"Torres-Bacete","given":"Jesus","non-dropping-particle":"","parse-names":false,"suffix":""},{"dropping-particle":"","family":"Sinha","given":"Subhash","non-dropping-particle":"","parse-names":false,"suffix":""},{"dropping-particle":"","family":"Miyoshi","given":"Hideto","non-dropping-particle":"","parse-names":false,"suffix":""},{"dropping-particle":"","family":"Matsuno-Yagi","given":"Akemi","non-dropping-particle":"","parse-names":false,"suffix":""},{"dropping-particle":"","family":"Yagi","given":"Takao","non-dropping-particle":"","parse-names":false,"suffix":""}],"container-title":"Biochemistry","id":"ITEM-1","issue":"3","issued":{"date-parts":[["2015","1"]]},"language":"eng","page":"753-764","title":"Conserved amino acid residues of the NuoD segment important for structure and  function of Escherichia coli NDH-1 (complex I).","type":"article-journal","volume":"54"},"uris":["http://www.mendeley.com/documents/?uuid=d24ae4eb-2d30-4ae6-9af2-979c836e1612"]}],"mendeley":{"formattedCitation":"(Sinha &lt;i&gt;et al&lt;/i&gt;, 2015)","plainTextFormattedCitation":"(Sinha et al, 2015)","previouslyFormattedCitation":"(Sinha &lt;i&gt;et al&lt;/i&gt;, 2015)"},"properties":{"noteIndex":0},"schema":"https://github.com/citation-style-language/schema/raw/master/csl-citation.json"}</w:instrText>
            </w:r>
            <w:r w:rsidRPr="00E97FC1">
              <w:rPr>
                <w:rFonts w:ascii="Helvetica" w:hAnsi="Helvetica" w:cs="Helvetica"/>
                <w:noProof/>
                <w:sz w:val="16"/>
                <w:szCs w:val="16"/>
                <w:lang w:val="en-GB"/>
              </w:rPr>
              <w:fldChar w:fldCharType="separate"/>
            </w:r>
            <w:r w:rsidRPr="00E97FC1">
              <w:rPr>
                <w:rFonts w:ascii="Helvetica" w:hAnsi="Helvetica" w:cs="Helvetica"/>
                <w:noProof/>
                <w:sz w:val="16"/>
                <w:szCs w:val="16"/>
                <w:lang w:val="en-GB"/>
              </w:rPr>
              <w:t xml:space="preserve">(Sinha </w:t>
            </w:r>
            <w:r w:rsidRPr="00E97FC1">
              <w:rPr>
                <w:rFonts w:ascii="Helvetica" w:hAnsi="Helvetica" w:cs="Helvetica"/>
                <w:i/>
                <w:noProof/>
                <w:sz w:val="16"/>
                <w:szCs w:val="16"/>
                <w:lang w:val="en-GB"/>
              </w:rPr>
              <w:t>et al</w:t>
            </w:r>
            <w:r w:rsidRPr="00E97FC1">
              <w:rPr>
                <w:rFonts w:ascii="Helvetica" w:hAnsi="Helvetica" w:cs="Helvetica"/>
                <w:noProof/>
                <w:sz w:val="16"/>
                <w:szCs w:val="16"/>
                <w:lang w:val="en-GB"/>
              </w:rPr>
              <w:t>, 2015)</w:t>
            </w:r>
            <w:r w:rsidRPr="00E97FC1">
              <w:rPr>
                <w:rFonts w:ascii="Helvetica" w:hAnsi="Helvetica" w:cs="Helvetica"/>
                <w:noProof/>
                <w:sz w:val="16"/>
                <w:szCs w:val="16"/>
                <w:lang w:val="en-GB"/>
              </w:rPr>
              <w:fldChar w:fldCharType="end"/>
            </w:r>
          </w:p>
        </w:tc>
      </w:tr>
      <w:tr w:rsidR="002471A8" w:rsidRPr="00E97FC1" w14:paraId="5253FE69" w14:textId="77777777" w:rsidTr="002471A8">
        <w:trPr>
          <w:trHeight w:val="65"/>
        </w:trPr>
        <w:tc>
          <w:tcPr>
            <w:tcW w:w="528" w:type="pct"/>
          </w:tcPr>
          <w:p w14:paraId="125B1B30"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Y277F</w:t>
            </w:r>
          </w:p>
        </w:tc>
        <w:tc>
          <w:tcPr>
            <w:tcW w:w="1301" w:type="pct"/>
            <w:vMerge/>
          </w:tcPr>
          <w:p w14:paraId="4C2EAAD9" w14:textId="77777777" w:rsidR="002471A8" w:rsidRPr="00E97FC1" w:rsidRDefault="002471A8" w:rsidP="002471A8">
            <w:pPr>
              <w:rPr>
                <w:rFonts w:ascii="Helvetica" w:hAnsi="Helvetica" w:cs="Helvetica"/>
                <w:bCs/>
                <w:sz w:val="20"/>
                <w:lang w:val="en-GB"/>
              </w:rPr>
            </w:pPr>
          </w:p>
        </w:tc>
        <w:tc>
          <w:tcPr>
            <w:tcW w:w="715" w:type="pct"/>
          </w:tcPr>
          <w:p w14:paraId="355D1954"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NA</w:t>
            </w:r>
          </w:p>
        </w:tc>
        <w:tc>
          <w:tcPr>
            <w:tcW w:w="581" w:type="pct"/>
          </w:tcPr>
          <w:p w14:paraId="4FA184D4" w14:textId="77777777" w:rsidR="002471A8" w:rsidRPr="00E97FC1" w:rsidRDefault="002471A8" w:rsidP="002471A8">
            <w:pPr>
              <w:rPr>
                <w:rFonts w:ascii="Helvetica" w:hAnsi="Helvetica" w:cs="Helvetica"/>
                <w:bCs/>
                <w:sz w:val="20"/>
                <w:lang w:val="en-GB"/>
              </w:rPr>
            </w:pPr>
            <w:r w:rsidRPr="00E97FC1">
              <w:rPr>
                <w:rFonts w:ascii="Helvetica" w:hAnsi="Helvetica" w:cs="Helvetica"/>
                <w:sz w:val="20"/>
                <w:lang w:val="en-GB"/>
              </w:rPr>
              <w:t>76%</w:t>
            </w:r>
          </w:p>
        </w:tc>
        <w:tc>
          <w:tcPr>
            <w:tcW w:w="628" w:type="pct"/>
          </w:tcPr>
          <w:p w14:paraId="0271A6A4"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17-27%</w:t>
            </w:r>
          </w:p>
        </w:tc>
        <w:tc>
          <w:tcPr>
            <w:tcW w:w="579" w:type="pct"/>
          </w:tcPr>
          <w:p w14:paraId="5D128B16"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NA</w:t>
            </w:r>
          </w:p>
        </w:tc>
        <w:tc>
          <w:tcPr>
            <w:tcW w:w="668" w:type="pct"/>
          </w:tcPr>
          <w:p w14:paraId="2B6EBCF6" w14:textId="1B2D93FB" w:rsidR="002471A8" w:rsidRPr="00E97FC1" w:rsidRDefault="002471A8" w:rsidP="002471A8">
            <w:pPr>
              <w:rPr>
                <w:rFonts w:ascii="Helvetica" w:hAnsi="Helvetica" w:cs="Helvetica"/>
                <w:noProof/>
                <w:sz w:val="16"/>
                <w:szCs w:val="16"/>
                <w:lang w:val="en-GB"/>
              </w:rPr>
            </w:pPr>
            <w:r w:rsidRPr="00E97FC1">
              <w:rPr>
                <w:rFonts w:ascii="Helvetica" w:hAnsi="Helvetica" w:cs="Helvetica"/>
                <w:noProof/>
                <w:sz w:val="16"/>
                <w:szCs w:val="16"/>
                <w:lang w:val="en-GB"/>
              </w:rPr>
              <w:fldChar w:fldCharType="begin" w:fldLock="1"/>
            </w:r>
            <w:r w:rsidR="00DC25DF" w:rsidRPr="00E97FC1">
              <w:rPr>
                <w:rFonts w:ascii="Helvetica" w:hAnsi="Helvetica" w:cs="Helvetica"/>
                <w:noProof/>
                <w:sz w:val="16"/>
                <w:szCs w:val="16"/>
                <w:lang w:val="en-GB"/>
              </w:rPr>
              <w:instrText>ADDIN CSL_CITATION {"citationItems":[{"id":"ITEM-1","itemData":{"DOI":"10.1021/bi501403t","ISSN":"1520-4995 (Electronic)","PMID":"25545070","abstract":"The NuoD segment (homologue of mitochondrial 49 kDa subunit) of the  proton-translocating NADH:quinone oxidoreductase (complex I/NDH-1) from Escherichia coli is in the hydrophilic domain and bears many highly conserved amino acid residues. The three-dimensional structural model of NDH-1 suggests that the NuoD segment, together with the neighboring subunits, constitutes a putative quinone binding cavity. We used the homologous DNA recombination technique to clarify the role of selected key amino acid residues of the NuoD segment. Among them, residues Tyr273 and His224 were considered candidates for having important interactions with the quinone headgroup. Mutant Y273F retained partial activity but lost sensitivity to capsaicin-40. Mutant H224R scarcely affected the activity, suggesting that this residue may not be essential. His224 is located in a loop near the N-terminus of the NuoD segment (Gly217-Phe227) which is considered to form part of the quinone binding cavity. In contrast to the His224 mutation, mutants G217V, P218A, and G225V almost completely lost the activity. One region of this loop is positioned close to a cytosolic loop of the NuoA subunit in the membrane domain, and together they seem to be important in keeping the quinone binding cavity intact. The structural role of the longest helix in the NuoD segment located behind the quinone binding cavity was also investigated. Possible roles of other highly conserved residues of the NuoD segment are discussed.","author":[{"dropping-particle":"","family":"Sinha","given":"Prem Kumar","non-dropping-particle":"","parse-names":false,"suffix":""},{"dropping-particle":"","family":"Castro-Guerrero","given":"Norma","non-dropping-particle":"","parse-names":false,"suffix":""},{"dropping-particle":"","family":"Patki","given":"Gaurav","non-dropping-particle":"","parse-names":false,"suffix":""},{"dropping-particle":"","family":"Sato","given":"Motoaki","non-dropping-particle":"","parse-names":false,"suffix":""},{"dropping-particle":"","family":"Torres-Bacete","given":"Jesus","non-dropping-particle":"","parse-names":false,"suffix":""},{"dropping-particle":"","family":"Sinha","given":"Subhash","non-dropping-particle":"","parse-names":false,"suffix":""},{"dropping-particle":"","family":"Miyoshi","given":"Hideto","non-dropping-particle":"","parse-names":false,"suffix":""},{"dropping-particle":"","family":"Matsuno-Yagi","given":"Akemi","non-dropping-particle":"","parse-names":false,"suffix":""},{"dropping-particle":"","family":"Yagi","given":"Takao","non-dropping-particle":"","parse-names":false,"suffix":""}],"container-title":"Biochemistry","id":"ITEM-1","issue":"3","issued":{"date-parts":[["2015","1"]]},"language":"eng","page":"753-764","title":"Conserved amino acid residues of the NuoD segment important for structure and  function of Escherichia coli NDH-1 (complex I).","type":"article-journal","volume":"54"},"uris":["http://www.mendeley.com/documents/?uuid=d24ae4eb-2d30-4ae6-9af2-979c836e1612"]}],"mendeley":{"formattedCitation":"(Sinha &lt;i&gt;et al&lt;/i&gt;, 2015)","plainTextFormattedCitation":"(Sinha et al, 2015)","previouslyFormattedCitation":"(Sinha &lt;i&gt;et al&lt;/i&gt;, 2015)"},"properties":{"noteIndex":0},"schema":"https://github.com/citation-style-language/schema/raw/master/csl-citation.json"}</w:instrText>
            </w:r>
            <w:r w:rsidRPr="00E97FC1">
              <w:rPr>
                <w:rFonts w:ascii="Helvetica" w:hAnsi="Helvetica" w:cs="Helvetica"/>
                <w:noProof/>
                <w:sz w:val="16"/>
                <w:szCs w:val="16"/>
                <w:lang w:val="en-GB"/>
              </w:rPr>
              <w:fldChar w:fldCharType="separate"/>
            </w:r>
            <w:r w:rsidRPr="00E97FC1">
              <w:rPr>
                <w:rFonts w:ascii="Helvetica" w:hAnsi="Helvetica" w:cs="Helvetica"/>
                <w:noProof/>
                <w:sz w:val="16"/>
                <w:szCs w:val="16"/>
                <w:lang w:val="en-GB"/>
              </w:rPr>
              <w:t xml:space="preserve">(Sinha </w:t>
            </w:r>
            <w:r w:rsidRPr="00E97FC1">
              <w:rPr>
                <w:rFonts w:ascii="Helvetica" w:hAnsi="Helvetica" w:cs="Helvetica"/>
                <w:i/>
                <w:noProof/>
                <w:sz w:val="16"/>
                <w:szCs w:val="16"/>
                <w:lang w:val="en-GB"/>
              </w:rPr>
              <w:t>et al</w:t>
            </w:r>
            <w:r w:rsidRPr="00E97FC1">
              <w:rPr>
                <w:rFonts w:ascii="Helvetica" w:hAnsi="Helvetica" w:cs="Helvetica"/>
                <w:noProof/>
                <w:sz w:val="16"/>
                <w:szCs w:val="16"/>
                <w:lang w:val="en-GB"/>
              </w:rPr>
              <w:t>, 2015)</w:t>
            </w:r>
            <w:r w:rsidRPr="00E97FC1">
              <w:rPr>
                <w:rFonts w:ascii="Helvetica" w:hAnsi="Helvetica" w:cs="Helvetica"/>
                <w:noProof/>
                <w:sz w:val="16"/>
                <w:szCs w:val="16"/>
                <w:lang w:val="en-GB"/>
              </w:rPr>
              <w:fldChar w:fldCharType="end"/>
            </w:r>
            <w:r w:rsidRPr="00E97FC1">
              <w:rPr>
                <w:rFonts w:ascii="Helvetica" w:hAnsi="Helvetica" w:cs="Helvetica"/>
                <w:noProof/>
                <w:sz w:val="16"/>
                <w:szCs w:val="16"/>
                <w:lang w:val="en-GB"/>
              </w:rPr>
              <w:t xml:space="preserve">, </w:t>
            </w:r>
            <w:r w:rsidRPr="00E97FC1">
              <w:rPr>
                <w:rFonts w:ascii="Helvetica" w:hAnsi="Helvetica" w:cs="Helvetica"/>
                <w:sz w:val="16"/>
                <w:szCs w:val="16"/>
                <w:lang w:val="en-GB"/>
              </w:rPr>
              <w:t>capsaicin-40 insensitive</w:t>
            </w:r>
          </w:p>
        </w:tc>
      </w:tr>
      <w:tr w:rsidR="002471A8" w:rsidRPr="00E97FC1" w14:paraId="3F75BA7E" w14:textId="77777777" w:rsidTr="002471A8">
        <w:trPr>
          <w:trHeight w:val="65"/>
        </w:trPr>
        <w:tc>
          <w:tcPr>
            <w:tcW w:w="528" w:type="pct"/>
          </w:tcPr>
          <w:p w14:paraId="7B53E233"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lastRenderedPageBreak/>
              <w:t>E292Q</w:t>
            </w:r>
          </w:p>
        </w:tc>
        <w:tc>
          <w:tcPr>
            <w:tcW w:w="1301" w:type="pct"/>
            <w:vMerge w:val="restart"/>
          </w:tcPr>
          <w:p w14:paraId="5C19B97C"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 xml:space="preserve">Intersubunit interface, SB with </w:t>
            </w:r>
            <w:r w:rsidRPr="00E97FC1">
              <w:rPr>
                <w:rFonts w:ascii="Helvetica" w:hAnsi="Helvetica" w:cs="Helvetica"/>
                <w:bCs/>
                <w:sz w:val="20"/>
                <w:vertAlign w:val="subscript"/>
                <w:lang w:val="en-GB"/>
              </w:rPr>
              <w:t>C</w:t>
            </w:r>
            <w:r w:rsidRPr="00E97FC1">
              <w:rPr>
                <w:rFonts w:ascii="Helvetica" w:hAnsi="Helvetica" w:cs="Helvetica"/>
                <w:bCs/>
                <w:sz w:val="20"/>
                <w:lang w:val="en-GB"/>
              </w:rPr>
              <w:t>R307</w:t>
            </w:r>
          </w:p>
        </w:tc>
        <w:tc>
          <w:tcPr>
            <w:tcW w:w="715" w:type="pct"/>
          </w:tcPr>
          <w:p w14:paraId="61EDA6BB"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low</w:t>
            </w:r>
          </w:p>
        </w:tc>
        <w:tc>
          <w:tcPr>
            <w:tcW w:w="581" w:type="pct"/>
          </w:tcPr>
          <w:p w14:paraId="75224838" w14:textId="77777777" w:rsidR="002471A8" w:rsidRPr="00E97FC1" w:rsidRDefault="002471A8" w:rsidP="002471A8">
            <w:pPr>
              <w:rPr>
                <w:rFonts w:ascii="Helvetica" w:hAnsi="Helvetica" w:cs="Helvetica"/>
                <w:bCs/>
                <w:sz w:val="20"/>
                <w:lang w:val="en-GB"/>
              </w:rPr>
            </w:pPr>
            <w:r w:rsidRPr="00E97FC1">
              <w:rPr>
                <w:rFonts w:ascii="Helvetica" w:hAnsi="Helvetica" w:cs="Helvetica"/>
                <w:sz w:val="20"/>
                <w:lang w:val="en-GB"/>
              </w:rPr>
              <w:t>29%</w:t>
            </w:r>
          </w:p>
        </w:tc>
        <w:tc>
          <w:tcPr>
            <w:tcW w:w="628" w:type="pct"/>
          </w:tcPr>
          <w:p w14:paraId="3F3988F3"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4-6%</w:t>
            </w:r>
          </w:p>
        </w:tc>
        <w:tc>
          <w:tcPr>
            <w:tcW w:w="579" w:type="pct"/>
          </w:tcPr>
          <w:p w14:paraId="1D47AED1"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NA</w:t>
            </w:r>
          </w:p>
        </w:tc>
        <w:tc>
          <w:tcPr>
            <w:tcW w:w="668" w:type="pct"/>
          </w:tcPr>
          <w:p w14:paraId="620A47EA" w14:textId="6C31D0E3" w:rsidR="002471A8" w:rsidRPr="00E97FC1" w:rsidRDefault="002471A8" w:rsidP="002471A8">
            <w:pPr>
              <w:rPr>
                <w:rFonts w:ascii="Helvetica" w:hAnsi="Helvetica" w:cs="Helvetica"/>
                <w:noProof/>
                <w:sz w:val="16"/>
                <w:szCs w:val="16"/>
                <w:lang w:val="en-GB"/>
              </w:rPr>
            </w:pPr>
            <w:r w:rsidRPr="00E97FC1">
              <w:rPr>
                <w:rFonts w:ascii="Helvetica" w:hAnsi="Helvetica" w:cs="Helvetica"/>
                <w:noProof/>
                <w:sz w:val="16"/>
                <w:szCs w:val="16"/>
                <w:lang w:val="en-GB"/>
              </w:rPr>
              <w:fldChar w:fldCharType="begin" w:fldLock="1"/>
            </w:r>
            <w:r w:rsidR="00DC25DF" w:rsidRPr="00E97FC1">
              <w:rPr>
                <w:rFonts w:ascii="Helvetica" w:hAnsi="Helvetica" w:cs="Helvetica"/>
                <w:noProof/>
                <w:sz w:val="16"/>
                <w:szCs w:val="16"/>
                <w:lang w:val="en-GB"/>
              </w:rPr>
              <w:instrText>ADDIN CSL_CITATION {"citationItems":[{"id":"ITEM-1","itemData":{"DOI":"10.1021/bi501403t","ISSN":"1520-4995 (Electronic)","PMID":"25545070","abstract":"The NuoD segment (homologue of mitochondrial 49 kDa subunit) of the  proton-translocating NADH:quinone oxidoreductase (complex I/NDH-1) from Escherichia coli is in the hydrophilic domain and bears many highly conserved amino acid residues. The three-dimensional structural model of NDH-1 suggests that the NuoD segment, together with the neighboring subunits, constitutes a putative quinone binding cavity. We used the homologous DNA recombination technique to clarify the role of selected key amino acid residues of the NuoD segment. Among them, residues Tyr273 and His224 were considered candidates for having important interactions with the quinone headgroup. Mutant Y273F retained partial activity but lost sensitivity to capsaicin-40. Mutant H224R scarcely affected the activity, suggesting that this residue may not be essential. His224 is located in a loop near the N-terminus of the NuoD segment (Gly217-Phe227) which is considered to form part of the quinone binding cavity. In contrast to the His224 mutation, mutants G217V, P218A, and G225V almost completely lost the activity. One region of this loop is positioned close to a cytosolic loop of the NuoA subunit in the membrane domain, and together they seem to be important in keeping the quinone binding cavity intact. The structural role of the longest helix in the NuoD segment located behind the quinone binding cavity was also investigated. Possible roles of other highly conserved residues of the NuoD segment are discussed.","author":[{"dropping-particle":"","family":"Sinha","given":"Prem Kumar","non-dropping-particle":"","parse-names":false,"suffix":""},{"dropping-particle":"","family":"Castro-Guerrero","given":"Norma","non-dropping-particle":"","parse-names":false,"suffix":""},{"dropping-particle":"","family":"Patki","given":"Gaurav","non-dropping-particle":"","parse-names":false,"suffix":""},{"dropping-particle":"","family":"Sato","given":"Motoaki","non-dropping-particle":"","parse-names":false,"suffix":""},{"dropping-particle":"","family":"Torres-Bacete","given":"Jesus","non-dropping-particle":"","parse-names":false,"suffix":""},{"dropping-particle":"","family":"Sinha","given":"Subhash","non-dropping-particle":"","parse-names":false,"suffix":""},{"dropping-particle":"","family":"Miyoshi","given":"Hideto","non-dropping-particle":"","parse-names":false,"suffix":""},{"dropping-particle":"","family":"Matsuno-Yagi","given":"Akemi","non-dropping-particle":"","parse-names":false,"suffix":""},{"dropping-particle":"","family":"Yagi","given":"Takao","non-dropping-particle":"","parse-names":false,"suffix":""}],"container-title":"Biochemistry","id":"ITEM-1","issue":"3","issued":{"date-parts":[["2015","1"]]},"language":"eng","page":"753-764","title":"Conserved amino acid residues of the NuoD segment important for structure and  function of Escherichia coli NDH-1 (complex I).","type":"article-journal","volume":"54"},"uris":["http://www.mendeley.com/documents/?uuid=d24ae4eb-2d30-4ae6-9af2-979c836e1612"]}],"mendeley":{"formattedCitation":"(Sinha &lt;i&gt;et al&lt;/i&gt;, 2015)","plainTextFormattedCitation":"(Sinha et al, 2015)","previouslyFormattedCitation":"(Sinha &lt;i&gt;et al&lt;/i&gt;, 2015)"},"properties":{"noteIndex":0},"schema":"https://github.com/citation-style-language/schema/raw/master/csl-citation.json"}</w:instrText>
            </w:r>
            <w:r w:rsidRPr="00E97FC1">
              <w:rPr>
                <w:rFonts w:ascii="Helvetica" w:hAnsi="Helvetica" w:cs="Helvetica"/>
                <w:noProof/>
                <w:sz w:val="16"/>
                <w:szCs w:val="16"/>
                <w:lang w:val="en-GB"/>
              </w:rPr>
              <w:fldChar w:fldCharType="separate"/>
            </w:r>
            <w:r w:rsidRPr="00E97FC1">
              <w:rPr>
                <w:rFonts w:ascii="Helvetica" w:hAnsi="Helvetica" w:cs="Helvetica"/>
                <w:noProof/>
                <w:sz w:val="16"/>
                <w:szCs w:val="16"/>
                <w:lang w:val="en-GB"/>
              </w:rPr>
              <w:t xml:space="preserve">(Sinha </w:t>
            </w:r>
            <w:r w:rsidRPr="00E97FC1">
              <w:rPr>
                <w:rFonts w:ascii="Helvetica" w:hAnsi="Helvetica" w:cs="Helvetica"/>
                <w:i/>
                <w:noProof/>
                <w:sz w:val="16"/>
                <w:szCs w:val="16"/>
                <w:lang w:val="en-GB"/>
              </w:rPr>
              <w:t>et al</w:t>
            </w:r>
            <w:r w:rsidRPr="00E97FC1">
              <w:rPr>
                <w:rFonts w:ascii="Helvetica" w:hAnsi="Helvetica" w:cs="Helvetica"/>
                <w:noProof/>
                <w:sz w:val="16"/>
                <w:szCs w:val="16"/>
                <w:lang w:val="en-GB"/>
              </w:rPr>
              <w:t>, 2015)</w:t>
            </w:r>
            <w:r w:rsidRPr="00E97FC1">
              <w:rPr>
                <w:rFonts w:ascii="Helvetica" w:hAnsi="Helvetica" w:cs="Helvetica"/>
                <w:noProof/>
                <w:sz w:val="16"/>
                <w:szCs w:val="16"/>
                <w:lang w:val="en-GB"/>
              </w:rPr>
              <w:fldChar w:fldCharType="end"/>
            </w:r>
          </w:p>
        </w:tc>
      </w:tr>
      <w:tr w:rsidR="002471A8" w:rsidRPr="00E97FC1" w14:paraId="0E71E15E" w14:textId="77777777" w:rsidTr="002471A8">
        <w:trPr>
          <w:trHeight w:val="65"/>
        </w:trPr>
        <w:tc>
          <w:tcPr>
            <w:tcW w:w="528" w:type="pct"/>
          </w:tcPr>
          <w:p w14:paraId="22804F7D"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E292D</w:t>
            </w:r>
          </w:p>
        </w:tc>
        <w:tc>
          <w:tcPr>
            <w:tcW w:w="1301" w:type="pct"/>
            <w:vMerge/>
          </w:tcPr>
          <w:p w14:paraId="2F762E7A" w14:textId="77777777" w:rsidR="002471A8" w:rsidRPr="00E97FC1" w:rsidRDefault="002471A8" w:rsidP="002471A8">
            <w:pPr>
              <w:rPr>
                <w:rFonts w:ascii="Helvetica" w:hAnsi="Helvetica" w:cs="Helvetica"/>
                <w:bCs/>
                <w:sz w:val="20"/>
                <w:lang w:val="en-GB"/>
              </w:rPr>
            </w:pPr>
          </w:p>
        </w:tc>
        <w:tc>
          <w:tcPr>
            <w:tcW w:w="715" w:type="pct"/>
          </w:tcPr>
          <w:p w14:paraId="63E1BD68"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low</w:t>
            </w:r>
          </w:p>
        </w:tc>
        <w:tc>
          <w:tcPr>
            <w:tcW w:w="581" w:type="pct"/>
          </w:tcPr>
          <w:p w14:paraId="662C3CBC" w14:textId="77777777" w:rsidR="002471A8" w:rsidRPr="00E97FC1" w:rsidRDefault="002471A8" w:rsidP="002471A8">
            <w:pPr>
              <w:rPr>
                <w:rFonts w:ascii="Helvetica" w:hAnsi="Helvetica" w:cs="Helvetica"/>
                <w:bCs/>
                <w:sz w:val="20"/>
                <w:lang w:val="en-GB"/>
              </w:rPr>
            </w:pPr>
            <w:r w:rsidRPr="00E97FC1">
              <w:rPr>
                <w:rFonts w:ascii="Helvetica" w:hAnsi="Helvetica" w:cs="Helvetica"/>
                <w:sz w:val="20"/>
                <w:lang w:val="en-GB"/>
              </w:rPr>
              <w:t>14%</w:t>
            </w:r>
          </w:p>
        </w:tc>
        <w:tc>
          <w:tcPr>
            <w:tcW w:w="628" w:type="pct"/>
          </w:tcPr>
          <w:p w14:paraId="4A22DF19"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2-8%</w:t>
            </w:r>
          </w:p>
        </w:tc>
        <w:tc>
          <w:tcPr>
            <w:tcW w:w="579" w:type="pct"/>
          </w:tcPr>
          <w:p w14:paraId="36D5A404"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NA</w:t>
            </w:r>
          </w:p>
        </w:tc>
        <w:tc>
          <w:tcPr>
            <w:tcW w:w="668" w:type="pct"/>
          </w:tcPr>
          <w:p w14:paraId="3D01F071" w14:textId="5CB598D2" w:rsidR="002471A8" w:rsidRPr="00E97FC1" w:rsidRDefault="002471A8" w:rsidP="002471A8">
            <w:pPr>
              <w:rPr>
                <w:rFonts w:ascii="Helvetica" w:hAnsi="Helvetica" w:cs="Helvetica"/>
                <w:noProof/>
                <w:sz w:val="16"/>
                <w:szCs w:val="16"/>
                <w:lang w:val="en-GB"/>
              </w:rPr>
            </w:pPr>
            <w:r w:rsidRPr="00E97FC1">
              <w:rPr>
                <w:rFonts w:ascii="Helvetica" w:hAnsi="Helvetica" w:cs="Helvetica"/>
                <w:noProof/>
                <w:sz w:val="16"/>
                <w:szCs w:val="16"/>
                <w:lang w:val="en-GB"/>
              </w:rPr>
              <w:fldChar w:fldCharType="begin" w:fldLock="1"/>
            </w:r>
            <w:r w:rsidR="00DC25DF" w:rsidRPr="00E97FC1">
              <w:rPr>
                <w:rFonts w:ascii="Helvetica" w:hAnsi="Helvetica" w:cs="Helvetica"/>
                <w:noProof/>
                <w:sz w:val="16"/>
                <w:szCs w:val="16"/>
                <w:lang w:val="en-GB"/>
              </w:rPr>
              <w:instrText>ADDIN CSL_CITATION {"citationItems":[{"id":"ITEM-1","itemData":{"DOI":"10.1021/bi501403t","ISSN":"1520-4995 (Electronic)","PMID":"25545070","abstract":"The NuoD segment (homologue of mitochondrial 49 kDa subunit) of the  proton-translocating NADH:quinone oxidoreductase (complex I/NDH-1) from Escherichia coli is in the hydrophilic domain and bears many highly conserved amino acid residues. The three-dimensional structural model of NDH-1 suggests that the NuoD segment, together with the neighboring subunits, constitutes a putative quinone binding cavity. We used the homologous DNA recombination technique to clarify the role of selected key amino acid residues of the NuoD segment. Among them, residues Tyr273 and His224 were considered candidates for having important interactions with the quinone headgroup. Mutant Y273F retained partial activity but lost sensitivity to capsaicin-40. Mutant H224R scarcely affected the activity, suggesting that this residue may not be essential. His224 is located in a loop near the N-terminus of the NuoD segment (Gly217-Phe227) which is considered to form part of the quinone binding cavity. In contrast to the His224 mutation, mutants G217V, P218A, and G225V almost completely lost the activity. One region of this loop is positioned close to a cytosolic loop of the NuoA subunit in the membrane domain, and together they seem to be important in keeping the quinone binding cavity intact. The structural role of the longest helix in the NuoD segment located behind the quinone binding cavity was also investigated. Possible roles of other highly conserved residues of the NuoD segment are discussed.","author":[{"dropping-particle":"","family":"Sinha","given":"Prem Kumar","non-dropping-particle":"","parse-names":false,"suffix":""},{"dropping-particle":"","family":"Castro-Guerrero","given":"Norma","non-dropping-particle":"","parse-names":false,"suffix":""},{"dropping-particle":"","family":"Patki","given":"Gaurav","non-dropping-particle":"","parse-names":false,"suffix":""},{"dropping-particle":"","family":"Sato","given":"Motoaki","non-dropping-particle":"","parse-names":false,"suffix":""},{"dropping-particle":"","family":"Torres-Bacete","given":"Jesus","non-dropping-particle":"","parse-names":false,"suffix":""},{"dropping-particle":"","family":"Sinha","given":"Subhash","non-dropping-particle":"","parse-names":false,"suffix":""},{"dropping-particle":"","family":"Miyoshi","given":"Hideto","non-dropping-particle":"","parse-names":false,"suffix":""},{"dropping-particle":"","family":"Matsuno-Yagi","given":"Akemi","non-dropping-particle":"","parse-names":false,"suffix":""},{"dropping-particle":"","family":"Yagi","given":"Takao","non-dropping-particle":"","parse-names":false,"suffix":""}],"container-title":"Biochemistry","id":"ITEM-1","issue":"3","issued":{"date-parts":[["2015","1"]]},"language":"eng","page":"753-764","title":"Conserved amino acid residues of the NuoD segment important for structure and  function of Escherichia coli NDH-1 (complex I).","type":"article-journal","volume":"54"},"uris":["http://www.mendeley.com/documents/?uuid=d24ae4eb-2d30-4ae6-9af2-979c836e1612"]}],"mendeley":{"formattedCitation":"(Sinha &lt;i&gt;et al&lt;/i&gt;, 2015)","plainTextFormattedCitation":"(Sinha et al, 2015)","previouslyFormattedCitation":"(Sinha &lt;i&gt;et al&lt;/i&gt;, 2015)"},"properties":{"noteIndex":0},"schema":"https://github.com/citation-style-language/schema/raw/master/csl-citation.json"}</w:instrText>
            </w:r>
            <w:r w:rsidRPr="00E97FC1">
              <w:rPr>
                <w:rFonts w:ascii="Helvetica" w:hAnsi="Helvetica" w:cs="Helvetica"/>
                <w:noProof/>
                <w:sz w:val="16"/>
                <w:szCs w:val="16"/>
                <w:lang w:val="en-GB"/>
              </w:rPr>
              <w:fldChar w:fldCharType="separate"/>
            </w:r>
            <w:r w:rsidRPr="00E97FC1">
              <w:rPr>
                <w:rFonts w:ascii="Helvetica" w:hAnsi="Helvetica" w:cs="Helvetica"/>
                <w:noProof/>
                <w:sz w:val="16"/>
                <w:szCs w:val="16"/>
                <w:lang w:val="en-GB"/>
              </w:rPr>
              <w:t xml:space="preserve">(Sinha </w:t>
            </w:r>
            <w:r w:rsidRPr="00E97FC1">
              <w:rPr>
                <w:rFonts w:ascii="Helvetica" w:hAnsi="Helvetica" w:cs="Helvetica"/>
                <w:i/>
                <w:noProof/>
                <w:sz w:val="16"/>
                <w:szCs w:val="16"/>
                <w:lang w:val="en-GB"/>
              </w:rPr>
              <w:t>et al</w:t>
            </w:r>
            <w:r w:rsidRPr="00E97FC1">
              <w:rPr>
                <w:rFonts w:ascii="Helvetica" w:hAnsi="Helvetica" w:cs="Helvetica"/>
                <w:noProof/>
                <w:sz w:val="16"/>
                <w:szCs w:val="16"/>
                <w:lang w:val="en-GB"/>
              </w:rPr>
              <w:t>, 2015)</w:t>
            </w:r>
            <w:r w:rsidRPr="00E97FC1">
              <w:rPr>
                <w:rFonts w:ascii="Helvetica" w:hAnsi="Helvetica" w:cs="Helvetica"/>
                <w:noProof/>
                <w:sz w:val="16"/>
                <w:szCs w:val="16"/>
                <w:lang w:val="en-GB"/>
              </w:rPr>
              <w:fldChar w:fldCharType="end"/>
            </w:r>
          </w:p>
        </w:tc>
      </w:tr>
      <w:tr w:rsidR="002471A8" w:rsidRPr="00E97FC1" w14:paraId="72571F7F" w14:textId="77777777" w:rsidTr="002471A8">
        <w:trPr>
          <w:trHeight w:val="65"/>
        </w:trPr>
        <w:tc>
          <w:tcPr>
            <w:tcW w:w="528" w:type="pct"/>
          </w:tcPr>
          <w:p w14:paraId="41DF7D1C"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R302A</w:t>
            </w:r>
          </w:p>
        </w:tc>
        <w:tc>
          <w:tcPr>
            <w:tcW w:w="1301" w:type="pct"/>
            <w:vMerge w:val="restart"/>
          </w:tcPr>
          <w:p w14:paraId="35CF6A39"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surface</w:t>
            </w:r>
          </w:p>
        </w:tc>
        <w:tc>
          <w:tcPr>
            <w:tcW w:w="715" w:type="pct"/>
          </w:tcPr>
          <w:p w14:paraId="712AD862"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normal</w:t>
            </w:r>
          </w:p>
        </w:tc>
        <w:tc>
          <w:tcPr>
            <w:tcW w:w="581" w:type="pct"/>
          </w:tcPr>
          <w:p w14:paraId="13BC12FA" w14:textId="77777777" w:rsidR="002471A8" w:rsidRPr="00E97FC1" w:rsidRDefault="002471A8" w:rsidP="002471A8">
            <w:pPr>
              <w:rPr>
                <w:rFonts w:ascii="Helvetica" w:hAnsi="Helvetica" w:cs="Helvetica"/>
                <w:bCs/>
                <w:sz w:val="20"/>
                <w:lang w:val="en-GB"/>
              </w:rPr>
            </w:pPr>
            <w:r w:rsidRPr="00E97FC1">
              <w:rPr>
                <w:rFonts w:ascii="Helvetica" w:hAnsi="Helvetica" w:cs="Helvetica"/>
                <w:sz w:val="20"/>
                <w:lang w:val="en-GB"/>
              </w:rPr>
              <w:t>78%</w:t>
            </w:r>
          </w:p>
        </w:tc>
        <w:tc>
          <w:tcPr>
            <w:tcW w:w="628" w:type="pct"/>
          </w:tcPr>
          <w:p w14:paraId="3130BF89"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78-97%</w:t>
            </w:r>
          </w:p>
        </w:tc>
        <w:tc>
          <w:tcPr>
            <w:tcW w:w="579" w:type="pct"/>
          </w:tcPr>
          <w:p w14:paraId="3630C5E2"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NA</w:t>
            </w:r>
          </w:p>
        </w:tc>
        <w:tc>
          <w:tcPr>
            <w:tcW w:w="668" w:type="pct"/>
          </w:tcPr>
          <w:p w14:paraId="08244426" w14:textId="373AF41D" w:rsidR="002471A8" w:rsidRPr="00E97FC1" w:rsidRDefault="002471A8" w:rsidP="002471A8">
            <w:pPr>
              <w:rPr>
                <w:rFonts w:ascii="Helvetica" w:hAnsi="Helvetica" w:cs="Helvetica"/>
                <w:noProof/>
                <w:sz w:val="16"/>
                <w:szCs w:val="16"/>
                <w:lang w:val="en-GB"/>
              </w:rPr>
            </w:pPr>
            <w:r w:rsidRPr="00E97FC1">
              <w:rPr>
                <w:rFonts w:ascii="Helvetica" w:hAnsi="Helvetica" w:cs="Helvetica"/>
                <w:noProof/>
                <w:sz w:val="16"/>
                <w:szCs w:val="16"/>
                <w:lang w:val="en-GB"/>
              </w:rPr>
              <w:fldChar w:fldCharType="begin" w:fldLock="1"/>
            </w:r>
            <w:r w:rsidR="00DC25DF" w:rsidRPr="00E97FC1">
              <w:rPr>
                <w:rFonts w:ascii="Helvetica" w:hAnsi="Helvetica" w:cs="Helvetica"/>
                <w:noProof/>
                <w:sz w:val="16"/>
                <w:szCs w:val="16"/>
                <w:lang w:val="en-GB"/>
              </w:rPr>
              <w:instrText>ADDIN CSL_CITATION {"citationItems":[{"id":"ITEM-1","itemData":{"DOI":"10.1021/bi501403t","ISSN":"1520-4995 (Electronic)","PMID":"25545070","abstract":"The NuoD segment (homologue of mitochondrial 49 kDa subunit) of the  proton-translocating NADH:quinone oxidoreductase (complex I/NDH-1) from Escherichia coli is in the hydrophilic domain and bears many highly conserved amino acid residues. The three-dimensional structural model of NDH-1 suggests that the NuoD segment, together with the neighboring subunits, constitutes a putative quinone binding cavity. We used the homologous DNA recombination technique to clarify the role of selected key amino acid residues of the NuoD segment. Among them, residues Tyr273 and His224 were considered candidates for having important interactions with the quinone headgroup. Mutant Y273F retained partial activity but lost sensitivity to capsaicin-40. Mutant H224R scarcely affected the activity, suggesting that this residue may not be essential. His224 is located in a loop near the N-terminus of the NuoD segment (Gly217-Phe227) which is considered to form part of the quinone binding cavity. In contrast to the His224 mutation, mutants G217V, P218A, and G225V almost completely lost the activity. One region of this loop is positioned close to a cytosolic loop of the NuoA subunit in the membrane domain, and together they seem to be important in keeping the quinone binding cavity intact. The structural role of the longest helix in the NuoD segment located behind the quinone binding cavity was also investigated. Possible roles of other highly conserved residues of the NuoD segment are discussed.","author":[{"dropping-particle":"","family":"Sinha","given":"Prem Kumar","non-dropping-particle":"","parse-names":false,"suffix":""},{"dropping-particle":"","family":"Castro-Guerrero","given":"Norma","non-dropping-particle":"","parse-names":false,"suffix":""},{"dropping-particle":"","family":"Patki","given":"Gaurav","non-dropping-particle":"","parse-names":false,"suffix":""},{"dropping-particle":"","family":"Sato","given":"Motoaki","non-dropping-particle":"","parse-names":false,"suffix":""},{"dropping-particle":"","family":"Torres-Bacete","given":"Jesus","non-dropping-particle":"","parse-names":false,"suffix":""},{"dropping-particle":"","family":"Sinha","given":"Subhash","non-dropping-particle":"","parse-names":false,"suffix":""},{"dropping-particle":"","family":"Miyoshi","given":"Hideto","non-dropping-particle":"","parse-names":false,"suffix":""},{"dropping-particle":"","family":"Matsuno-Yagi","given":"Akemi","non-dropping-particle":"","parse-names":false,"suffix":""},{"dropping-particle":"","family":"Yagi","given":"Takao","non-dropping-particle":"","parse-names":false,"suffix":""}],"container-title":"Biochemistry","id":"ITEM-1","issue":"3","issued":{"date-parts":[["2015","1"]]},"language":"eng","page":"753-764","title":"Conserved amino acid residues of the NuoD segment important for structure and  function of Escherichia coli NDH-1 (complex I).","type":"article-journal","volume":"54"},"uris":["http://www.mendeley.com/documents/?uuid=d24ae4eb-2d30-4ae6-9af2-979c836e1612"]}],"mendeley":{"formattedCitation":"(Sinha &lt;i&gt;et al&lt;/i&gt;, 2015)","plainTextFormattedCitation":"(Sinha et al, 2015)","previouslyFormattedCitation":"(Sinha &lt;i&gt;et al&lt;/i&gt;, 2015)"},"properties":{"noteIndex":0},"schema":"https://github.com/citation-style-language/schema/raw/master/csl-citation.json"}</w:instrText>
            </w:r>
            <w:r w:rsidRPr="00E97FC1">
              <w:rPr>
                <w:rFonts w:ascii="Helvetica" w:hAnsi="Helvetica" w:cs="Helvetica"/>
                <w:noProof/>
                <w:sz w:val="16"/>
                <w:szCs w:val="16"/>
                <w:lang w:val="en-GB"/>
              </w:rPr>
              <w:fldChar w:fldCharType="separate"/>
            </w:r>
            <w:r w:rsidRPr="00E97FC1">
              <w:rPr>
                <w:rFonts w:ascii="Helvetica" w:hAnsi="Helvetica" w:cs="Helvetica"/>
                <w:noProof/>
                <w:sz w:val="16"/>
                <w:szCs w:val="16"/>
                <w:lang w:val="en-GB"/>
              </w:rPr>
              <w:t xml:space="preserve">(Sinha </w:t>
            </w:r>
            <w:r w:rsidRPr="00E97FC1">
              <w:rPr>
                <w:rFonts w:ascii="Helvetica" w:hAnsi="Helvetica" w:cs="Helvetica"/>
                <w:i/>
                <w:noProof/>
                <w:sz w:val="16"/>
                <w:szCs w:val="16"/>
                <w:lang w:val="en-GB"/>
              </w:rPr>
              <w:t>et al</w:t>
            </w:r>
            <w:r w:rsidRPr="00E97FC1">
              <w:rPr>
                <w:rFonts w:ascii="Helvetica" w:hAnsi="Helvetica" w:cs="Helvetica"/>
                <w:noProof/>
                <w:sz w:val="16"/>
                <w:szCs w:val="16"/>
                <w:lang w:val="en-GB"/>
              </w:rPr>
              <w:t>, 2015)</w:t>
            </w:r>
            <w:r w:rsidRPr="00E97FC1">
              <w:rPr>
                <w:rFonts w:ascii="Helvetica" w:hAnsi="Helvetica" w:cs="Helvetica"/>
                <w:noProof/>
                <w:sz w:val="16"/>
                <w:szCs w:val="16"/>
                <w:lang w:val="en-GB"/>
              </w:rPr>
              <w:fldChar w:fldCharType="end"/>
            </w:r>
          </w:p>
        </w:tc>
      </w:tr>
      <w:tr w:rsidR="002471A8" w:rsidRPr="00E97FC1" w14:paraId="3761AC15" w14:textId="77777777" w:rsidTr="002471A8">
        <w:trPr>
          <w:trHeight w:val="65"/>
        </w:trPr>
        <w:tc>
          <w:tcPr>
            <w:tcW w:w="528" w:type="pct"/>
          </w:tcPr>
          <w:p w14:paraId="13604619"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R302K</w:t>
            </w:r>
          </w:p>
        </w:tc>
        <w:tc>
          <w:tcPr>
            <w:tcW w:w="1301" w:type="pct"/>
            <w:vMerge/>
          </w:tcPr>
          <w:p w14:paraId="6F6DE367" w14:textId="77777777" w:rsidR="002471A8" w:rsidRPr="00E97FC1" w:rsidRDefault="002471A8" w:rsidP="002471A8">
            <w:pPr>
              <w:rPr>
                <w:rFonts w:ascii="Helvetica" w:hAnsi="Helvetica" w:cs="Helvetica"/>
                <w:bCs/>
                <w:sz w:val="20"/>
                <w:lang w:val="en-GB"/>
              </w:rPr>
            </w:pPr>
          </w:p>
        </w:tc>
        <w:tc>
          <w:tcPr>
            <w:tcW w:w="715" w:type="pct"/>
          </w:tcPr>
          <w:p w14:paraId="65B9DAB4"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normal</w:t>
            </w:r>
          </w:p>
        </w:tc>
        <w:tc>
          <w:tcPr>
            <w:tcW w:w="581" w:type="pct"/>
          </w:tcPr>
          <w:p w14:paraId="26082800" w14:textId="77777777" w:rsidR="002471A8" w:rsidRPr="00E97FC1" w:rsidRDefault="002471A8" w:rsidP="002471A8">
            <w:pPr>
              <w:rPr>
                <w:rFonts w:ascii="Helvetica" w:hAnsi="Helvetica" w:cs="Helvetica"/>
                <w:bCs/>
                <w:sz w:val="20"/>
                <w:lang w:val="en-GB"/>
              </w:rPr>
            </w:pPr>
            <w:r w:rsidRPr="00E97FC1">
              <w:rPr>
                <w:rFonts w:ascii="Helvetica" w:hAnsi="Helvetica" w:cs="Helvetica"/>
                <w:sz w:val="20"/>
                <w:lang w:val="en-GB"/>
              </w:rPr>
              <w:t>94%</w:t>
            </w:r>
          </w:p>
        </w:tc>
        <w:tc>
          <w:tcPr>
            <w:tcW w:w="628" w:type="pct"/>
          </w:tcPr>
          <w:p w14:paraId="21F33E1A"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92-105%</w:t>
            </w:r>
          </w:p>
        </w:tc>
        <w:tc>
          <w:tcPr>
            <w:tcW w:w="579" w:type="pct"/>
          </w:tcPr>
          <w:p w14:paraId="0BA22478"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NA</w:t>
            </w:r>
          </w:p>
        </w:tc>
        <w:tc>
          <w:tcPr>
            <w:tcW w:w="668" w:type="pct"/>
          </w:tcPr>
          <w:p w14:paraId="665DCBD6" w14:textId="7C5011D9" w:rsidR="002471A8" w:rsidRPr="00E97FC1" w:rsidRDefault="002471A8" w:rsidP="002471A8">
            <w:pPr>
              <w:rPr>
                <w:rFonts w:ascii="Helvetica" w:hAnsi="Helvetica" w:cs="Helvetica"/>
                <w:noProof/>
                <w:sz w:val="16"/>
                <w:szCs w:val="16"/>
                <w:lang w:val="en-GB"/>
              </w:rPr>
            </w:pPr>
            <w:r w:rsidRPr="00E97FC1">
              <w:rPr>
                <w:rFonts w:ascii="Helvetica" w:hAnsi="Helvetica" w:cs="Helvetica"/>
                <w:noProof/>
                <w:sz w:val="16"/>
                <w:szCs w:val="16"/>
                <w:lang w:val="en-GB"/>
              </w:rPr>
              <w:fldChar w:fldCharType="begin" w:fldLock="1"/>
            </w:r>
            <w:r w:rsidR="00DC25DF" w:rsidRPr="00E97FC1">
              <w:rPr>
                <w:rFonts w:ascii="Helvetica" w:hAnsi="Helvetica" w:cs="Helvetica"/>
                <w:noProof/>
                <w:sz w:val="16"/>
                <w:szCs w:val="16"/>
                <w:lang w:val="en-GB"/>
              </w:rPr>
              <w:instrText>ADDIN CSL_CITATION {"citationItems":[{"id":"ITEM-1","itemData":{"DOI":"10.1021/bi501403t","ISSN":"1520-4995 (Electronic)","PMID":"25545070","abstract":"The NuoD segment (homologue of mitochondrial 49 kDa subunit) of the  proton-translocating NADH:quinone oxidoreductase (complex I/NDH-1) from Escherichia coli is in the hydrophilic domain and bears many highly conserved amino acid residues. The three-dimensional structural model of NDH-1 suggests that the NuoD segment, together with the neighboring subunits, constitutes a putative quinone binding cavity. We used the homologous DNA recombination technique to clarify the role of selected key amino acid residues of the NuoD segment. Among them, residues Tyr273 and His224 were considered candidates for having important interactions with the quinone headgroup. Mutant Y273F retained partial activity but lost sensitivity to capsaicin-40. Mutant H224R scarcely affected the activity, suggesting that this residue may not be essential. His224 is located in a loop near the N-terminus of the NuoD segment (Gly217-Phe227) which is considered to form part of the quinone binding cavity. In contrast to the His224 mutation, mutants G217V, P218A, and G225V almost completely lost the activity. One region of this loop is positioned close to a cytosolic loop of the NuoA subunit in the membrane domain, and together they seem to be important in keeping the quinone binding cavity intact. The structural role of the longest helix in the NuoD segment located behind the quinone binding cavity was also investigated. Possible roles of other highly conserved residues of the NuoD segment are discussed.","author":[{"dropping-particle":"","family":"Sinha","given":"Prem Kumar","non-dropping-particle":"","parse-names":false,"suffix":""},{"dropping-particle":"","family":"Castro-Guerrero","given":"Norma","non-dropping-particle":"","parse-names":false,"suffix":""},{"dropping-particle":"","family":"Patki","given":"Gaurav","non-dropping-particle":"","parse-names":false,"suffix":""},{"dropping-particle":"","family":"Sato","given":"Motoaki","non-dropping-particle":"","parse-names":false,"suffix":""},{"dropping-particle":"","family":"Torres-Bacete","given":"Jesus","non-dropping-particle":"","parse-names":false,"suffix":""},{"dropping-particle":"","family":"Sinha","given":"Subhash","non-dropping-particle":"","parse-names":false,"suffix":""},{"dropping-particle":"","family":"Miyoshi","given":"Hideto","non-dropping-particle":"","parse-names":false,"suffix":""},{"dropping-particle":"","family":"Matsuno-Yagi","given":"Akemi","non-dropping-particle":"","parse-names":false,"suffix":""},{"dropping-particle":"","family":"Yagi","given":"Takao","non-dropping-particle":"","parse-names":false,"suffix":""}],"container-title":"Biochemistry","id":"ITEM-1","issue":"3","issued":{"date-parts":[["2015","1"]]},"language":"eng","page":"753-764","title":"Conserved amino acid residues of the NuoD segment important for structure and  function of Escherichia coli NDH-1 (complex I).","type":"article-journal","volume":"54"},"uris":["http://www.mendeley.com/documents/?uuid=d24ae4eb-2d30-4ae6-9af2-979c836e1612"]}],"mendeley":{"formattedCitation":"(Sinha &lt;i&gt;et al&lt;/i&gt;, 2015)","plainTextFormattedCitation":"(Sinha et al, 2015)","previouslyFormattedCitation":"(Sinha &lt;i&gt;et al&lt;/i&gt;, 2015)"},"properties":{"noteIndex":0},"schema":"https://github.com/citation-style-language/schema/raw/master/csl-citation.json"}</w:instrText>
            </w:r>
            <w:r w:rsidRPr="00E97FC1">
              <w:rPr>
                <w:rFonts w:ascii="Helvetica" w:hAnsi="Helvetica" w:cs="Helvetica"/>
                <w:noProof/>
                <w:sz w:val="16"/>
                <w:szCs w:val="16"/>
                <w:lang w:val="en-GB"/>
              </w:rPr>
              <w:fldChar w:fldCharType="separate"/>
            </w:r>
            <w:r w:rsidRPr="00E97FC1">
              <w:rPr>
                <w:rFonts w:ascii="Helvetica" w:hAnsi="Helvetica" w:cs="Helvetica"/>
                <w:noProof/>
                <w:sz w:val="16"/>
                <w:szCs w:val="16"/>
                <w:lang w:val="en-GB"/>
              </w:rPr>
              <w:t xml:space="preserve">(Sinha </w:t>
            </w:r>
            <w:r w:rsidRPr="00E97FC1">
              <w:rPr>
                <w:rFonts w:ascii="Helvetica" w:hAnsi="Helvetica" w:cs="Helvetica"/>
                <w:i/>
                <w:noProof/>
                <w:sz w:val="16"/>
                <w:szCs w:val="16"/>
                <w:lang w:val="en-GB"/>
              </w:rPr>
              <w:t>et al</w:t>
            </w:r>
            <w:r w:rsidRPr="00E97FC1">
              <w:rPr>
                <w:rFonts w:ascii="Helvetica" w:hAnsi="Helvetica" w:cs="Helvetica"/>
                <w:noProof/>
                <w:sz w:val="16"/>
                <w:szCs w:val="16"/>
                <w:lang w:val="en-GB"/>
              </w:rPr>
              <w:t>, 2015)</w:t>
            </w:r>
            <w:r w:rsidRPr="00E97FC1">
              <w:rPr>
                <w:rFonts w:ascii="Helvetica" w:hAnsi="Helvetica" w:cs="Helvetica"/>
                <w:noProof/>
                <w:sz w:val="16"/>
                <w:szCs w:val="16"/>
                <w:lang w:val="en-GB"/>
              </w:rPr>
              <w:fldChar w:fldCharType="end"/>
            </w:r>
          </w:p>
        </w:tc>
      </w:tr>
      <w:tr w:rsidR="002471A8" w:rsidRPr="00E97FC1" w14:paraId="6A73B816" w14:textId="77777777" w:rsidTr="002471A8">
        <w:trPr>
          <w:trHeight w:val="65"/>
        </w:trPr>
        <w:tc>
          <w:tcPr>
            <w:tcW w:w="528" w:type="pct"/>
          </w:tcPr>
          <w:p w14:paraId="39136537"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E312Q</w:t>
            </w:r>
          </w:p>
        </w:tc>
        <w:tc>
          <w:tcPr>
            <w:tcW w:w="1301" w:type="pct"/>
            <w:vMerge w:val="restart"/>
          </w:tcPr>
          <w:p w14:paraId="381EC2AD"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 xml:space="preserve">Intersubunit interface, SB with cR439 </w:t>
            </w:r>
          </w:p>
        </w:tc>
        <w:tc>
          <w:tcPr>
            <w:tcW w:w="715" w:type="pct"/>
          </w:tcPr>
          <w:p w14:paraId="0F1F3C92"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low</w:t>
            </w:r>
          </w:p>
        </w:tc>
        <w:tc>
          <w:tcPr>
            <w:tcW w:w="581" w:type="pct"/>
          </w:tcPr>
          <w:p w14:paraId="3C6358B9" w14:textId="77777777" w:rsidR="002471A8" w:rsidRPr="00E97FC1" w:rsidRDefault="002471A8" w:rsidP="002471A8">
            <w:pPr>
              <w:rPr>
                <w:rFonts w:ascii="Helvetica" w:hAnsi="Helvetica" w:cs="Helvetica"/>
                <w:bCs/>
                <w:sz w:val="20"/>
                <w:lang w:val="en-GB"/>
              </w:rPr>
            </w:pPr>
            <w:r w:rsidRPr="00E97FC1">
              <w:rPr>
                <w:rFonts w:ascii="Helvetica" w:hAnsi="Helvetica" w:cs="Helvetica"/>
                <w:sz w:val="20"/>
                <w:lang w:val="en-GB"/>
              </w:rPr>
              <w:t>19%</w:t>
            </w:r>
          </w:p>
        </w:tc>
        <w:tc>
          <w:tcPr>
            <w:tcW w:w="628" w:type="pct"/>
          </w:tcPr>
          <w:p w14:paraId="4A4F8713"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3-7%</w:t>
            </w:r>
          </w:p>
        </w:tc>
        <w:tc>
          <w:tcPr>
            <w:tcW w:w="579" w:type="pct"/>
          </w:tcPr>
          <w:p w14:paraId="67FDC3E2"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NA</w:t>
            </w:r>
          </w:p>
        </w:tc>
        <w:tc>
          <w:tcPr>
            <w:tcW w:w="668" w:type="pct"/>
          </w:tcPr>
          <w:p w14:paraId="0D50A918" w14:textId="6DF81E07" w:rsidR="002471A8" w:rsidRPr="00E97FC1" w:rsidRDefault="002471A8" w:rsidP="002471A8">
            <w:pPr>
              <w:rPr>
                <w:rFonts w:ascii="Helvetica" w:hAnsi="Helvetica" w:cs="Helvetica"/>
                <w:noProof/>
                <w:sz w:val="16"/>
                <w:szCs w:val="16"/>
                <w:lang w:val="en-GB"/>
              </w:rPr>
            </w:pPr>
            <w:r w:rsidRPr="00E97FC1">
              <w:rPr>
                <w:rFonts w:ascii="Helvetica" w:hAnsi="Helvetica" w:cs="Helvetica"/>
                <w:noProof/>
                <w:sz w:val="16"/>
                <w:szCs w:val="16"/>
                <w:lang w:val="en-GB"/>
              </w:rPr>
              <w:fldChar w:fldCharType="begin" w:fldLock="1"/>
            </w:r>
            <w:r w:rsidR="00DC25DF" w:rsidRPr="00E97FC1">
              <w:rPr>
                <w:rFonts w:ascii="Helvetica" w:hAnsi="Helvetica" w:cs="Helvetica"/>
                <w:noProof/>
                <w:sz w:val="16"/>
                <w:szCs w:val="16"/>
                <w:lang w:val="en-GB"/>
              </w:rPr>
              <w:instrText>ADDIN CSL_CITATION {"citationItems":[{"id":"ITEM-1","itemData":{"DOI":"10.1021/bi501403t","ISSN":"1520-4995 (Electronic)","PMID":"25545070","abstract":"The NuoD segment (homologue of mitochondrial 49 kDa subunit) of the  proton-translocating NADH:quinone oxidoreductase (complex I/NDH-1) from Escherichia coli is in the hydrophilic domain and bears many highly conserved amino acid residues. The three-dimensional structural model of NDH-1 suggests that the NuoD segment, together with the neighboring subunits, constitutes a putative quinone binding cavity. We used the homologous DNA recombination technique to clarify the role of selected key amino acid residues of the NuoD segment. Among them, residues Tyr273 and His224 were considered candidates for having important interactions with the quinone headgroup. Mutant Y273F retained partial activity but lost sensitivity to capsaicin-40. Mutant H224R scarcely affected the activity, suggesting that this residue may not be essential. His224 is located in a loop near the N-terminus of the NuoD segment (Gly217-Phe227) which is considered to form part of the quinone binding cavity. In contrast to the His224 mutation, mutants G217V, P218A, and G225V almost completely lost the activity. One region of this loop is positioned close to a cytosolic loop of the NuoA subunit in the membrane domain, and together they seem to be important in keeping the quinone binding cavity intact. The structural role of the longest helix in the NuoD segment located behind the quinone binding cavity was also investigated. Possible roles of other highly conserved residues of the NuoD segment are discussed.","author":[{"dropping-particle":"","family":"Sinha","given":"Prem Kumar","non-dropping-particle":"","parse-names":false,"suffix":""},{"dropping-particle":"","family":"Castro-Guerrero","given":"Norma","non-dropping-particle":"","parse-names":false,"suffix":""},{"dropping-particle":"","family":"Patki","given":"Gaurav","non-dropping-particle":"","parse-names":false,"suffix":""},{"dropping-particle":"","family":"Sato","given":"Motoaki","non-dropping-particle":"","parse-names":false,"suffix":""},{"dropping-particle":"","family":"Torres-Bacete","given":"Jesus","non-dropping-particle":"","parse-names":false,"suffix":""},{"dropping-particle":"","family":"Sinha","given":"Subhash","non-dropping-particle":"","parse-names":false,"suffix":""},{"dropping-particle":"","family":"Miyoshi","given":"Hideto","non-dropping-particle":"","parse-names":false,"suffix":""},{"dropping-particle":"","family":"Matsuno-Yagi","given":"Akemi","non-dropping-particle":"","parse-names":false,"suffix":""},{"dropping-particle":"","family":"Yagi","given":"Takao","non-dropping-particle":"","parse-names":false,"suffix":""}],"container-title":"Biochemistry","id":"ITEM-1","issue":"3","issued":{"date-parts":[["2015","1"]]},"language":"eng","page":"753-764","title":"Conserved amino acid residues of the NuoD segment important for structure and  function of Escherichia coli NDH-1 (complex I).","type":"article-journal","volume":"54"},"uris":["http://www.mendeley.com/documents/?uuid=d24ae4eb-2d30-4ae6-9af2-979c836e1612"]}],"mendeley":{"formattedCitation":"(Sinha &lt;i&gt;et al&lt;/i&gt;, 2015)","plainTextFormattedCitation":"(Sinha et al, 2015)","previouslyFormattedCitation":"(Sinha &lt;i&gt;et al&lt;/i&gt;, 2015)"},"properties":{"noteIndex":0},"schema":"https://github.com/citation-style-language/schema/raw/master/csl-citation.json"}</w:instrText>
            </w:r>
            <w:r w:rsidRPr="00E97FC1">
              <w:rPr>
                <w:rFonts w:ascii="Helvetica" w:hAnsi="Helvetica" w:cs="Helvetica"/>
                <w:noProof/>
                <w:sz w:val="16"/>
                <w:szCs w:val="16"/>
                <w:lang w:val="en-GB"/>
              </w:rPr>
              <w:fldChar w:fldCharType="separate"/>
            </w:r>
            <w:r w:rsidRPr="00E97FC1">
              <w:rPr>
                <w:rFonts w:ascii="Helvetica" w:hAnsi="Helvetica" w:cs="Helvetica"/>
                <w:noProof/>
                <w:sz w:val="16"/>
                <w:szCs w:val="16"/>
                <w:lang w:val="en-GB"/>
              </w:rPr>
              <w:t xml:space="preserve">(Sinha </w:t>
            </w:r>
            <w:r w:rsidRPr="00E97FC1">
              <w:rPr>
                <w:rFonts w:ascii="Helvetica" w:hAnsi="Helvetica" w:cs="Helvetica"/>
                <w:i/>
                <w:noProof/>
                <w:sz w:val="16"/>
                <w:szCs w:val="16"/>
                <w:lang w:val="en-GB"/>
              </w:rPr>
              <w:t>et al</w:t>
            </w:r>
            <w:r w:rsidRPr="00E97FC1">
              <w:rPr>
                <w:rFonts w:ascii="Helvetica" w:hAnsi="Helvetica" w:cs="Helvetica"/>
                <w:noProof/>
                <w:sz w:val="16"/>
                <w:szCs w:val="16"/>
                <w:lang w:val="en-GB"/>
              </w:rPr>
              <w:t>, 2015)</w:t>
            </w:r>
            <w:r w:rsidRPr="00E97FC1">
              <w:rPr>
                <w:rFonts w:ascii="Helvetica" w:hAnsi="Helvetica" w:cs="Helvetica"/>
                <w:noProof/>
                <w:sz w:val="16"/>
                <w:szCs w:val="16"/>
                <w:lang w:val="en-GB"/>
              </w:rPr>
              <w:fldChar w:fldCharType="end"/>
            </w:r>
          </w:p>
        </w:tc>
      </w:tr>
      <w:tr w:rsidR="002471A8" w:rsidRPr="00E97FC1" w14:paraId="307FFCEB" w14:textId="77777777" w:rsidTr="002471A8">
        <w:trPr>
          <w:trHeight w:val="65"/>
        </w:trPr>
        <w:tc>
          <w:tcPr>
            <w:tcW w:w="528" w:type="pct"/>
          </w:tcPr>
          <w:p w14:paraId="746A10EF"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E312D</w:t>
            </w:r>
          </w:p>
        </w:tc>
        <w:tc>
          <w:tcPr>
            <w:tcW w:w="1301" w:type="pct"/>
            <w:vMerge/>
          </w:tcPr>
          <w:p w14:paraId="2418A513" w14:textId="77777777" w:rsidR="002471A8" w:rsidRPr="00E97FC1" w:rsidRDefault="002471A8" w:rsidP="002471A8">
            <w:pPr>
              <w:rPr>
                <w:rFonts w:ascii="Helvetica" w:hAnsi="Helvetica" w:cs="Helvetica"/>
                <w:bCs/>
                <w:sz w:val="20"/>
                <w:lang w:val="en-GB"/>
              </w:rPr>
            </w:pPr>
          </w:p>
        </w:tc>
        <w:tc>
          <w:tcPr>
            <w:tcW w:w="715" w:type="pct"/>
          </w:tcPr>
          <w:p w14:paraId="6081944E"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normal</w:t>
            </w:r>
          </w:p>
        </w:tc>
        <w:tc>
          <w:tcPr>
            <w:tcW w:w="581" w:type="pct"/>
          </w:tcPr>
          <w:p w14:paraId="66235C56" w14:textId="77777777" w:rsidR="002471A8" w:rsidRPr="00E97FC1" w:rsidRDefault="002471A8" w:rsidP="002471A8">
            <w:pPr>
              <w:rPr>
                <w:rFonts w:ascii="Helvetica" w:hAnsi="Helvetica" w:cs="Helvetica"/>
                <w:bCs/>
                <w:sz w:val="20"/>
                <w:lang w:val="en-GB"/>
              </w:rPr>
            </w:pPr>
            <w:r w:rsidRPr="00E97FC1">
              <w:rPr>
                <w:rFonts w:ascii="Helvetica" w:hAnsi="Helvetica" w:cs="Helvetica"/>
                <w:sz w:val="20"/>
                <w:lang w:val="en-GB"/>
              </w:rPr>
              <w:t>82%</w:t>
            </w:r>
          </w:p>
        </w:tc>
        <w:tc>
          <w:tcPr>
            <w:tcW w:w="628" w:type="pct"/>
          </w:tcPr>
          <w:p w14:paraId="759A2D93"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80-95%</w:t>
            </w:r>
          </w:p>
        </w:tc>
        <w:tc>
          <w:tcPr>
            <w:tcW w:w="579" w:type="pct"/>
          </w:tcPr>
          <w:p w14:paraId="36D3548B"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NA</w:t>
            </w:r>
          </w:p>
        </w:tc>
        <w:tc>
          <w:tcPr>
            <w:tcW w:w="668" w:type="pct"/>
          </w:tcPr>
          <w:p w14:paraId="645F20F3" w14:textId="53621EB9" w:rsidR="002471A8" w:rsidRPr="00E97FC1" w:rsidRDefault="002471A8" w:rsidP="002471A8">
            <w:pPr>
              <w:rPr>
                <w:rFonts w:ascii="Helvetica" w:hAnsi="Helvetica" w:cs="Helvetica"/>
                <w:noProof/>
                <w:sz w:val="16"/>
                <w:szCs w:val="16"/>
                <w:lang w:val="en-GB"/>
              </w:rPr>
            </w:pPr>
            <w:r w:rsidRPr="00E97FC1">
              <w:rPr>
                <w:rFonts w:ascii="Helvetica" w:hAnsi="Helvetica" w:cs="Helvetica"/>
                <w:noProof/>
                <w:sz w:val="16"/>
                <w:szCs w:val="16"/>
                <w:lang w:val="en-GB"/>
              </w:rPr>
              <w:fldChar w:fldCharType="begin" w:fldLock="1"/>
            </w:r>
            <w:r w:rsidR="00DC25DF" w:rsidRPr="00E97FC1">
              <w:rPr>
                <w:rFonts w:ascii="Helvetica" w:hAnsi="Helvetica" w:cs="Helvetica"/>
                <w:noProof/>
                <w:sz w:val="16"/>
                <w:szCs w:val="16"/>
                <w:lang w:val="en-GB"/>
              </w:rPr>
              <w:instrText>ADDIN CSL_CITATION {"citationItems":[{"id":"ITEM-1","itemData":{"DOI":"10.1021/bi501403t","ISSN":"1520-4995 (Electronic)","PMID":"25545070","abstract":"The NuoD segment (homologue of mitochondrial 49 kDa subunit) of the  proton-translocating NADH:quinone oxidoreductase (complex I/NDH-1) from Escherichia coli is in the hydrophilic domain and bears many highly conserved amino acid residues. The three-dimensional structural model of NDH-1 suggests that the NuoD segment, together with the neighboring subunits, constitutes a putative quinone binding cavity. We used the homologous DNA recombination technique to clarify the role of selected key amino acid residues of the NuoD segment. Among them, residues Tyr273 and His224 were considered candidates for having important interactions with the quinone headgroup. Mutant Y273F retained partial activity but lost sensitivity to capsaicin-40. Mutant H224R scarcely affected the activity, suggesting that this residue may not be essential. His224 is located in a loop near the N-terminus of the NuoD segment (Gly217-Phe227) which is considered to form part of the quinone binding cavity. In contrast to the His224 mutation, mutants G217V, P218A, and G225V almost completely lost the activity. One region of this loop is positioned close to a cytosolic loop of the NuoA subunit in the membrane domain, and together they seem to be important in keeping the quinone binding cavity intact. The structural role of the longest helix in the NuoD segment located behind the quinone binding cavity was also investigated. Possible roles of other highly conserved residues of the NuoD segment are discussed.","author":[{"dropping-particle":"","family":"Sinha","given":"Prem Kumar","non-dropping-particle":"","parse-names":false,"suffix":""},{"dropping-particle":"","family":"Castro-Guerrero","given":"Norma","non-dropping-particle":"","parse-names":false,"suffix":""},{"dropping-particle":"","family":"Patki","given":"Gaurav","non-dropping-particle":"","parse-names":false,"suffix":""},{"dropping-particle":"","family":"Sato","given":"Motoaki","non-dropping-particle":"","parse-names":false,"suffix":""},{"dropping-particle":"","family":"Torres-Bacete","given":"Jesus","non-dropping-particle":"","parse-names":false,"suffix":""},{"dropping-particle":"","family":"Sinha","given":"Subhash","non-dropping-particle":"","parse-names":false,"suffix":""},{"dropping-particle":"","family":"Miyoshi","given":"Hideto","non-dropping-particle":"","parse-names":false,"suffix":""},{"dropping-particle":"","family":"Matsuno-Yagi","given":"Akemi","non-dropping-particle":"","parse-names":false,"suffix":""},{"dropping-particle":"","family":"Yagi","given":"Takao","non-dropping-particle":"","parse-names":false,"suffix":""}],"container-title":"Biochemistry","id":"ITEM-1","issue":"3","issued":{"date-parts":[["2015","1"]]},"language":"eng","page":"753-764","title":"Conserved amino acid residues of the NuoD segment important for structure and  function of Escherichia coli NDH-1 (complex I).","type":"article-journal","volume":"54"},"uris":["http://www.mendeley.com/documents/?uuid=d24ae4eb-2d30-4ae6-9af2-979c836e1612"]}],"mendeley":{"formattedCitation":"(Sinha &lt;i&gt;et al&lt;/i&gt;, 2015)","plainTextFormattedCitation":"(Sinha et al, 2015)","previouslyFormattedCitation":"(Sinha &lt;i&gt;et al&lt;/i&gt;, 2015)"},"properties":{"noteIndex":0},"schema":"https://github.com/citation-style-language/schema/raw/master/csl-citation.json"}</w:instrText>
            </w:r>
            <w:r w:rsidRPr="00E97FC1">
              <w:rPr>
                <w:rFonts w:ascii="Helvetica" w:hAnsi="Helvetica" w:cs="Helvetica"/>
                <w:noProof/>
                <w:sz w:val="16"/>
                <w:szCs w:val="16"/>
                <w:lang w:val="en-GB"/>
              </w:rPr>
              <w:fldChar w:fldCharType="separate"/>
            </w:r>
            <w:r w:rsidRPr="00E97FC1">
              <w:rPr>
                <w:rFonts w:ascii="Helvetica" w:hAnsi="Helvetica" w:cs="Helvetica"/>
                <w:noProof/>
                <w:sz w:val="16"/>
                <w:szCs w:val="16"/>
                <w:lang w:val="en-GB"/>
              </w:rPr>
              <w:t xml:space="preserve">(Sinha </w:t>
            </w:r>
            <w:r w:rsidRPr="00E97FC1">
              <w:rPr>
                <w:rFonts w:ascii="Helvetica" w:hAnsi="Helvetica" w:cs="Helvetica"/>
                <w:i/>
                <w:noProof/>
                <w:sz w:val="16"/>
                <w:szCs w:val="16"/>
                <w:lang w:val="en-GB"/>
              </w:rPr>
              <w:t>et al</w:t>
            </w:r>
            <w:r w:rsidRPr="00E97FC1">
              <w:rPr>
                <w:rFonts w:ascii="Helvetica" w:hAnsi="Helvetica" w:cs="Helvetica"/>
                <w:noProof/>
                <w:sz w:val="16"/>
                <w:szCs w:val="16"/>
                <w:lang w:val="en-GB"/>
              </w:rPr>
              <w:t>, 2015)</w:t>
            </w:r>
            <w:r w:rsidRPr="00E97FC1">
              <w:rPr>
                <w:rFonts w:ascii="Helvetica" w:hAnsi="Helvetica" w:cs="Helvetica"/>
                <w:noProof/>
                <w:sz w:val="16"/>
                <w:szCs w:val="16"/>
                <w:lang w:val="en-GB"/>
              </w:rPr>
              <w:fldChar w:fldCharType="end"/>
            </w:r>
          </w:p>
        </w:tc>
      </w:tr>
      <w:tr w:rsidR="002471A8" w:rsidRPr="00E97FC1" w14:paraId="477DAA5F" w14:textId="77777777" w:rsidTr="002471A8">
        <w:trPr>
          <w:trHeight w:val="65"/>
        </w:trPr>
        <w:tc>
          <w:tcPr>
            <w:tcW w:w="528" w:type="pct"/>
          </w:tcPr>
          <w:p w14:paraId="391699C4"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R315A</w:t>
            </w:r>
          </w:p>
        </w:tc>
        <w:tc>
          <w:tcPr>
            <w:tcW w:w="1301" w:type="pct"/>
            <w:vMerge w:val="restart"/>
          </w:tcPr>
          <w:p w14:paraId="3315B83D"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Intersubunit interface</w:t>
            </w:r>
          </w:p>
        </w:tc>
        <w:tc>
          <w:tcPr>
            <w:tcW w:w="715" w:type="pct"/>
          </w:tcPr>
          <w:p w14:paraId="6349D34D"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low</w:t>
            </w:r>
          </w:p>
        </w:tc>
        <w:tc>
          <w:tcPr>
            <w:tcW w:w="581" w:type="pct"/>
          </w:tcPr>
          <w:p w14:paraId="223C1454" w14:textId="77777777" w:rsidR="002471A8" w:rsidRPr="00E97FC1" w:rsidRDefault="002471A8" w:rsidP="002471A8">
            <w:pPr>
              <w:rPr>
                <w:rFonts w:ascii="Helvetica" w:hAnsi="Helvetica" w:cs="Helvetica"/>
                <w:bCs/>
                <w:sz w:val="20"/>
                <w:lang w:val="en-GB"/>
              </w:rPr>
            </w:pPr>
            <w:r w:rsidRPr="00E97FC1">
              <w:rPr>
                <w:rFonts w:ascii="Helvetica" w:hAnsi="Helvetica" w:cs="Helvetica"/>
                <w:sz w:val="20"/>
                <w:lang w:val="en-GB"/>
              </w:rPr>
              <w:t>30%</w:t>
            </w:r>
          </w:p>
        </w:tc>
        <w:tc>
          <w:tcPr>
            <w:tcW w:w="628" w:type="pct"/>
          </w:tcPr>
          <w:p w14:paraId="75E4AECF"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2-3%</w:t>
            </w:r>
          </w:p>
        </w:tc>
        <w:tc>
          <w:tcPr>
            <w:tcW w:w="579" w:type="pct"/>
          </w:tcPr>
          <w:p w14:paraId="6113224D"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NA</w:t>
            </w:r>
          </w:p>
        </w:tc>
        <w:tc>
          <w:tcPr>
            <w:tcW w:w="668" w:type="pct"/>
          </w:tcPr>
          <w:p w14:paraId="3617BB6A" w14:textId="69D5B247" w:rsidR="002471A8" w:rsidRPr="00E97FC1" w:rsidRDefault="002471A8" w:rsidP="002471A8">
            <w:pPr>
              <w:rPr>
                <w:rFonts w:ascii="Helvetica" w:hAnsi="Helvetica" w:cs="Helvetica"/>
                <w:noProof/>
                <w:sz w:val="16"/>
                <w:szCs w:val="16"/>
                <w:lang w:val="en-GB"/>
              </w:rPr>
            </w:pPr>
            <w:r w:rsidRPr="00E97FC1">
              <w:rPr>
                <w:rFonts w:ascii="Helvetica" w:hAnsi="Helvetica" w:cs="Helvetica"/>
                <w:noProof/>
                <w:sz w:val="16"/>
                <w:szCs w:val="16"/>
                <w:lang w:val="en-GB"/>
              </w:rPr>
              <w:fldChar w:fldCharType="begin" w:fldLock="1"/>
            </w:r>
            <w:r w:rsidR="00DC25DF" w:rsidRPr="00E97FC1">
              <w:rPr>
                <w:rFonts w:ascii="Helvetica" w:hAnsi="Helvetica" w:cs="Helvetica"/>
                <w:noProof/>
                <w:sz w:val="16"/>
                <w:szCs w:val="16"/>
                <w:lang w:val="en-GB"/>
              </w:rPr>
              <w:instrText>ADDIN CSL_CITATION {"citationItems":[{"id":"ITEM-1","itemData":{"DOI":"10.1021/bi501403t","ISSN":"1520-4995 (Electronic)","PMID":"25545070","abstract":"The NuoD segment (homologue of mitochondrial 49 kDa subunit) of the  proton-translocating NADH:quinone oxidoreductase (complex I/NDH-1) from Escherichia coli is in the hydrophilic domain and bears many highly conserved amino acid residues. The three-dimensional structural model of NDH-1 suggests that the NuoD segment, together with the neighboring subunits, constitutes a putative quinone binding cavity. We used the homologous DNA recombination technique to clarify the role of selected key amino acid residues of the NuoD segment. Among them, residues Tyr273 and His224 were considered candidates for having important interactions with the quinone headgroup. Mutant Y273F retained partial activity but lost sensitivity to capsaicin-40. Mutant H224R scarcely affected the activity, suggesting that this residue may not be essential. His224 is located in a loop near the N-terminus of the NuoD segment (Gly217-Phe227) which is considered to form part of the quinone binding cavity. In contrast to the His224 mutation, mutants G217V, P218A, and G225V almost completely lost the activity. One region of this loop is positioned close to a cytosolic loop of the NuoA subunit in the membrane domain, and together they seem to be important in keeping the quinone binding cavity intact. The structural role of the longest helix in the NuoD segment located behind the quinone binding cavity was also investigated. Possible roles of other highly conserved residues of the NuoD segment are discussed.","author":[{"dropping-particle":"","family":"Sinha","given":"Prem Kumar","non-dropping-particle":"","parse-names":false,"suffix":""},{"dropping-particle":"","family":"Castro-Guerrero","given":"Norma","non-dropping-particle":"","parse-names":false,"suffix":""},{"dropping-particle":"","family":"Patki","given":"Gaurav","non-dropping-particle":"","parse-names":false,"suffix":""},{"dropping-particle":"","family":"Sato","given":"Motoaki","non-dropping-particle":"","parse-names":false,"suffix":""},{"dropping-particle":"","family":"Torres-Bacete","given":"Jesus","non-dropping-particle":"","parse-names":false,"suffix":""},{"dropping-particle":"","family":"Sinha","given":"Subhash","non-dropping-particle":"","parse-names":false,"suffix":""},{"dropping-particle":"","family":"Miyoshi","given":"Hideto","non-dropping-particle":"","parse-names":false,"suffix":""},{"dropping-particle":"","family":"Matsuno-Yagi","given":"Akemi","non-dropping-particle":"","parse-names":false,"suffix":""},{"dropping-particle":"","family":"Yagi","given":"Takao","non-dropping-particle":"","parse-names":false,"suffix":""}],"container-title":"Biochemistry","id":"ITEM-1","issue":"3","issued":{"date-parts":[["2015","1"]]},"language":"eng","page":"753-764","title":"Conserved amino acid residues of the NuoD segment important for structure and  function of Escherichia coli NDH-1 (complex I).","type":"article-journal","volume":"54"},"uris":["http://www.mendeley.com/documents/?uuid=d24ae4eb-2d30-4ae6-9af2-979c836e1612"]}],"mendeley":{"formattedCitation":"(Sinha &lt;i&gt;et al&lt;/i&gt;, 2015)","plainTextFormattedCitation":"(Sinha et al, 2015)","previouslyFormattedCitation":"(Sinha &lt;i&gt;et al&lt;/i&gt;, 2015)"},"properties":{"noteIndex":0},"schema":"https://github.com/citation-style-language/schema/raw/master/csl-citation.json"}</w:instrText>
            </w:r>
            <w:r w:rsidRPr="00E97FC1">
              <w:rPr>
                <w:rFonts w:ascii="Helvetica" w:hAnsi="Helvetica" w:cs="Helvetica"/>
                <w:noProof/>
                <w:sz w:val="16"/>
                <w:szCs w:val="16"/>
                <w:lang w:val="en-GB"/>
              </w:rPr>
              <w:fldChar w:fldCharType="separate"/>
            </w:r>
            <w:r w:rsidRPr="00E97FC1">
              <w:rPr>
                <w:rFonts w:ascii="Helvetica" w:hAnsi="Helvetica" w:cs="Helvetica"/>
                <w:noProof/>
                <w:sz w:val="16"/>
                <w:szCs w:val="16"/>
                <w:lang w:val="en-GB"/>
              </w:rPr>
              <w:t xml:space="preserve">(Sinha </w:t>
            </w:r>
            <w:r w:rsidRPr="00E97FC1">
              <w:rPr>
                <w:rFonts w:ascii="Helvetica" w:hAnsi="Helvetica" w:cs="Helvetica"/>
                <w:i/>
                <w:noProof/>
                <w:sz w:val="16"/>
                <w:szCs w:val="16"/>
                <w:lang w:val="en-GB"/>
              </w:rPr>
              <w:t>et al</w:t>
            </w:r>
            <w:r w:rsidRPr="00E97FC1">
              <w:rPr>
                <w:rFonts w:ascii="Helvetica" w:hAnsi="Helvetica" w:cs="Helvetica"/>
                <w:noProof/>
                <w:sz w:val="16"/>
                <w:szCs w:val="16"/>
                <w:lang w:val="en-GB"/>
              </w:rPr>
              <w:t>, 2015)</w:t>
            </w:r>
            <w:r w:rsidRPr="00E97FC1">
              <w:rPr>
                <w:rFonts w:ascii="Helvetica" w:hAnsi="Helvetica" w:cs="Helvetica"/>
                <w:noProof/>
                <w:sz w:val="16"/>
                <w:szCs w:val="16"/>
                <w:lang w:val="en-GB"/>
              </w:rPr>
              <w:fldChar w:fldCharType="end"/>
            </w:r>
          </w:p>
        </w:tc>
      </w:tr>
      <w:tr w:rsidR="002471A8" w:rsidRPr="00E97FC1" w14:paraId="08DFF41B" w14:textId="77777777" w:rsidTr="002471A8">
        <w:trPr>
          <w:trHeight w:val="65"/>
        </w:trPr>
        <w:tc>
          <w:tcPr>
            <w:tcW w:w="528" w:type="pct"/>
          </w:tcPr>
          <w:p w14:paraId="3AFDE8B0"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R315K</w:t>
            </w:r>
          </w:p>
        </w:tc>
        <w:tc>
          <w:tcPr>
            <w:tcW w:w="1301" w:type="pct"/>
            <w:vMerge/>
          </w:tcPr>
          <w:p w14:paraId="39D46A2D" w14:textId="77777777" w:rsidR="002471A8" w:rsidRPr="00E97FC1" w:rsidRDefault="002471A8" w:rsidP="002471A8">
            <w:pPr>
              <w:rPr>
                <w:rFonts w:ascii="Helvetica" w:hAnsi="Helvetica" w:cs="Helvetica"/>
                <w:bCs/>
                <w:sz w:val="20"/>
                <w:lang w:val="en-GB"/>
              </w:rPr>
            </w:pPr>
          </w:p>
        </w:tc>
        <w:tc>
          <w:tcPr>
            <w:tcW w:w="715" w:type="pct"/>
          </w:tcPr>
          <w:p w14:paraId="24FA09B4"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reduced</w:t>
            </w:r>
          </w:p>
        </w:tc>
        <w:tc>
          <w:tcPr>
            <w:tcW w:w="581" w:type="pct"/>
          </w:tcPr>
          <w:p w14:paraId="27531190" w14:textId="77777777" w:rsidR="002471A8" w:rsidRPr="00E97FC1" w:rsidRDefault="002471A8" w:rsidP="002471A8">
            <w:pPr>
              <w:rPr>
                <w:rFonts w:ascii="Helvetica" w:hAnsi="Helvetica" w:cs="Helvetica"/>
                <w:bCs/>
                <w:sz w:val="20"/>
                <w:lang w:val="en-GB"/>
              </w:rPr>
            </w:pPr>
            <w:r w:rsidRPr="00E97FC1">
              <w:rPr>
                <w:rFonts w:ascii="Helvetica" w:hAnsi="Helvetica" w:cs="Helvetica"/>
                <w:sz w:val="20"/>
                <w:lang w:val="en-GB"/>
              </w:rPr>
              <w:t>49%</w:t>
            </w:r>
          </w:p>
        </w:tc>
        <w:tc>
          <w:tcPr>
            <w:tcW w:w="628" w:type="pct"/>
          </w:tcPr>
          <w:p w14:paraId="38D58C9E"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41-49%</w:t>
            </w:r>
          </w:p>
        </w:tc>
        <w:tc>
          <w:tcPr>
            <w:tcW w:w="579" w:type="pct"/>
          </w:tcPr>
          <w:p w14:paraId="738051ED"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NA</w:t>
            </w:r>
          </w:p>
        </w:tc>
        <w:tc>
          <w:tcPr>
            <w:tcW w:w="668" w:type="pct"/>
          </w:tcPr>
          <w:p w14:paraId="1CD3EAB5" w14:textId="22BA677C" w:rsidR="002471A8" w:rsidRPr="00E97FC1" w:rsidRDefault="002471A8" w:rsidP="002471A8">
            <w:pPr>
              <w:rPr>
                <w:rFonts w:ascii="Helvetica" w:hAnsi="Helvetica" w:cs="Helvetica"/>
                <w:noProof/>
                <w:sz w:val="16"/>
                <w:szCs w:val="16"/>
                <w:lang w:val="en-GB"/>
              </w:rPr>
            </w:pPr>
            <w:r w:rsidRPr="00E97FC1">
              <w:rPr>
                <w:rFonts w:ascii="Helvetica" w:hAnsi="Helvetica" w:cs="Helvetica"/>
                <w:noProof/>
                <w:sz w:val="16"/>
                <w:szCs w:val="16"/>
                <w:lang w:val="en-GB"/>
              </w:rPr>
              <w:fldChar w:fldCharType="begin" w:fldLock="1"/>
            </w:r>
            <w:r w:rsidR="00DC25DF" w:rsidRPr="00E97FC1">
              <w:rPr>
                <w:rFonts w:ascii="Helvetica" w:hAnsi="Helvetica" w:cs="Helvetica"/>
                <w:noProof/>
                <w:sz w:val="16"/>
                <w:szCs w:val="16"/>
                <w:lang w:val="en-GB"/>
              </w:rPr>
              <w:instrText>ADDIN CSL_CITATION {"citationItems":[{"id":"ITEM-1","itemData":{"DOI":"10.1021/bi501403t","ISSN":"1520-4995 (Electronic)","PMID":"25545070","abstract":"The NuoD segment (homologue of mitochondrial 49 kDa subunit) of the  proton-translocating NADH:quinone oxidoreductase (complex I/NDH-1) from Escherichia coli is in the hydrophilic domain and bears many highly conserved amino acid residues. The three-dimensional structural model of NDH-1 suggests that the NuoD segment, together with the neighboring subunits, constitutes a putative quinone binding cavity. We used the homologous DNA recombination technique to clarify the role of selected key amino acid residues of the NuoD segment. Among them, residues Tyr273 and His224 were considered candidates for having important interactions with the quinone headgroup. Mutant Y273F retained partial activity but lost sensitivity to capsaicin-40. Mutant H224R scarcely affected the activity, suggesting that this residue may not be essential. His224 is located in a loop near the N-terminus of the NuoD segment (Gly217-Phe227) which is considered to form part of the quinone binding cavity. In contrast to the His224 mutation, mutants G217V, P218A, and G225V almost completely lost the activity. One region of this loop is positioned close to a cytosolic loop of the NuoA subunit in the membrane domain, and together they seem to be important in keeping the quinone binding cavity intact. The structural role of the longest helix in the NuoD segment located behind the quinone binding cavity was also investigated. Possible roles of other highly conserved residues of the NuoD segment are discussed.","author":[{"dropping-particle":"","family":"Sinha","given":"Prem Kumar","non-dropping-particle":"","parse-names":false,"suffix":""},{"dropping-particle":"","family":"Castro-Guerrero","given":"Norma","non-dropping-particle":"","parse-names":false,"suffix":""},{"dropping-particle":"","family":"Patki","given":"Gaurav","non-dropping-particle":"","parse-names":false,"suffix":""},{"dropping-particle":"","family":"Sato","given":"Motoaki","non-dropping-particle":"","parse-names":false,"suffix":""},{"dropping-particle":"","family":"Torres-Bacete","given":"Jesus","non-dropping-particle":"","parse-names":false,"suffix":""},{"dropping-particle":"","family":"Sinha","given":"Subhash","non-dropping-particle":"","parse-names":false,"suffix":""},{"dropping-particle":"","family":"Miyoshi","given":"Hideto","non-dropping-particle":"","parse-names":false,"suffix":""},{"dropping-particle":"","family":"Matsuno-Yagi","given":"Akemi","non-dropping-particle":"","parse-names":false,"suffix":""},{"dropping-particle":"","family":"Yagi","given":"Takao","non-dropping-particle":"","parse-names":false,"suffix":""}],"container-title":"Biochemistry","id":"ITEM-1","issue":"3","issued":{"date-parts":[["2015","1"]]},"language":"eng","page":"753-764","title":"Conserved amino acid residues of the NuoD segment important for structure and  function of Escherichia coli NDH-1 (complex I).","type":"article-journal","volume":"54"},"uris":["http://www.mendeley.com/documents/?uuid=d24ae4eb-2d30-4ae6-9af2-979c836e1612"]}],"mendeley":{"formattedCitation":"(Sinha &lt;i&gt;et al&lt;/i&gt;, 2015)","plainTextFormattedCitation":"(Sinha et al, 2015)","previouslyFormattedCitation":"(Sinha &lt;i&gt;et al&lt;/i&gt;, 2015)"},"properties":{"noteIndex":0},"schema":"https://github.com/citation-style-language/schema/raw/master/csl-citation.json"}</w:instrText>
            </w:r>
            <w:r w:rsidRPr="00E97FC1">
              <w:rPr>
                <w:rFonts w:ascii="Helvetica" w:hAnsi="Helvetica" w:cs="Helvetica"/>
                <w:noProof/>
                <w:sz w:val="16"/>
                <w:szCs w:val="16"/>
                <w:lang w:val="en-GB"/>
              </w:rPr>
              <w:fldChar w:fldCharType="separate"/>
            </w:r>
            <w:r w:rsidRPr="00E97FC1">
              <w:rPr>
                <w:rFonts w:ascii="Helvetica" w:hAnsi="Helvetica" w:cs="Helvetica"/>
                <w:noProof/>
                <w:sz w:val="16"/>
                <w:szCs w:val="16"/>
                <w:lang w:val="en-GB"/>
              </w:rPr>
              <w:t xml:space="preserve">(Sinha </w:t>
            </w:r>
            <w:r w:rsidRPr="00E97FC1">
              <w:rPr>
                <w:rFonts w:ascii="Helvetica" w:hAnsi="Helvetica" w:cs="Helvetica"/>
                <w:i/>
                <w:noProof/>
                <w:sz w:val="16"/>
                <w:szCs w:val="16"/>
                <w:lang w:val="en-GB"/>
              </w:rPr>
              <w:t>et al</w:t>
            </w:r>
            <w:r w:rsidRPr="00E97FC1">
              <w:rPr>
                <w:rFonts w:ascii="Helvetica" w:hAnsi="Helvetica" w:cs="Helvetica"/>
                <w:noProof/>
                <w:sz w:val="16"/>
                <w:szCs w:val="16"/>
                <w:lang w:val="en-GB"/>
              </w:rPr>
              <w:t>, 2015)</w:t>
            </w:r>
            <w:r w:rsidRPr="00E97FC1">
              <w:rPr>
                <w:rFonts w:ascii="Helvetica" w:hAnsi="Helvetica" w:cs="Helvetica"/>
                <w:noProof/>
                <w:sz w:val="16"/>
                <w:szCs w:val="16"/>
                <w:lang w:val="en-GB"/>
              </w:rPr>
              <w:fldChar w:fldCharType="end"/>
            </w:r>
          </w:p>
        </w:tc>
      </w:tr>
      <w:tr w:rsidR="002471A8" w:rsidRPr="00E97FC1" w14:paraId="5ABE7B3C" w14:textId="77777777" w:rsidTr="002471A8">
        <w:trPr>
          <w:trHeight w:val="65"/>
        </w:trPr>
        <w:tc>
          <w:tcPr>
            <w:tcW w:w="528" w:type="pct"/>
          </w:tcPr>
          <w:p w14:paraId="12A454D4"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H319A</w:t>
            </w:r>
          </w:p>
        </w:tc>
        <w:tc>
          <w:tcPr>
            <w:tcW w:w="1301" w:type="pct"/>
            <w:vMerge w:val="restart"/>
          </w:tcPr>
          <w:p w14:paraId="4556F227"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Intersubunit interface</w:t>
            </w:r>
          </w:p>
        </w:tc>
        <w:tc>
          <w:tcPr>
            <w:tcW w:w="715" w:type="pct"/>
          </w:tcPr>
          <w:p w14:paraId="3394914B"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normal</w:t>
            </w:r>
          </w:p>
        </w:tc>
        <w:tc>
          <w:tcPr>
            <w:tcW w:w="581" w:type="pct"/>
          </w:tcPr>
          <w:p w14:paraId="6596BCE4" w14:textId="77777777" w:rsidR="002471A8" w:rsidRPr="00E97FC1" w:rsidRDefault="002471A8" w:rsidP="002471A8">
            <w:pPr>
              <w:rPr>
                <w:rFonts w:ascii="Helvetica" w:hAnsi="Helvetica" w:cs="Helvetica"/>
                <w:bCs/>
                <w:sz w:val="20"/>
                <w:lang w:val="en-GB"/>
              </w:rPr>
            </w:pPr>
            <w:r w:rsidRPr="00E97FC1">
              <w:rPr>
                <w:rFonts w:ascii="Helvetica" w:hAnsi="Helvetica" w:cs="Helvetica"/>
                <w:sz w:val="20"/>
                <w:lang w:val="en-GB"/>
              </w:rPr>
              <w:t>82%</w:t>
            </w:r>
          </w:p>
        </w:tc>
        <w:tc>
          <w:tcPr>
            <w:tcW w:w="628" w:type="pct"/>
          </w:tcPr>
          <w:p w14:paraId="62D95E14"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84-106%</w:t>
            </w:r>
          </w:p>
        </w:tc>
        <w:tc>
          <w:tcPr>
            <w:tcW w:w="579" w:type="pct"/>
          </w:tcPr>
          <w:p w14:paraId="47FB0AA5"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NA</w:t>
            </w:r>
          </w:p>
        </w:tc>
        <w:tc>
          <w:tcPr>
            <w:tcW w:w="668" w:type="pct"/>
          </w:tcPr>
          <w:p w14:paraId="04D42C91" w14:textId="08934138" w:rsidR="002471A8" w:rsidRPr="00E97FC1" w:rsidRDefault="002471A8" w:rsidP="002471A8">
            <w:pPr>
              <w:rPr>
                <w:rFonts w:ascii="Helvetica" w:hAnsi="Helvetica" w:cs="Helvetica"/>
                <w:noProof/>
                <w:sz w:val="16"/>
                <w:szCs w:val="16"/>
                <w:lang w:val="en-GB"/>
              </w:rPr>
            </w:pPr>
            <w:r w:rsidRPr="00E97FC1">
              <w:rPr>
                <w:rFonts w:ascii="Helvetica" w:hAnsi="Helvetica" w:cs="Helvetica"/>
                <w:noProof/>
                <w:sz w:val="16"/>
                <w:szCs w:val="16"/>
                <w:lang w:val="en-GB"/>
              </w:rPr>
              <w:fldChar w:fldCharType="begin" w:fldLock="1"/>
            </w:r>
            <w:r w:rsidR="00DC25DF" w:rsidRPr="00E97FC1">
              <w:rPr>
                <w:rFonts w:ascii="Helvetica" w:hAnsi="Helvetica" w:cs="Helvetica"/>
                <w:noProof/>
                <w:sz w:val="16"/>
                <w:szCs w:val="16"/>
                <w:lang w:val="en-GB"/>
              </w:rPr>
              <w:instrText>ADDIN CSL_CITATION {"citationItems":[{"id":"ITEM-1","itemData":{"DOI":"10.1021/bi501403t","ISSN":"1520-4995 (Electronic)","PMID":"25545070","abstract":"The NuoD segment (homologue of mitochondrial 49 kDa subunit) of the  proton-translocating NADH:quinone oxidoreductase (complex I/NDH-1) from Escherichia coli is in the hydrophilic domain and bears many highly conserved amino acid residues. The three-dimensional structural model of NDH-1 suggests that the NuoD segment, together with the neighboring subunits, constitutes a putative quinone binding cavity. We used the homologous DNA recombination technique to clarify the role of selected key amino acid residues of the NuoD segment. Among them, residues Tyr273 and His224 were considered candidates for having important interactions with the quinone headgroup. Mutant Y273F retained partial activity but lost sensitivity to capsaicin-40. Mutant H224R scarcely affected the activity, suggesting that this residue may not be essential. His224 is located in a loop near the N-terminus of the NuoD segment (Gly217-Phe227) which is considered to form part of the quinone binding cavity. In contrast to the His224 mutation, mutants G217V, P218A, and G225V almost completely lost the activity. One region of this loop is positioned close to a cytosolic loop of the NuoA subunit in the membrane domain, and together they seem to be important in keeping the quinone binding cavity intact. The structural role of the longest helix in the NuoD segment located behind the quinone binding cavity was also investigated. Possible roles of other highly conserved residues of the NuoD segment are discussed.","author":[{"dropping-particle":"","family":"Sinha","given":"Prem Kumar","non-dropping-particle":"","parse-names":false,"suffix":""},{"dropping-particle":"","family":"Castro-Guerrero","given":"Norma","non-dropping-particle":"","parse-names":false,"suffix":""},{"dropping-particle":"","family":"Patki","given":"Gaurav","non-dropping-particle":"","parse-names":false,"suffix":""},{"dropping-particle":"","family":"Sato","given":"Motoaki","non-dropping-particle":"","parse-names":false,"suffix":""},{"dropping-particle":"","family":"Torres-Bacete","given":"Jesus","non-dropping-particle":"","parse-names":false,"suffix":""},{"dropping-particle":"","family":"Sinha","given":"Subhash","non-dropping-particle":"","parse-names":false,"suffix":""},{"dropping-particle":"","family":"Miyoshi","given":"Hideto","non-dropping-particle":"","parse-names":false,"suffix":""},{"dropping-particle":"","family":"Matsuno-Yagi","given":"Akemi","non-dropping-particle":"","parse-names":false,"suffix":""},{"dropping-particle":"","family":"Yagi","given":"Takao","non-dropping-particle":"","parse-names":false,"suffix":""}],"container-title":"Biochemistry","id":"ITEM-1","issue":"3","issued":{"date-parts":[["2015","1"]]},"language":"eng","page":"753-764","title":"Conserved amino acid residues of the NuoD segment important for structure and  function of Escherichia coli NDH-1 (complex I).","type":"article-journal","volume":"54"},"uris":["http://www.mendeley.com/documents/?uuid=d24ae4eb-2d30-4ae6-9af2-979c836e1612"]}],"mendeley":{"formattedCitation":"(Sinha &lt;i&gt;et al&lt;/i&gt;, 2015)","plainTextFormattedCitation":"(Sinha et al, 2015)","previouslyFormattedCitation":"(Sinha &lt;i&gt;et al&lt;/i&gt;, 2015)"},"properties":{"noteIndex":0},"schema":"https://github.com/citation-style-language/schema/raw/master/csl-citation.json"}</w:instrText>
            </w:r>
            <w:r w:rsidRPr="00E97FC1">
              <w:rPr>
                <w:rFonts w:ascii="Helvetica" w:hAnsi="Helvetica" w:cs="Helvetica"/>
                <w:noProof/>
                <w:sz w:val="16"/>
                <w:szCs w:val="16"/>
                <w:lang w:val="en-GB"/>
              </w:rPr>
              <w:fldChar w:fldCharType="separate"/>
            </w:r>
            <w:r w:rsidRPr="00E97FC1">
              <w:rPr>
                <w:rFonts w:ascii="Helvetica" w:hAnsi="Helvetica" w:cs="Helvetica"/>
                <w:noProof/>
                <w:sz w:val="16"/>
                <w:szCs w:val="16"/>
                <w:lang w:val="en-GB"/>
              </w:rPr>
              <w:t xml:space="preserve">(Sinha </w:t>
            </w:r>
            <w:r w:rsidRPr="00E97FC1">
              <w:rPr>
                <w:rFonts w:ascii="Helvetica" w:hAnsi="Helvetica" w:cs="Helvetica"/>
                <w:i/>
                <w:noProof/>
                <w:sz w:val="16"/>
                <w:szCs w:val="16"/>
                <w:lang w:val="en-GB"/>
              </w:rPr>
              <w:t>et al</w:t>
            </w:r>
            <w:r w:rsidRPr="00E97FC1">
              <w:rPr>
                <w:rFonts w:ascii="Helvetica" w:hAnsi="Helvetica" w:cs="Helvetica"/>
                <w:noProof/>
                <w:sz w:val="16"/>
                <w:szCs w:val="16"/>
                <w:lang w:val="en-GB"/>
              </w:rPr>
              <w:t>, 2015)</w:t>
            </w:r>
            <w:r w:rsidRPr="00E97FC1">
              <w:rPr>
                <w:rFonts w:ascii="Helvetica" w:hAnsi="Helvetica" w:cs="Helvetica"/>
                <w:noProof/>
                <w:sz w:val="16"/>
                <w:szCs w:val="16"/>
                <w:lang w:val="en-GB"/>
              </w:rPr>
              <w:fldChar w:fldCharType="end"/>
            </w:r>
          </w:p>
        </w:tc>
      </w:tr>
      <w:tr w:rsidR="002471A8" w:rsidRPr="00E97FC1" w14:paraId="7CA818DA" w14:textId="77777777" w:rsidTr="002471A8">
        <w:trPr>
          <w:trHeight w:val="65"/>
        </w:trPr>
        <w:tc>
          <w:tcPr>
            <w:tcW w:w="528" w:type="pct"/>
          </w:tcPr>
          <w:p w14:paraId="588A8E5A"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H319R</w:t>
            </w:r>
          </w:p>
        </w:tc>
        <w:tc>
          <w:tcPr>
            <w:tcW w:w="1301" w:type="pct"/>
            <w:vMerge/>
          </w:tcPr>
          <w:p w14:paraId="5683FF91" w14:textId="77777777" w:rsidR="002471A8" w:rsidRPr="00E97FC1" w:rsidRDefault="002471A8" w:rsidP="002471A8">
            <w:pPr>
              <w:rPr>
                <w:rFonts w:ascii="Helvetica" w:hAnsi="Helvetica" w:cs="Helvetica"/>
                <w:bCs/>
                <w:sz w:val="20"/>
                <w:lang w:val="en-GB"/>
              </w:rPr>
            </w:pPr>
          </w:p>
        </w:tc>
        <w:tc>
          <w:tcPr>
            <w:tcW w:w="715" w:type="pct"/>
          </w:tcPr>
          <w:p w14:paraId="20F03498"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normal</w:t>
            </w:r>
          </w:p>
        </w:tc>
        <w:tc>
          <w:tcPr>
            <w:tcW w:w="581" w:type="pct"/>
          </w:tcPr>
          <w:p w14:paraId="3A1E79AB" w14:textId="77777777" w:rsidR="002471A8" w:rsidRPr="00E97FC1" w:rsidRDefault="002471A8" w:rsidP="002471A8">
            <w:pPr>
              <w:rPr>
                <w:rFonts w:ascii="Helvetica" w:hAnsi="Helvetica" w:cs="Helvetica"/>
                <w:bCs/>
                <w:sz w:val="20"/>
                <w:lang w:val="en-GB"/>
              </w:rPr>
            </w:pPr>
            <w:r w:rsidRPr="00E97FC1">
              <w:rPr>
                <w:rFonts w:ascii="Helvetica" w:hAnsi="Helvetica" w:cs="Helvetica"/>
                <w:sz w:val="20"/>
                <w:lang w:val="en-GB"/>
              </w:rPr>
              <w:t>47%</w:t>
            </w:r>
          </w:p>
        </w:tc>
        <w:tc>
          <w:tcPr>
            <w:tcW w:w="628" w:type="pct"/>
          </w:tcPr>
          <w:p w14:paraId="3E2E75C7"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30-38%</w:t>
            </w:r>
          </w:p>
        </w:tc>
        <w:tc>
          <w:tcPr>
            <w:tcW w:w="579" w:type="pct"/>
          </w:tcPr>
          <w:p w14:paraId="17693946"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NA</w:t>
            </w:r>
          </w:p>
        </w:tc>
        <w:tc>
          <w:tcPr>
            <w:tcW w:w="668" w:type="pct"/>
          </w:tcPr>
          <w:p w14:paraId="3AC6EE13" w14:textId="092B7F1D" w:rsidR="002471A8" w:rsidRPr="00E97FC1" w:rsidRDefault="002471A8" w:rsidP="002471A8">
            <w:pPr>
              <w:rPr>
                <w:rFonts w:ascii="Helvetica" w:hAnsi="Helvetica" w:cs="Helvetica"/>
                <w:noProof/>
                <w:sz w:val="16"/>
                <w:szCs w:val="16"/>
                <w:lang w:val="en-GB"/>
              </w:rPr>
            </w:pPr>
            <w:r w:rsidRPr="00E97FC1">
              <w:rPr>
                <w:rFonts w:ascii="Helvetica" w:hAnsi="Helvetica" w:cs="Helvetica"/>
                <w:noProof/>
                <w:sz w:val="16"/>
                <w:szCs w:val="16"/>
                <w:lang w:val="en-GB"/>
              </w:rPr>
              <w:fldChar w:fldCharType="begin" w:fldLock="1"/>
            </w:r>
            <w:r w:rsidR="00DC25DF" w:rsidRPr="00E97FC1">
              <w:rPr>
                <w:rFonts w:ascii="Helvetica" w:hAnsi="Helvetica" w:cs="Helvetica"/>
                <w:noProof/>
                <w:sz w:val="16"/>
                <w:szCs w:val="16"/>
                <w:lang w:val="en-GB"/>
              </w:rPr>
              <w:instrText>ADDIN CSL_CITATION {"citationItems":[{"id":"ITEM-1","itemData":{"DOI":"10.1021/bi501403t","ISSN":"1520-4995 (Electronic)","PMID":"25545070","abstract":"The NuoD segment (homologue of mitochondrial 49 kDa subunit) of the  proton-translocating NADH:quinone oxidoreductase (complex I/NDH-1) from Escherichia coli is in the hydrophilic domain and bears many highly conserved amino acid residues. The three-dimensional structural model of NDH-1 suggests that the NuoD segment, together with the neighboring subunits, constitutes a putative quinone binding cavity. We used the homologous DNA recombination technique to clarify the role of selected key amino acid residues of the NuoD segment. Among them, residues Tyr273 and His224 were considered candidates for having important interactions with the quinone headgroup. Mutant Y273F retained partial activity but lost sensitivity to capsaicin-40. Mutant H224R scarcely affected the activity, suggesting that this residue may not be essential. His224 is located in a loop near the N-terminus of the NuoD segment (Gly217-Phe227) which is considered to form part of the quinone binding cavity. In contrast to the His224 mutation, mutants G217V, P218A, and G225V almost completely lost the activity. One region of this loop is positioned close to a cytosolic loop of the NuoA subunit in the membrane domain, and together they seem to be important in keeping the quinone binding cavity intact. The structural role of the longest helix in the NuoD segment located behind the quinone binding cavity was also investigated. Possible roles of other highly conserved residues of the NuoD segment are discussed.","author":[{"dropping-particle":"","family":"Sinha","given":"Prem Kumar","non-dropping-particle":"","parse-names":false,"suffix":""},{"dropping-particle":"","family":"Castro-Guerrero","given":"Norma","non-dropping-particle":"","parse-names":false,"suffix":""},{"dropping-particle":"","family":"Patki","given":"Gaurav","non-dropping-particle":"","parse-names":false,"suffix":""},{"dropping-particle":"","family":"Sato","given":"Motoaki","non-dropping-particle":"","parse-names":false,"suffix":""},{"dropping-particle":"","family":"Torres-Bacete","given":"Jesus","non-dropping-particle":"","parse-names":false,"suffix":""},{"dropping-particle":"","family":"Sinha","given":"Subhash","non-dropping-particle":"","parse-names":false,"suffix":""},{"dropping-particle":"","family":"Miyoshi","given":"Hideto","non-dropping-particle":"","parse-names":false,"suffix":""},{"dropping-particle":"","family":"Matsuno-Yagi","given":"Akemi","non-dropping-particle":"","parse-names":false,"suffix":""},{"dropping-particle":"","family":"Yagi","given":"Takao","non-dropping-particle":"","parse-names":false,"suffix":""}],"container-title":"Biochemistry","id":"ITEM-1","issue":"3","issued":{"date-parts":[["2015","1"]]},"language":"eng","page":"753-764","title":"Conserved amino acid residues of the NuoD segment important for structure and  function of Escherichia coli NDH-1 (complex I).","type":"article-journal","volume":"54"},"uris":["http://www.mendeley.com/documents/?uuid=d24ae4eb-2d30-4ae6-9af2-979c836e1612"]}],"mendeley":{"formattedCitation":"(Sinha &lt;i&gt;et al&lt;/i&gt;, 2015)","plainTextFormattedCitation":"(Sinha et al, 2015)","previouslyFormattedCitation":"(Sinha &lt;i&gt;et al&lt;/i&gt;, 2015)"},"properties":{"noteIndex":0},"schema":"https://github.com/citation-style-language/schema/raw/master/csl-citation.json"}</w:instrText>
            </w:r>
            <w:r w:rsidRPr="00E97FC1">
              <w:rPr>
                <w:rFonts w:ascii="Helvetica" w:hAnsi="Helvetica" w:cs="Helvetica"/>
                <w:noProof/>
                <w:sz w:val="16"/>
                <w:szCs w:val="16"/>
                <w:lang w:val="en-GB"/>
              </w:rPr>
              <w:fldChar w:fldCharType="separate"/>
            </w:r>
            <w:r w:rsidRPr="00E97FC1">
              <w:rPr>
                <w:rFonts w:ascii="Helvetica" w:hAnsi="Helvetica" w:cs="Helvetica"/>
                <w:noProof/>
                <w:sz w:val="16"/>
                <w:szCs w:val="16"/>
                <w:lang w:val="en-GB"/>
              </w:rPr>
              <w:t xml:space="preserve">(Sinha </w:t>
            </w:r>
            <w:r w:rsidRPr="00E97FC1">
              <w:rPr>
                <w:rFonts w:ascii="Helvetica" w:hAnsi="Helvetica" w:cs="Helvetica"/>
                <w:i/>
                <w:noProof/>
                <w:sz w:val="16"/>
                <w:szCs w:val="16"/>
                <w:lang w:val="en-GB"/>
              </w:rPr>
              <w:t>et al</w:t>
            </w:r>
            <w:r w:rsidRPr="00E97FC1">
              <w:rPr>
                <w:rFonts w:ascii="Helvetica" w:hAnsi="Helvetica" w:cs="Helvetica"/>
                <w:noProof/>
                <w:sz w:val="16"/>
                <w:szCs w:val="16"/>
                <w:lang w:val="en-GB"/>
              </w:rPr>
              <w:t>, 2015)</w:t>
            </w:r>
            <w:r w:rsidRPr="00E97FC1">
              <w:rPr>
                <w:rFonts w:ascii="Helvetica" w:hAnsi="Helvetica" w:cs="Helvetica"/>
                <w:noProof/>
                <w:sz w:val="16"/>
                <w:szCs w:val="16"/>
                <w:lang w:val="en-GB"/>
              </w:rPr>
              <w:fldChar w:fldCharType="end"/>
            </w:r>
          </w:p>
        </w:tc>
      </w:tr>
      <w:tr w:rsidR="002471A8" w:rsidRPr="00E97FC1" w14:paraId="2B75E716" w14:textId="77777777" w:rsidTr="002471A8">
        <w:trPr>
          <w:trHeight w:val="65"/>
        </w:trPr>
        <w:tc>
          <w:tcPr>
            <w:tcW w:w="528" w:type="pct"/>
          </w:tcPr>
          <w:p w14:paraId="57CE6E1C"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D329A</w:t>
            </w:r>
          </w:p>
        </w:tc>
        <w:tc>
          <w:tcPr>
            <w:tcW w:w="1301" w:type="pct"/>
            <w:vMerge w:val="restart"/>
          </w:tcPr>
          <w:p w14:paraId="25631F62"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 xml:space="preserve">Q-site, HB with </w:t>
            </w:r>
            <w:r w:rsidRPr="00E97FC1">
              <w:rPr>
                <w:rFonts w:ascii="Helvetica" w:hAnsi="Helvetica" w:cs="Helvetica"/>
                <w:bCs/>
                <w:sz w:val="20"/>
                <w:vertAlign w:val="subscript"/>
                <w:lang w:val="en-GB"/>
              </w:rPr>
              <w:t>C</w:t>
            </w:r>
            <w:r w:rsidRPr="00E97FC1">
              <w:rPr>
                <w:rFonts w:ascii="Helvetica" w:hAnsi="Helvetica" w:cs="Helvetica"/>
                <w:bCs/>
                <w:sz w:val="20"/>
                <w:lang w:val="en-GB"/>
              </w:rPr>
              <w:t>H228</w:t>
            </w:r>
          </w:p>
        </w:tc>
        <w:tc>
          <w:tcPr>
            <w:tcW w:w="715" w:type="pct"/>
          </w:tcPr>
          <w:p w14:paraId="66B7CC10"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normal</w:t>
            </w:r>
          </w:p>
        </w:tc>
        <w:tc>
          <w:tcPr>
            <w:tcW w:w="581" w:type="pct"/>
          </w:tcPr>
          <w:p w14:paraId="341C7D5F" w14:textId="77777777" w:rsidR="002471A8" w:rsidRPr="00E97FC1" w:rsidRDefault="002471A8" w:rsidP="002471A8">
            <w:pPr>
              <w:rPr>
                <w:rFonts w:ascii="Helvetica" w:hAnsi="Helvetica" w:cs="Helvetica"/>
                <w:bCs/>
                <w:sz w:val="20"/>
                <w:lang w:val="en-GB"/>
              </w:rPr>
            </w:pPr>
            <w:r w:rsidRPr="00E97FC1">
              <w:rPr>
                <w:rFonts w:ascii="Helvetica" w:hAnsi="Helvetica" w:cs="Helvetica"/>
                <w:sz w:val="20"/>
                <w:lang w:val="en-GB"/>
              </w:rPr>
              <w:t>92%</w:t>
            </w:r>
          </w:p>
        </w:tc>
        <w:tc>
          <w:tcPr>
            <w:tcW w:w="628" w:type="pct"/>
          </w:tcPr>
          <w:p w14:paraId="44026D25"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42-56%</w:t>
            </w:r>
          </w:p>
        </w:tc>
        <w:tc>
          <w:tcPr>
            <w:tcW w:w="579" w:type="pct"/>
          </w:tcPr>
          <w:p w14:paraId="2C21F0CB"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NA</w:t>
            </w:r>
          </w:p>
        </w:tc>
        <w:tc>
          <w:tcPr>
            <w:tcW w:w="668" w:type="pct"/>
          </w:tcPr>
          <w:p w14:paraId="2D1F791C" w14:textId="0BE8B69C" w:rsidR="002471A8" w:rsidRPr="00E97FC1" w:rsidRDefault="002471A8" w:rsidP="002471A8">
            <w:pPr>
              <w:rPr>
                <w:rFonts w:ascii="Helvetica" w:hAnsi="Helvetica" w:cs="Helvetica"/>
                <w:noProof/>
                <w:sz w:val="16"/>
                <w:szCs w:val="16"/>
                <w:lang w:val="en-GB"/>
              </w:rPr>
            </w:pPr>
            <w:r w:rsidRPr="00E97FC1">
              <w:rPr>
                <w:rFonts w:ascii="Helvetica" w:hAnsi="Helvetica" w:cs="Helvetica"/>
                <w:noProof/>
                <w:sz w:val="16"/>
                <w:szCs w:val="16"/>
                <w:lang w:val="en-GB"/>
              </w:rPr>
              <w:fldChar w:fldCharType="begin" w:fldLock="1"/>
            </w:r>
            <w:r w:rsidR="00DC25DF" w:rsidRPr="00E97FC1">
              <w:rPr>
                <w:rFonts w:ascii="Helvetica" w:hAnsi="Helvetica" w:cs="Helvetica"/>
                <w:noProof/>
                <w:sz w:val="16"/>
                <w:szCs w:val="16"/>
                <w:lang w:val="en-GB"/>
              </w:rPr>
              <w:instrText>ADDIN CSL_CITATION {"citationItems":[{"id":"ITEM-1","itemData":{"DOI":"10.1021/bi501403t","ISSN":"1520-4995 (Electronic)","PMID":"25545070","abstract":"The NuoD segment (homologue of mitochondrial 49 kDa subunit) of the  proton-translocating NADH:quinone oxidoreductase (complex I/NDH-1) from Escherichia coli is in the hydrophilic domain and bears many highly conserved amino acid residues. The three-dimensional structural model of NDH-1 suggests that the NuoD segment, together with the neighboring subunits, constitutes a putative quinone binding cavity. We used the homologous DNA recombination technique to clarify the role of selected key amino acid residues of the NuoD segment. Among them, residues Tyr273 and His224 were considered candidates for having important interactions with the quinone headgroup. Mutant Y273F retained partial activity but lost sensitivity to capsaicin-40. Mutant H224R scarcely affected the activity, suggesting that this residue may not be essential. His224 is located in a loop near the N-terminus of the NuoD segment (Gly217-Phe227) which is considered to form part of the quinone binding cavity. In contrast to the His224 mutation, mutants G217V, P218A, and G225V almost completely lost the activity. One region of this loop is positioned close to a cytosolic loop of the NuoA subunit in the membrane domain, and together they seem to be important in keeping the quinone binding cavity intact. The structural role of the longest helix in the NuoD segment located behind the quinone binding cavity was also investigated. Possible roles of other highly conserved residues of the NuoD segment are discussed.","author":[{"dropping-particle":"","family":"Sinha","given":"Prem Kumar","non-dropping-particle":"","parse-names":false,"suffix":""},{"dropping-particle":"","family":"Castro-Guerrero","given":"Norma","non-dropping-particle":"","parse-names":false,"suffix":""},{"dropping-particle":"","family":"Patki","given":"Gaurav","non-dropping-particle":"","parse-names":false,"suffix":""},{"dropping-particle":"","family":"Sato","given":"Motoaki","non-dropping-particle":"","parse-names":false,"suffix":""},{"dropping-particle":"","family":"Torres-Bacete","given":"Jesus","non-dropping-particle":"","parse-names":false,"suffix":""},{"dropping-particle":"","family":"Sinha","given":"Subhash","non-dropping-particle":"","parse-names":false,"suffix":""},{"dropping-particle":"","family":"Miyoshi","given":"Hideto","non-dropping-particle":"","parse-names":false,"suffix":""},{"dropping-particle":"","family":"Matsuno-Yagi","given":"Akemi","non-dropping-particle":"","parse-names":false,"suffix":""},{"dropping-particle":"","family":"Yagi","given":"Takao","non-dropping-particle":"","parse-names":false,"suffix":""}],"container-title":"Biochemistry","id":"ITEM-1","issue":"3","issued":{"date-parts":[["2015","1"]]},"language":"eng","page":"753-764","title":"Conserved amino acid residues of the NuoD segment important for structure and  function of Escherichia coli NDH-1 (complex I).","type":"article-journal","volume":"54"},"uris":["http://www.mendeley.com/documents/?uuid=d24ae4eb-2d30-4ae6-9af2-979c836e1612"]}],"mendeley":{"formattedCitation":"(Sinha &lt;i&gt;et al&lt;/i&gt;, 2015)","plainTextFormattedCitation":"(Sinha et al, 2015)","previouslyFormattedCitation":"(Sinha &lt;i&gt;et al&lt;/i&gt;, 2015)"},"properties":{"noteIndex":0},"schema":"https://github.com/citation-style-language/schema/raw/master/csl-citation.json"}</w:instrText>
            </w:r>
            <w:r w:rsidRPr="00E97FC1">
              <w:rPr>
                <w:rFonts w:ascii="Helvetica" w:hAnsi="Helvetica" w:cs="Helvetica"/>
                <w:noProof/>
                <w:sz w:val="16"/>
                <w:szCs w:val="16"/>
                <w:lang w:val="en-GB"/>
              </w:rPr>
              <w:fldChar w:fldCharType="separate"/>
            </w:r>
            <w:r w:rsidRPr="00E97FC1">
              <w:rPr>
                <w:rFonts w:ascii="Helvetica" w:hAnsi="Helvetica" w:cs="Helvetica"/>
                <w:noProof/>
                <w:sz w:val="16"/>
                <w:szCs w:val="16"/>
                <w:lang w:val="en-GB"/>
              </w:rPr>
              <w:t xml:space="preserve">(Sinha </w:t>
            </w:r>
            <w:r w:rsidRPr="00E97FC1">
              <w:rPr>
                <w:rFonts w:ascii="Helvetica" w:hAnsi="Helvetica" w:cs="Helvetica"/>
                <w:i/>
                <w:noProof/>
                <w:sz w:val="16"/>
                <w:szCs w:val="16"/>
                <w:lang w:val="en-GB"/>
              </w:rPr>
              <w:t>et al</w:t>
            </w:r>
            <w:r w:rsidRPr="00E97FC1">
              <w:rPr>
                <w:rFonts w:ascii="Helvetica" w:hAnsi="Helvetica" w:cs="Helvetica"/>
                <w:noProof/>
                <w:sz w:val="16"/>
                <w:szCs w:val="16"/>
                <w:lang w:val="en-GB"/>
              </w:rPr>
              <w:t>, 2015)</w:t>
            </w:r>
            <w:r w:rsidRPr="00E97FC1">
              <w:rPr>
                <w:rFonts w:ascii="Helvetica" w:hAnsi="Helvetica" w:cs="Helvetica"/>
                <w:noProof/>
                <w:sz w:val="16"/>
                <w:szCs w:val="16"/>
                <w:lang w:val="en-GB"/>
              </w:rPr>
              <w:fldChar w:fldCharType="end"/>
            </w:r>
          </w:p>
        </w:tc>
      </w:tr>
      <w:tr w:rsidR="002471A8" w:rsidRPr="00E97FC1" w14:paraId="1D985944" w14:textId="77777777" w:rsidTr="002471A8">
        <w:trPr>
          <w:trHeight w:val="65"/>
        </w:trPr>
        <w:tc>
          <w:tcPr>
            <w:tcW w:w="528" w:type="pct"/>
          </w:tcPr>
          <w:p w14:paraId="652F0E82"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D329E</w:t>
            </w:r>
          </w:p>
        </w:tc>
        <w:tc>
          <w:tcPr>
            <w:tcW w:w="1301" w:type="pct"/>
            <w:vMerge/>
          </w:tcPr>
          <w:p w14:paraId="594C710F" w14:textId="77777777" w:rsidR="002471A8" w:rsidRPr="00E97FC1" w:rsidRDefault="002471A8" w:rsidP="002471A8">
            <w:pPr>
              <w:rPr>
                <w:rFonts w:ascii="Helvetica" w:hAnsi="Helvetica" w:cs="Helvetica"/>
                <w:bCs/>
                <w:sz w:val="20"/>
                <w:lang w:val="en-GB"/>
              </w:rPr>
            </w:pPr>
          </w:p>
        </w:tc>
        <w:tc>
          <w:tcPr>
            <w:tcW w:w="715" w:type="pct"/>
          </w:tcPr>
          <w:p w14:paraId="649A3280"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normal</w:t>
            </w:r>
          </w:p>
        </w:tc>
        <w:tc>
          <w:tcPr>
            <w:tcW w:w="581" w:type="pct"/>
          </w:tcPr>
          <w:p w14:paraId="0A90417A" w14:textId="77777777" w:rsidR="002471A8" w:rsidRPr="00E97FC1" w:rsidRDefault="002471A8" w:rsidP="002471A8">
            <w:pPr>
              <w:rPr>
                <w:rFonts w:ascii="Helvetica" w:hAnsi="Helvetica" w:cs="Helvetica"/>
                <w:bCs/>
                <w:sz w:val="20"/>
                <w:lang w:val="en-GB"/>
              </w:rPr>
            </w:pPr>
            <w:r w:rsidRPr="00E97FC1">
              <w:rPr>
                <w:rFonts w:ascii="Helvetica" w:hAnsi="Helvetica" w:cs="Helvetica"/>
                <w:sz w:val="20"/>
                <w:lang w:val="en-GB"/>
              </w:rPr>
              <w:t>87%</w:t>
            </w:r>
          </w:p>
        </w:tc>
        <w:tc>
          <w:tcPr>
            <w:tcW w:w="628" w:type="pct"/>
          </w:tcPr>
          <w:p w14:paraId="5B2CAB27"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54-63%</w:t>
            </w:r>
          </w:p>
        </w:tc>
        <w:tc>
          <w:tcPr>
            <w:tcW w:w="579" w:type="pct"/>
          </w:tcPr>
          <w:p w14:paraId="5BAEDC18"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NA</w:t>
            </w:r>
          </w:p>
        </w:tc>
        <w:tc>
          <w:tcPr>
            <w:tcW w:w="668" w:type="pct"/>
          </w:tcPr>
          <w:p w14:paraId="5E3E7842" w14:textId="17592023" w:rsidR="002471A8" w:rsidRPr="00E97FC1" w:rsidRDefault="002471A8" w:rsidP="002471A8">
            <w:pPr>
              <w:rPr>
                <w:rFonts w:ascii="Helvetica" w:hAnsi="Helvetica" w:cs="Helvetica"/>
                <w:noProof/>
                <w:sz w:val="16"/>
                <w:szCs w:val="16"/>
                <w:lang w:val="en-GB"/>
              </w:rPr>
            </w:pPr>
            <w:r w:rsidRPr="00E97FC1">
              <w:rPr>
                <w:rFonts w:ascii="Helvetica" w:hAnsi="Helvetica" w:cs="Helvetica"/>
                <w:noProof/>
                <w:sz w:val="16"/>
                <w:szCs w:val="16"/>
                <w:lang w:val="en-GB"/>
              </w:rPr>
              <w:fldChar w:fldCharType="begin" w:fldLock="1"/>
            </w:r>
            <w:r w:rsidR="00DC25DF" w:rsidRPr="00E97FC1">
              <w:rPr>
                <w:rFonts w:ascii="Helvetica" w:hAnsi="Helvetica" w:cs="Helvetica"/>
                <w:noProof/>
                <w:sz w:val="16"/>
                <w:szCs w:val="16"/>
                <w:lang w:val="en-GB"/>
              </w:rPr>
              <w:instrText>ADDIN CSL_CITATION {"citationItems":[{"id":"ITEM-1","itemData":{"DOI":"10.1021/bi501403t","ISSN":"1520-4995 (Electronic)","PMID":"25545070","abstract":"The NuoD segment (homologue of mitochondrial 49 kDa subunit) of the  proton-translocating NADH:quinone oxidoreductase (complex I/NDH-1) from Escherichia coli is in the hydrophilic domain and bears many highly conserved amino acid residues. The three-dimensional structural model of NDH-1 suggests that the NuoD segment, together with the neighboring subunits, constitutes a putative quinone binding cavity. We used the homologous DNA recombination technique to clarify the role of selected key amino acid residues of the NuoD segment. Among them, residues Tyr273 and His224 were considered candidates for having important interactions with the quinone headgroup. Mutant Y273F retained partial activity but lost sensitivity to capsaicin-40. Mutant H224R scarcely affected the activity, suggesting that this residue may not be essential. His224 is located in a loop near the N-terminus of the NuoD segment (Gly217-Phe227) which is considered to form part of the quinone binding cavity. In contrast to the His224 mutation, mutants G217V, P218A, and G225V almost completely lost the activity. One region of this loop is positioned close to a cytosolic loop of the NuoA subunit in the membrane domain, and together they seem to be important in keeping the quinone binding cavity intact. The structural role of the longest helix in the NuoD segment located behind the quinone binding cavity was also investigated. Possible roles of other highly conserved residues of the NuoD segment are discussed.","author":[{"dropping-particle":"","family":"Sinha","given":"Prem Kumar","non-dropping-particle":"","parse-names":false,"suffix":""},{"dropping-particle":"","family":"Castro-Guerrero","given":"Norma","non-dropping-particle":"","parse-names":false,"suffix":""},{"dropping-particle":"","family":"Patki","given":"Gaurav","non-dropping-particle":"","parse-names":false,"suffix":""},{"dropping-particle":"","family":"Sato","given":"Motoaki","non-dropping-particle":"","parse-names":false,"suffix":""},{"dropping-particle":"","family":"Torres-Bacete","given":"Jesus","non-dropping-particle":"","parse-names":false,"suffix":""},{"dropping-particle":"","family":"Sinha","given":"Subhash","non-dropping-particle":"","parse-names":false,"suffix":""},{"dropping-particle":"","family":"Miyoshi","given":"Hideto","non-dropping-particle":"","parse-names":false,"suffix":""},{"dropping-particle":"","family":"Matsuno-Yagi","given":"Akemi","non-dropping-particle":"","parse-names":false,"suffix":""},{"dropping-particle":"","family":"Yagi","given":"Takao","non-dropping-particle":"","parse-names":false,"suffix":""}],"container-title":"Biochemistry","id":"ITEM-1","issue":"3","issued":{"date-parts":[["2015","1"]]},"language":"eng","page":"753-764","title":"Conserved amino acid residues of the NuoD segment important for structure and  function of Escherichia coli NDH-1 (complex I).","type":"article-journal","volume":"54"},"uris":["http://www.mendeley.com/documents/?uuid=d24ae4eb-2d30-4ae6-9af2-979c836e1612"]}],"mendeley":{"formattedCitation":"(Sinha &lt;i&gt;et al&lt;/i&gt;, 2015)","plainTextFormattedCitation":"(Sinha et al, 2015)","previouslyFormattedCitation":"(Sinha &lt;i&gt;et al&lt;/i&gt;, 2015)"},"properties":{"noteIndex":0},"schema":"https://github.com/citation-style-language/schema/raw/master/csl-citation.json"}</w:instrText>
            </w:r>
            <w:r w:rsidRPr="00E97FC1">
              <w:rPr>
                <w:rFonts w:ascii="Helvetica" w:hAnsi="Helvetica" w:cs="Helvetica"/>
                <w:noProof/>
                <w:sz w:val="16"/>
                <w:szCs w:val="16"/>
                <w:lang w:val="en-GB"/>
              </w:rPr>
              <w:fldChar w:fldCharType="separate"/>
            </w:r>
            <w:r w:rsidRPr="00E97FC1">
              <w:rPr>
                <w:rFonts w:ascii="Helvetica" w:hAnsi="Helvetica" w:cs="Helvetica"/>
                <w:noProof/>
                <w:sz w:val="16"/>
                <w:szCs w:val="16"/>
                <w:lang w:val="en-GB"/>
              </w:rPr>
              <w:t xml:space="preserve">(Sinha </w:t>
            </w:r>
            <w:r w:rsidRPr="00E97FC1">
              <w:rPr>
                <w:rFonts w:ascii="Helvetica" w:hAnsi="Helvetica" w:cs="Helvetica"/>
                <w:i/>
                <w:noProof/>
                <w:sz w:val="16"/>
                <w:szCs w:val="16"/>
                <w:lang w:val="en-GB"/>
              </w:rPr>
              <w:t>et al</w:t>
            </w:r>
            <w:r w:rsidRPr="00E97FC1">
              <w:rPr>
                <w:rFonts w:ascii="Helvetica" w:hAnsi="Helvetica" w:cs="Helvetica"/>
                <w:noProof/>
                <w:sz w:val="16"/>
                <w:szCs w:val="16"/>
                <w:lang w:val="en-GB"/>
              </w:rPr>
              <w:t>, 2015)</w:t>
            </w:r>
            <w:r w:rsidRPr="00E97FC1">
              <w:rPr>
                <w:rFonts w:ascii="Helvetica" w:hAnsi="Helvetica" w:cs="Helvetica"/>
                <w:noProof/>
                <w:sz w:val="16"/>
                <w:szCs w:val="16"/>
                <w:lang w:val="en-GB"/>
              </w:rPr>
              <w:fldChar w:fldCharType="end"/>
            </w:r>
          </w:p>
        </w:tc>
      </w:tr>
      <w:tr w:rsidR="002471A8" w:rsidRPr="00E97FC1" w14:paraId="44322D7E" w14:textId="77777777" w:rsidTr="002471A8">
        <w:trPr>
          <w:trHeight w:val="65"/>
        </w:trPr>
        <w:tc>
          <w:tcPr>
            <w:tcW w:w="528" w:type="pct"/>
          </w:tcPr>
          <w:p w14:paraId="78A53EA5"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H359A</w:t>
            </w:r>
          </w:p>
        </w:tc>
        <w:tc>
          <w:tcPr>
            <w:tcW w:w="1301" w:type="pct"/>
            <w:vMerge w:val="restart"/>
          </w:tcPr>
          <w:p w14:paraId="766141F0"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HB with N2</w:t>
            </w:r>
          </w:p>
        </w:tc>
        <w:tc>
          <w:tcPr>
            <w:tcW w:w="715" w:type="pct"/>
          </w:tcPr>
          <w:p w14:paraId="0C2B9A16"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reduced</w:t>
            </w:r>
          </w:p>
        </w:tc>
        <w:tc>
          <w:tcPr>
            <w:tcW w:w="581" w:type="pct"/>
          </w:tcPr>
          <w:p w14:paraId="7FC3083E" w14:textId="77777777" w:rsidR="002471A8" w:rsidRPr="00E97FC1" w:rsidRDefault="002471A8" w:rsidP="002471A8">
            <w:pPr>
              <w:rPr>
                <w:rFonts w:ascii="Helvetica" w:hAnsi="Helvetica" w:cs="Helvetica"/>
                <w:bCs/>
                <w:sz w:val="20"/>
                <w:lang w:val="en-GB"/>
              </w:rPr>
            </w:pPr>
            <w:r w:rsidRPr="00E97FC1">
              <w:rPr>
                <w:rFonts w:ascii="Helvetica" w:hAnsi="Helvetica" w:cs="Helvetica"/>
                <w:sz w:val="20"/>
                <w:lang w:val="en-GB"/>
              </w:rPr>
              <w:t>74%</w:t>
            </w:r>
          </w:p>
        </w:tc>
        <w:tc>
          <w:tcPr>
            <w:tcW w:w="628" w:type="pct"/>
          </w:tcPr>
          <w:p w14:paraId="782032F3"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13-28%</w:t>
            </w:r>
          </w:p>
        </w:tc>
        <w:tc>
          <w:tcPr>
            <w:tcW w:w="579" w:type="pct"/>
          </w:tcPr>
          <w:p w14:paraId="064F7B02"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NA</w:t>
            </w:r>
          </w:p>
        </w:tc>
        <w:tc>
          <w:tcPr>
            <w:tcW w:w="668" w:type="pct"/>
          </w:tcPr>
          <w:p w14:paraId="322EB067" w14:textId="52ADBEE5" w:rsidR="002471A8" w:rsidRPr="00E97FC1" w:rsidRDefault="002471A8" w:rsidP="002471A8">
            <w:pPr>
              <w:rPr>
                <w:rFonts w:ascii="Helvetica" w:hAnsi="Helvetica" w:cs="Helvetica"/>
                <w:noProof/>
                <w:sz w:val="16"/>
                <w:szCs w:val="16"/>
                <w:lang w:val="en-GB"/>
              </w:rPr>
            </w:pPr>
            <w:r w:rsidRPr="00E97FC1">
              <w:rPr>
                <w:rFonts w:ascii="Helvetica" w:hAnsi="Helvetica" w:cs="Helvetica"/>
                <w:noProof/>
                <w:sz w:val="16"/>
                <w:szCs w:val="16"/>
                <w:lang w:val="en-GB"/>
              </w:rPr>
              <w:fldChar w:fldCharType="begin" w:fldLock="1"/>
            </w:r>
            <w:r w:rsidR="00DC25DF" w:rsidRPr="00E97FC1">
              <w:rPr>
                <w:rFonts w:ascii="Helvetica" w:hAnsi="Helvetica" w:cs="Helvetica"/>
                <w:noProof/>
                <w:sz w:val="16"/>
                <w:szCs w:val="16"/>
                <w:lang w:val="en-GB"/>
              </w:rPr>
              <w:instrText>ADDIN CSL_CITATION {"citationItems":[{"id":"ITEM-1","itemData":{"DOI":"10.1021/bi501403t","ISSN":"1520-4995 (Electronic)","PMID":"25545070","abstract":"The NuoD segment (homologue of mitochondrial 49 kDa subunit) of the  proton-translocating NADH:quinone oxidoreductase (complex I/NDH-1) from Escherichia coli is in the hydrophilic domain and bears many highly conserved amino acid residues. The three-dimensional structural model of NDH-1 suggests that the NuoD segment, together with the neighboring subunits, constitutes a putative quinone binding cavity. We used the homologous DNA recombination technique to clarify the role of selected key amino acid residues of the NuoD segment. Among them, residues Tyr273 and His224 were considered candidates for having important interactions with the quinone headgroup. Mutant Y273F retained partial activity but lost sensitivity to capsaicin-40. Mutant H224R scarcely affected the activity, suggesting that this residue may not be essential. His224 is located in a loop near the N-terminus of the NuoD segment (Gly217-Phe227) which is considered to form part of the quinone binding cavity. In contrast to the His224 mutation, mutants G217V, P218A, and G225V almost completely lost the activity. One region of this loop is positioned close to a cytosolic loop of the NuoA subunit in the membrane domain, and together they seem to be important in keeping the quinone binding cavity intact. The structural role of the longest helix in the NuoD segment located behind the quinone binding cavity was also investigated. Possible roles of other highly conserved residues of the NuoD segment are discussed.","author":[{"dropping-particle":"","family":"Sinha","given":"Prem Kumar","non-dropping-particle":"","parse-names":false,"suffix":""},{"dropping-particle":"","family":"Castro-Guerrero","given":"Norma","non-dropping-particle":"","parse-names":false,"suffix":""},{"dropping-particle":"","family":"Patki","given":"Gaurav","non-dropping-particle":"","parse-names":false,"suffix":""},{"dropping-particle":"","family":"Sato","given":"Motoaki","non-dropping-particle":"","parse-names":false,"suffix":""},{"dropping-particle":"","family":"Torres-Bacete","given":"Jesus","non-dropping-particle":"","parse-names":false,"suffix":""},{"dropping-particle":"","family":"Sinha","given":"Subhash","non-dropping-particle":"","parse-names":false,"suffix":""},{"dropping-particle":"","family":"Miyoshi","given":"Hideto","non-dropping-particle":"","parse-names":false,"suffix":""},{"dropping-particle":"","family":"Matsuno-Yagi","given":"Akemi","non-dropping-particle":"","parse-names":false,"suffix":""},{"dropping-particle":"","family":"Yagi","given":"Takao","non-dropping-particle":"","parse-names":false,"suffix":""}],"container-title":"Biochemistry","id":"ITEM-1","issue":"3","issued":{"date-parts":[["2015","1"]]},"language":"eng","page":"753-764","title":"Conserved amino acid residues of the NuoD segment important for structure and  function of Escherichia coli NDH-1 (complex I).","type":"article-journal","volume":"54"},"uris":["http://www.mendeley.com/documents/?uuid=d24ae4eb-2d30-4ae6-9af2-979c836e1612"]}],"mendeley":{"formattedCitation":"(Sinha &lt;i&gt;et al&lt;/i&gt;, 2015)","plainTextFormattedCitation":"(Sinha et al, 2015)","previouslyFormattedCitation":"(Sinha &lt;i&gt;et al&lt;/i&gt;, 2015)"},"properties":{"noteIndex":0},"schema":"https://github.com/citation-style-language/schema/raw/master/csl-citation.json"}</w:instrText>
            </w:r>
            <w:r w:rsidRPr="00E97FC1">
              <w:rPr>
                <w:rFonts w:ascii="Helvetica" w:hAnsi="Helvetica" w:cs="Helvetica"/>
                <w:noProof/>
                <w:sz w:val="16"/>
                <w:szCs w:val="16"/>
                <w:lang w:val="en-GB"/>
              </w:rPr>
              <w:fldChar w:fldCharType="separate"/>
            </w:r>
            <w:r w:rsidRPr="00E97FC1">
              <w:rPr>
                <w:rFonts w:ascii="Helvetica" w:hAnsi="Helvetica" w:cs="Helvetica"/>
                <w:noProof/>
                <w:sz w:val="16"/>
                <w:szCs w:val="16"/>
                <w:lang w:val="en-GB"/>
              </w:rPr>
              <w:t xml:space="preserve">(Sinha </w:t>
            </w:r>
            <w:r w:rsidRPr="00E97FC1">
              <w:rPr>
                <w:rFonts w:ascii="Helvetica" w:hAnsi="Helvetica" w:cs="Helvetica"/>
                <w:i/>
                <w:noProof/>
                <w:sz w:val="16"/>
                <w:szCs w:val="16"/>
                <w:lang w:val="en-GB"/>
              </w:rPr>
              <w:t>et al</w:t>
            </w:r>
            <w:r w:rsidRPr="00E97FC1">
              <w:rPr>
                <w:rFonts w:ascii="Helvetica" w:hAnsi="Helvetica" w:cs="Helvetica"/>
                <w:noProof/>
                <w:sz w:val="16"/>
                <w:szCs w:val="16"/>
                <w:lang w:val="en-GB"/>
              </w:rPr>
              <w:t>, 2015)</w:t>
            </w:r>
            <w:r w:rsidRPr="00E97FC1">
              <w:rPr>
                <w:rFonts w:ascii="Helvetica" w:hAnsi="Helvetica" w:cs="Helvetica"/>
                <w:noProof/>
                <w:sz w:val="16"/>
                <w:szCs w:val="16"/>
                <w:lang w:val="en-GB"/>
              </w:rPr>
              <w:fldChar w:fldCharType="end"/>
            </w:r>
          </w:p>
        </w:tc>
      </w:tr>
      <w:tr w:rsidR="002471A8" w:rsidRPr="00E97FC1" w14:paraId="152FF291" w14:textId="77777777" w:rsidTr="002471A8">
        <w:trPr>
          <w:trHeight w:val="65"/>
        </w:trPr>
        <w:tc>
          <w:tcPr>
            <w:tcW w:w="528" w:type="pct"/>
          </w:tcPr>
          <w:p w14:paraId="54081EF4"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H359K</w:t>
            </w:r>
          </w:p>
        </w:tc>
        <w:tc>
          <w:tcPr>
            <w:tcW w:w="1301" w:type="pct"/>
            <w:vMerge/>
          </w:tcPr>
          <w:p w14:paraId="56984ADC" w14:textId="77777777" w:rsidR="002471A8" w:rsidRPr="00E97FC1" w:rsidRDefault="002471A8" w:rsidP="002471A8">
            <w:pPr>
              <w:rPr>
                <w:rFonts w:ascii="Helvetica" w:hAnsi="Helvetica" w:cs="Helvetica"/>
                <w:bCs/>
                <w:sz w:val="20"/>
                <w:lang w:val="en-GB"/>
              </w:rPr>
            </w:pPr>
          </w:p>
        </w:tc>
        <w:tc>
          <w:tcPr>
            <w:tcW w:w="715" w:type="pct"/>
          </w:tcPr>
          <w:p w14:paraId="2B7CBA0E"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reduced</w:t>
            </w:r>
          </w:p>
        </w:tc>
        <w:tc>
          <w:tcPr>
            <w:tcW w:w="581" w:type="pct"/>
          </w:tcPr>
          <w:p w14:paraId="6AFA86A5" w14:textId="77777777" w:rsidR="002471A8" w:rsidRPr="00E97FC1" w:rsidRDefault="002471A8" w:rsidP="002471A8">
            <w:pPr>
              <w:rPr>
                <w:rFonts w:ascii="Helvetica" w:hAnsi="Helvetica" w:cs="Helvetica"/>
                <w:bCs/>
                <w:sz w:val="20"/>
                <w:lang w:val="en-GB"/>
              </w:rPr>
            </w:pPr>
            <w:r w:rsidRPr="00E97FC1">
              <w:rPr>
                <w:rFonts w:ascii="Helvetica" w:hAnsi="Helvetica" w:cs="Helvetica"/>
                <w:sz w:val="20"/>
                <w:lang w:val="en-GB"/>
              </w:rPr>
              <w:t>68%</w:t>
            </w:r>
          </w:p>
        </w:tc>
        <w:tc>
          <w:tcPr>
            <w:tcW w:w="628" w:type="pct"/>
          </w:tcPr>
          <w:p w14:paraId="280C66CC"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36-52%</w:t>
            </w:r>
          </w:p>
        </w:tc>
        <w:tc>
          <w:tcPr>
            <w:tcW w:w="579" w:type="pct"/>
          </w:tcPr>
          <w:p w14:paraId="7ED06783"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NA</w:t>
            </w:r>
          </w:p>
        </w:tc>
        <w:tc>
          <w:tcPr>
            <w:tcW w:w="668" w:type="pct"/>
          </w:tcPr>
          <w:p w14:paraId="1C2010C4" w14:textId="7F12B92E" w:rsidR="002471A8" w:rsidRPr="00E97FC1" w:rsidRDefault="002471A8" w:rsidP="002471A8">
            <w:pPr>
              <w:rPr>
                <w:rFonts w:ascii="Helvetica" w:hAnsi="Helvetica" w:cs="Helvetica"/>
                <w:noProof/>
                <w:sz w:val="16"/>
                <w:szCs w:val="16"/>
                <w:lang w:val="en-GB"/>
              </w:rPr>
            </w:pPr>
            <w:r w:rsidRPr="00E97FC1">
              <w:rPr>
                <w:rFonts w:ascii="Helvetica" w:hAnsi="Helvetica" w:cs="Helvetica"/>
                <w:noProof/>
                <w:sz w:val="16"/>
                <w:szCs w:val="16"/>
                <w:lang w:val="en-GB"/>
              </w:rPr>
              <w:fldChar w:fldCharType="begin" w:fldLock="1"/>
            </w:r>
            <w:r w:rsidR="00DC25DF" w:rsidRPr="00E97FC1">
              <w:rPr>
                <w:rFonts w:ascii="Helvetica" w:hAnsi="Helvetica" w:cs="Helvetica"/>
                <w:noProof/>
                <w:sz w:val="16"/>
                <w:szCs w:val="16"/>
                <w:lang w:val="en-GB"/>
              </w:rPr>
              <w:instrText>ADDIN CSL_CITATION {"citationItems":[{"id":"ITEM-1","itemData":{"DOI":"10.1021/bi501403t","ISSN":"1520-4995 (Electronic)","PMID":"25545070","abstract":"The NuoD segment (homologue of mitochondrial 49 kDa subunit) of the  proton-translocating NADH:quinone oxidoreductase (complex I/NDH-1) from Escherichia coli is in the hydrophilic domain and bears many highly conserved amino acid residues. The three-dimensional structural model of NDH-1 suggests that the NuoD segment, together with the neighboring subunits, constitutes a putative quinone binding cavity. We used the homologous DNA recombination technique to clarify the role of selected key amino acid residues of the NuoD segment. Among them, residues Tyr273 and His224 were considered candidates for having important interactions with the quinone headgroup. Mutant Y273F retained partial activity but lost sensitivity to capsaicin-40. Mutant H224R scarcely affected the activity, suggesting that this residue may not be essential. His224 is located in a loop near the N-terminus of the NuoD segment (Gly217-Phe227) which is considered to form part of the quinone binding cavity. In contrast to the His224 mutation, mutants G217V, P218A, and G225V almost completely lost the activity. One region of this loop is positioned close to a cytosolic loop of the NuoA subunit in the membrane domain, and together they seem to be important in keeping the quinone binding cavity intact. The structural role of the longest helix in the NuoD segment located behind the quinone binding cavity was also investigated. Possible roles of other highly conserved residues of the NuoD segment are discussed.","author":[{"dropping-particle":"","family":"Sinha","given":"Prem Kumar","non-dropping-particle":"","parse-names":false,"suffix":""},{"dropping-particle":"","family":"Castro-Guerrero","given":"Norma","non-dropping-particle":"","parse-names":false,"suffix":""},{"dropping-particle":"","family":"Patki","given":"Gaurav","non-dropping-particle":"","parse-names":false,"suffix":""},{"dropping-particle":"","family":"Sato","given":"Motoaki","non-dropping-particle":"","parse-names":false,"suffix":""},{"dropping-particle":"","family":"Torres-Bacete","given":"Jesus","non-dropping-particle":"","parse-names":false,"suffix":""},{"dropping-particle":"","family":"Sinha","given":"Subhash","non-dropping-particle":"","parse-names":false,"suffix":""},{"dropping-particle":"","family":"Miyoshi","given":"Hideto","non-dropping-particle":"","parse-names":false,"suffix":""},{"dropping-particle":"","family":"Matsuno-Yagi","given":"Akemi","non-dropping-particle":"","parse-names":false,"suffix":""},{"dropping-particle":"","family":"Yagi","given":"Takao","non-dropping-particle":"","parse-names":false,"suffix":""}],"container-title":"Biochemistry","id":"ITEM-1","issue":"3","issued":{"date-parts":[["2015","1"]]},"language":"eng","page":"753-764","title":"Conserved amino acid residues of the NuoD segment important for structure and  function of Escherichia coli NDH-1 (complex I).","type":"article-journal","volume":"54"},"uris":["http://www.mendeley.com/documents/?uuid=d24ae4eb-2d30-4ae6-9af2-979c836e1612"]}],"mendeley":{"formattedCitation":"(Sinha &lt;i&gt;et al&lt;/i&gt;, 2015)","plainTextFormattedCitation":"(Sinha et al, 2015)","previouslyFormattedCitation":"(Sinha &lt;i&gt;et al&lt;/i&gt;, 2015)"},"properties":{"noteIndex":0},"schema":"https://github.com/citation-style-language/schema/raw/master/csl-citation.json"}</w:instrText>
            </w:r>
            <w:r w:rsidRPr="00E97FC1">
              <w:rPr>
                <w:rFonts w:ascii="Helvetica" w:hAnsi="Helvetica" w:cs="Helvetica"/>
                <w:noProof/>
                <w:sz w:val="16"/>
                <w:szCs w:val="16"/>
                <w:lang w:val="en-GB"/>
              </w:rPr>
              <w:fldChar w:fldCharType="separate"/>
            </w:r>
            <w:r w:rsidRPr="00E97FC1">
              <w:rPr>
                <w:rFonts w:ascii="Helvetica" w:hAnsi="Helvetica" w:cs="Helvetica"/>
                <w:noProof/>
                <w:sz w:val="16"/>
                <w:szCs w:val="16"/>
                <w:lang w:val="en-GB"/>
              </w:rPr>
              <w:t xml:space="preserve">(Sinha </w:t>
            </w:r>
            <w:r w:rsidRPr="00E97FC1">
              <w:rPr>
                <w:rFonts w:ascii="Helvetica" w:hAnsi="Helvetica" w:cs="Helvetica"/>
                <w:i/>
                <w:noProof/>
                <w:sz w:val="16"/>
                <w:szCs w:val="16"/>
                <w:lang w:val="en-GB"/>
              </w:rPr>
              <w:t>et al</w:t>
            </w:r>
            <w:r w:rsidRPr="00E97FC1">
              <w:rPr>
                <w:rFonts w:ascii="Helvetica" w:hAnsi="Helvetica" w:cs="Helvetica"/>
                <w:noProof/>
                <w:sz w:val="16"/>
                <w:szCs w:val="16"/>
                <w:lang w:val="en-GB"/>
              </w:rPr>
              <w:t>, 2015)</w:t>
            </w:r>
            <w:r w:rsidRPr="00E97FC1">
              <w:rPr>
                <w:rFonts w:ascii="Helvetica" w:hAnsi="Helvetica" w:cs="Helvetica"/>
                <w:noProof/>
                <w:sz w:val="16"/>
                <w:szCs w:val="16"/>
                <w:lang w:val="en-GB"/>
              </w:rPr>
              <w:fldChar w:fldCharType="end"/>
            </w:r>
          </w:p>
        </w:tc>
      </w:tr>
      <w:tr w:rsidR="002471A8" w:rsidRPr="00E97FC1" w14:paraId="7E3DB3E6" w14:textId="77777777" w:rsidTr="002471A8">
        <w:trPr>
          <w:trHeight w:val="65"/>
        </w:trPr>
        <w:tc>
          <w:tcPr>
            <w:tcW w:w="528" w:type="pct"/>
          </w:tcPr>
          <w:p w14:paraId="6B796377"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R560K</w:t>
            </w:r>
          </w:p>
        </w:tc>
        <w:tc>
          <w:tcPr>
            <w:tcW w:w="1301" w:type="pct"/>
          </w:tcPr>
          <w:p w14:paraId="2AE9AE50"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Part of internal β-sheet</w:t>
            </w:r>
          </w:p>
        </w:tc>
        <w:tc>
          <w:tcPr>
            <w:tcW w:w="715" w:type="pct"/>
          </w:tcPr>
          <w:p w14:paraId="61D1040F"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low</w:t>
            </w:r>
          </w:p>
        </w:tc>
        <w:tc>
          <w:tcPr>
            <w:tcW w:w="581" w:type="pct"/>
          </w:tcPr>
          <w:p w14:paraId="2A959ADA" w14:textId="77777777" w:rsidR="002471A8" w:rsidRPr="00E97FC1" w:rsidRDefault="002471A8" w:rsidP="002471A8">
            <w:pPr>
              <w:rPr>
                <w:rFonts w:ascii="Helvetica" w:hAnsi="Helvetica" w:cs="Helvetica"/>
                <w:bCs/>
                <w:sz w:val="20"/>
                <w:lang w:val="en-GB"/>
              </w:rPr>
            </w:pPr>
            <w:r w:rsidRPr="00E97FC1">
              <w:rPr>
                <w:rFonts w:ascii="Helvetica" w:hAnsi="Helvetica" w:cs="Helvetica"/>
                <w:sz w:val="20"/>
                <w:lang w:val="en-GB"/>
              </w:rPr>
              <w:t>40%</w:t>
            </w:r>
          </w:p>
        </w:tc>
        <w:tc>
          <w:tcPr>
            <w:tcW w:w="628" w:type="pct"/>
          </w:tcPr>
          <w:p w14:paraId="48626A25"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8-14%</w:t>
            </w:r>
          </w:p>
        </w:tc>
        <w:tc>
          <w:tcPr>
            <w:tcW w:w="579" w:type="pct"/>
          </w:tcPr>
          <w:p w14:paraId="028EFC31"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NA</w:t>
            </w:r>
          </w:p>
        </w:tc>
        <w:tc>
          <w:tcPr>
            <w:tcW w:w="668" w:type="pct"/>
          </w:tcPr>
          <w:p w14:paraId="426D82BF" w14:textId="32E6C456" w:rsidR="002471A8" w:rsidRPr="00E97FC1" w:rsidRDefault="002471A8" w:rsidP="002471A8">
            <w:pPr>
              <w:rPr>
                <w:rFonts w:ascii="Helvetica" w:hAnsi="Helvetica" w:cs="Helvetica"/>
                <w:noProof/>
                <w:sz w:val="16"/>
                <w:szCs w:val="16"/>
                <w:lang w:val="en-GB"/>
              </w:rPr>
            </w:pPr>
            <w:r w:rsidRPr="00E97FC1">
              <w:rPr>
                <w:rFonts w:ascii="Helvetica" w:hAnsi="Helvetica" w:cs="Helvetica"/>
                <w:noProof/>
                <w:sz w:val="16"/>
                <w:szCs w:val="16"/>
                <w:lang w:val="en-GB"/>
              </w:rPr>
              <w:fldChar w:fldCharType="begin" w:fldLock="1"/>
            </w:r>
            <w:r w:rsidR="00DC25DF" w:rsidRPr="00E97FC1">
              <w:rPr>
                <w:rFonts w:ascii="Helvetica" w:hAnsi="Helvetica" w:cs="Helvetica"/>
                <w:noProof/>
                <w:sz w:val="16"/>
                <w:szCs w:val="16"/>
                <w:lang w:val="en-GB"/>
              </w:rPr>
              <w:instrText>ADDIN CSL_CITATION {"citationItems":[{"id":"ITEM-1","itemData":{"DOI":"10.1021/bi501403t","ISSN":"1520-4995 (Electronic)","PMID":"25545070","abstract":"The NuoD segment (homologue of mitochondrial 49 kDa subunit) of the  proton-translocating NADH:quinone oxidoreductase (complex I/NDH-1) from Escherichia coli is in the hydrophilic domain and bears many highly conserved amino acid residues. The three-dimensional structural model of NDH-1 suggests that the NuoD segment, together with the neighboring subunits, constitutes a putative quinone binding cavity. We used the homologous DNA recombination technique to clarify the role of selected key amino acid residues of the NuoD segment. Among them, residues Tyr273 and His224 were considered candidates for having important interactions with the quinone headgroup. Mutant Y273F retained partial activity but lost sensitivity to capsaicin-40. Mutant H224R scarcely affected the activity, suggesting that this residue may not be essential. His224 is located in a loop near the N-terminus of the NuoD segment (Gly217-Phe227) which is considered to form part of the quinone binding cavity. In contrast to the His224 mutation, mutants G217V, P218A, and G225V almost completely lost the activity. One region of this loop is positioned close to a cytosolic loop of the NuoA subunit in the membrane domain, and together they seem to be important in keeping the quinone binding cavity intact. The structural role of the longest helix in the NuoD segment located behind the quinone binding cavity was also investigated. Possible roles of other highly conserved residues of the NuoD segment are discussed.","author":[{"dropping-particle":"","family":"Sinha","given":"Prem Kumar","non-dropping-particle":"","parse-names":false,"suffix":""},{"dropping-particle":"","family":"Castro-Guerrero","given":"Norma","non-dropping-particle":"","parse-names":false,"suffix":""},{"dropping-particle":"","family":"Patki","given":"Gaurav","non-dropping-particle":"","parse-names":false,"suffix":""},{"dropping-particle":"","family":"Sato","given":"Motoaki","non-dropping-particle":"","parse-names":false,"suffix":""},{"dropping-particle":"","family":"Torres-Bacete","given":"Jesus","non-dropping-particle":"","parse-names":false,"suffix":""},{"dropping-particle":"","family":"Sinha","given":"Subhash","non-dropping-particle":"","parse-names":false,"suffix":""},{"dropping-particle":"","family":"Miyoshi","given":"Hideto","non-dropping-particle":"","parse-names":false,"suffix":""},{"dropping-particle":"","family":"Matsuno-Yagi","given":"Akemi","non-dropping-particle":"","parse-names":false,"suffix":""},{"dropping-particle":"","family":"Yagi","given":"Takao","non-dropping-particle":"","parse-names":false,"suffix":""}],"container-title":"Biochemistry","id":"ITEM-1","issue":"3","issued":{"date-parts":[["2015","1"]]},"language":"eng","page":"753-764","title":"Conserved amino acid residues of the NuoD segment important for structure and  function of Escherichia coli NDH-1 (complex I).","type":"article-journal","volume":"54"},"uris":["http://www.mendeley.com/documents/?uuid=d24ae4eb-2d30-4ae6-9af2-979c836e1612"]}],"mendeley":{"formattedCitation":"(Sinha &lt;i&gt;et al&lt;/i&gt;, 2015)","plainTextFormattedCitation":"(Sinha et al, 2015)","previouslyFormattedCitation":"(Sinha &lt;i&gt;et al&lt;/i&gt;, 2015)"},"properties":{"noteIndex":0},"schema":"https://github.com/citation-style-language/schema/raw/master/csl-citation.json"}</w:instrText>
            </w:r>
            <w:r w:rsidRPr="00E97FC1">
              <w:rPr>
                <w:rFonts w:ascii="Helvetica" w:hAnsi="Helvetica" w:cs="Helvetica"/>
                <w:noProof/>
                <w:sz w:val="16"/>
                <w:szCs w:val="16"/>
                <w:lang w:val="en-GB"/>
              </w:rPr>
              <w:fldChar w:fldCharType="separate"/>
            </w:r>
            <w:r w:rsidRPr="00E97FC1">
              <w:rPr>
                <w:rFonts w:ascii="Helvetica" w:hAnsi="Helvetica" w:cs="Helvetica"/>
                <w:noProof/>
                <w:sz w:val="16"/>
                <w:szCs w:val="16"/>
                <w:lang w:val="en-GB"/>
              </w:rPr>
              <w:t xml:space="preserve">(Sinha </w:t>
            </w:r>
            <w:r w:rsidRPr="00E97FC1">
              <w:rPr>
                <w:rFonts w:ascii="Helvetica" w:hAnsi="Helvetica" w:cs="Helvetica"/>
                <w:i/>
                <w:noProof/>
                <w:sz w:val="16"/>
                <w:szCs w:val="16"/>
                <w:lang w:val="en-GB"/>
              </w:rPr>
              <w:t>et al</w:t>
            </w:r>
            <w:r w:rsidRPr="00E97FC1">
              <w:rPr>
                <w:rFonts w:ascii="Helvetica" w:hAnsi="Helvetica" w:cs="Helvetica"/>
                <w:noProof/>
                <w:sz w:val="16"/>
                <w:szCs w:val="16"/>
                <w:lang w:val="en-GB"/>
              </w:rPr>
              <w:t>, 2015)</w:t>
            </w:r>
            <w:r w:rsidRPr="00E97FC1">
              <w:rPr>
                <w:rFonts w:ascii="Helvetica" w:hAnsi="Helvetica" w:cs="Helvetica"/>
                <w:noProof/>
                <w:sz w:val="16"/>
                <w:szCs w:val="16"/>
                <w:lang w:val="en-GB"/>
              </w:rPr>
              <w:fldChar w:fldCharType="end"/>
            </w:r>
          </w:p>
        </w:tc>
      </w:tr>
      <w:tr w:rsidR="002471A8" w:rsidRPr="00E97FC1" w14:paraId="0C755FC9" w14:textId="77777777" w:rsidTr="002471A8">
        <w:trPr>
          <w:trHeight w:val="65"/>
        </w:trPr>
        <w:tc>
          <w:tcPr>
            <w:tcW w:w="528" w:type="pct"/>
          </w:tcPr>
          <w:p w14:paraId="202B7F95"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R600A</w:t>
            </w:r>
          </w:p>
        </w:tc>
        <w:tc>
          <w:tcPr>
            <w:tcW w:w="1301" w:type="pct"/>
          </w:tcPr>
          <w:p w14:paraId="3FCA48E0"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Intersubunit interface</w:t>
            </w:r>
          </w:p>
        </w:tc>
        <w:tc>
          <w:tcPr>
            <w:tcW w:w="715" w:type="pct"/>
          </w:tcPr>
          <w:p w14:paraId="4E5A99BB"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reduced</w:t>
            </w:r>
          </w:p>
        </w:tc>
        <w:tc>
          <w:tcPr>
            <w:tcW w:w="581" w:type="pct"/>
          </w:tcPr>
          <w:p w14:paraId="04C88B68" w14:textId="77777777" w:rsidR="002471A8" w:rsidRPr="00E97FC1" w:rsidRDefault="002471A8" w:rsidP="002471A8">
            <w:pPr>
              <w:rPr>
                <w:rFonts w:ascii="Helvetica" w:hAnsi="Helvetica" w:cs="Helvetica"/>
                <w:bCs/>
                <w:sz w:val="20"/>
                <w:lang w:val="en-GB"/>
              </w:rPr>
            </w:pPr>
            <w:r w:rsidRPr="00E97FC1">
              <w:rPr>
                <w:rFonts w:ascii="Helvetica" w:hAnsi="Helvetica" w:cs="Helvetica"/>
                <w:sz w:val="20"/>
                <w:lang w:val="en-GB"/>
              </w:rPr>
              <w:t>61%</w:t>
            </w:r>
          </w:p>
        </w:tc>
        <w:tc>
          <w:tcPr>
            <w:tcW w:w="628" w:type="pct"/>
          </w:tcPr>
          <w:p w14:paraId="1C98BA8C"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47-56%</w:t>
            </w:r>
          </w:p>
        </w:tc>
        <w:tc>
          <w:tcPr>
            <w:tcW w:w="579" w:type="pct"/>
          </w:tcPr>
          <w:p w14:paraId="2A395551"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NA</w:t>
            </w:r>
          </w:p>
        </w:tc>
        <w:tc>
          <w:tcPr>
            <w:tcW w:w="668" w:type="pct"/>
          </w:tcPr>
          <w:p w14:paraId="748AD0B3" w14:textId="143F3A92" w:rsidR="002471A8" w:rsidRPr="00E97FC1" w:rsidRDefault="002471A8" w:rsidP="002471A8">
            <w:pPr>
              <w:rPr>
                <w:rFonts w:ascii="Helvetica" w:hAnsi="Helvetica" w:cs="Helvetica"/>
                <w:noProof/>
                <w:sz w:val="16"/>
                <w:szCs w:val="16"/>
                <w:lang w:val="en-GB"/>
              </w:rPr>
            </w:pPr>
            <w:r w:rsidRPr="00E97FC1">
              <w:rPr>
                <w:rFonts w:ascii="Helvetica" w:hAnsi="Helvetica" w:cs="Helvetica"/>
                <w:noProof/>
                <w:sz w:val="16"/>
                <w:szCs w:val="16"/>
                <w:lang w:val="en-GB"/>
              </w:rPr>
              <w:fldChar w:fldCharType="begin" w:fldLock="1"/>
            </w:r>
            <w:r w:rsidR="00DC25DF" w:rsidRPr="00E97FC1">
              <w:rPr>
                <w:rFonts w:ascii="Helvetica" w:hAnsi="Helvetica" w:cs="Helvetica"/>
                <w:noProof/>
                <w:sz w:val="16"/>
                <w:szCs w:val="16"/>
                <w:lang w:val="en-GB"/>
              </w:rPr>
              <w:instrText>ADDIN CSL_CITATION {"citationItems":[{"id":"ITEM-1","itemData":{"DOI":"10.1021/bi501403t","ISSN":"1520-4995 (Electronic)","PMID":"25545070","abstract":"The NuoD segment (homologue of mitochondrial 49 kDa subunit) of the  proton-translocating NADH:quinone oxidoreductase (complex I/NDH-1) from Escherichia coli is in the hydrophilic domain and bears many highly conserved amino acid residues. The three-dimensional structural model of NDH-1 suggests that the NuoD segment, together with the neighboring subunits, constitutes a putative quinone binding cavity. We used the homologous DNA recombination technique to clarify the role of selected key amino acid residues of the NuoD segment. Among them, residues Tyr273 and His224 were considered candidates for having important interactions with the quinone headgroup. Mutant Y273F retained partial activity but lost sensitivity to capsaicin-40. Mutant H224R scarcely affected the activity, suggesting that this residue may not be essential. His224 is located in a loop near the N-terminus of the NuoD segment (Gly217-Phe227) which is considered to form part of the quinone binding cavity. In contrast to the His224 mutation, mutants G217V, P218A, and G225V almost completely lost the activity. One region of this loop is positioned close to a cytosolic loop of the NuoA subunit in the membrane domain, and together they seem to be important in keeping the quinone binding cavity intact. The structural role of the longest helix in the NuoD segment located behind the quinone binding cavity was also investigated. Possible roles of other highly conserved residues of the NuoD segment are discussed.","author":[{"dropping-particle":"","family":"Sinha","given":"Prem Kumar","non-dropping-particle":"","parse-names":false,"suffix":""},{"dropping-particle":"","family":"Castro-Guerrero","given":"Norma","non-dropping-particle":"","parse-names":false,"suffix":""},{"dropping-particle":"","family":"Patki","given":"Gaurav","non-dropping-particle":"","parse-names":false,"suffix":""},{"dropping-particle":"","family":"Sato","given":"Motoaki","non-dropping-particle":"","parse-names":false,"suffix":""},{"dropping-particle":"","family":"Torres-Bacete","given":"Jesus","non-dropping-particle":"","parse-names":false,"suffix":""},{"dropping-particle":"","family":"Sinha","given":"Subhash","non-dropping-particle":"","parse-names":false,"suffix":""},{"dropping-particle":"","family":"Miyoshi","given":"Hideto","non-dropping-particle":"","parse-names":false,"suffix":""},{"dropping-particle":"","family":"Matsuno-Yagi","given":"Akemi","non-dropping-particle":"","parse-names":false,"suffix":""},{"dropping-particle":"","family":"Yagi","given":"Takao","non-dropping-particle":"","parse-names":false,"suffix":""}],"container-title":"Biochemistry","id":"ITEM-1","issue":"3","issued":{"date-parts":[["2015","1"]]},"language":"eng","page":"753-764","title":"Conserved amino acid residues of the NuoD segment important for structure and  function of Escherichia coli NDH-1 (complex I).","type":"article-journal","volume":"54"},"uris":["http://www.mendeley.com/documents/?uuid=d24ae4eb-2d30-4ae6-9af2-979c836e1612"]}],"mendeley":{"formattedCitation":"(Sinha &lt;i&gt;et al&lt;/i&gt;, 2015)","plainTextFormattedCitation":"(Sinha et al, 2015)","previouslyFormattedCitation":"(Sinha &lt;i&gt;et al&lt;/i&gt;, 2015)"},"properties":{"noteIndex":0},"schema":"https://github.com/citation-style-language/schema/raw/master/csl-citation.json"}</w:instrText>
            </w:r>
            <w:r w:rsidRPr="00E97FC1">
              <w:rPr>
                <w:rFonts w:ascii="Helvetica" w:hAnsi="Helvetica" w:cs="Helvetica"/>
                <w:noProof/>
                <w:sz w:val="16"/>
                <w:szCs w:val="16"/>
                <w:lang w:val="en-GB"/>
              </w:rPr>
              <w:fldChar w:fldCharType="separate"/>
            </w:r>
            <w:r w:rsidRPr="00E97FC1">
              <w:rPr>
                <w:rFonts w:ascii="Helvetica" w:hAnsi="Helvetica" w:cs="Helvetica"/>
                <w:noProof/>
                <w:sz w:val="16"/>
                <w:szCs w:val="16"/>
                <w:lang w:val="en-GB"/>
              </w:rPr>
              <w:t xml:space="preserve">(Sinha </w:t>
            </w:r>
            <w:r w:rsidRPr="00E97FC1">
              <w:rPr>
                <w:rFonts w:ascii="Helvetica" w:hAnsi="Helvetica" w:cs="Helvetica"/>
                <w:i/>
                <w:noProof/>
                <w:sz w:val="16"/>
                <w:szCs w:val="16"/>
                <w:lang w:val="en-GB"/>
              </w:rPr>
              <w:t>et al</w:t>
            </w:r>
            <w:r w:rsidRPr="00E97FC1">
              <w:rPr>
                <w:rFonts w:ascii="Helvetica" w:hAnsi="Helvetica" w:cs="Helvetica"/>
                <w:noProof/>
                <w:sz w:val="16"/>
                <w:szCs w:val="16"/>
                <w:lang w:val="en-GB"/>
              </w:rPr>
              <w:t>, 2015)</w:t>
            </w:r>
            <w:r w:rsidRPr="00E97FC1">
              <w:rPr>
                <w:rFonts w:ascii="Helvetica" w:hAnsi="Helvetica" w:cs="Helvetica"/>
                <w:noProof/>
                <w:sz w:val="16"/>
                <w:szCs w:val="16"/>
                <w:lang w:val="en-GB"/>
              </w:rPr>
              <w:fldChar w:fldCharType="end"/>
            </w:r>
          </w:p>
        </w:tc>
      </w:tr>
      <w:tr w:rsidR="002471A8" w:rsidRPr="00E97FC1" w14:paraId="27A2DE1A" w14:textId="77777777" w:rsidTr="002471A8">
        <w:trPr>
          <w:trHeight w:val="65"/>
        </w:trPr>
        <w:tc>
          <w:tcPr>
            <w:tcW w:w="5000" w:type="pct"/>
            <w:gridSpan w:val="7"/>
          </w:tcPr>
          <w:p w14:paraId="0DE86622" w14:textId="77777777" w:rsidR="002471A8" w:rsidRPr="00E97FC1" w:rsidRDefault="002471A8" w:rsidP="002471A8">
            <w:pPr>
              <w:rPr>
                <w:rFonts w:ascii="Helvetica" w:hAnsi="Helvetica" w:cs="Helvetica"/>
                <w:noProof/>
                <w:sz w:val="16"/>
                <w:szCs w:val="16"/>
                <w:lang w:val="en-GB"/>
              </w:rPr>
            </w:pPr>
            <w:r w:rsidRPr="00E97FC1">
              <w:rPr>
                <w:rFonts w:ascii="Helvetica" w:hAnsi="Helvetica" w:cs="Helvetica"/>
                <w:sz w:val="16"/>
                <w:szCs w:val="16"/>
                <w:lang w:val="en-GB"/>
              </w:rPr>
              <w:t>NuoB</w:t>
            </w:r>
          </w:p>
        </w:tc>
      </w:tr>
      <w:tr w:rsidR="002471A8" w:rsidRPr="00E97FC1" w14:paraId="18CBB467" w14:textId="77777777" w:rsidTr="002471A8">
        <w:trPr>
          <w:trHeight w:val="65"/>
        </w:trPr>
        <w:tc>
          <w:tcPr>
            <w:tcW w:w="528" w:type="pct"/>
          </w:tcPr>
          <w:p w14:paraId="2E2F445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E67Q</w:t>
            </w:r>
          </w:p>
        </w:tc>
        <w:tc>
          <w:tcPr>
            <w:tcW w:w="1301" w:type="pct"/>
            <w:vMerge w:val="restart"/>
          </w:tcPr>
          <w:p w14:paraId="665CAC1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 xml:space="preserve">Close to N2, HB with </w:t>
            </w:r>
            <w:r w:rsidRPr="00E97FC1">
              <w:rPr>
                <w:rFonts w:ascii="Helvetica" w:hAnsi="Helvetica" w:cs="Helvetica"/>
                <w:bCs/>
                <w:sz w:val="20"/>
                <w:szCs w:val="20"/>
                <w:vertAlign w:val="subscript"/>
                <w:lang w:val="en-GB"/>
              </w:rPr>
              <w:t>C</w:t>
            </w:r>
            <w:r w:rsidRPr="00E97FC1">
              <w:rPr>
                <w:rFonts w:ascii="Helvetica" w:hAnsi="Helvetica" w:cs="Helvetica"/>
                <w:bCs/>
                <w:sz w:val="20"/>
                <w:szCs w:val="20"/>
                <w:lang w:val="en-GB"/>
              </w:rPr>
              <w:t>R357</w:t>
            </w:r>
          </w:p>
        </w:tc>
        <w:tc>
          <w:tcPr>
            <w:tcW w:w="715" w:type="pct"/>
          </w:tcPr>
          <w:p w14:paraId="0C42F84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bCs/>
                <w:sz w:val="20"/>
                <w:szCs w:val="20"/>
                <w:lang w:val="en-GB"/>
              </w:rPr>
              <w:t>NA</w:t>
            </w:r>
          </w:p>
        </w:tc>
        <w:tc>
          <w:tcPr>
            <w:tcW w:w="581" w:type="pct"/>
          </w:tcPr>
          <w:p w14:paraId="003C64D0"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89%</w:t>
            </w:r>
          </w:p>
        </w:tc>
        <w:tc>
          <w:tcPr>
            <w:tcW w:w="628" w:type="pct"/>
          </w:tcPr>
          <w:p w14:paraId="27F433F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10%</w:t>
            </w:r>
          </w:p>
        </w:tc>
        <w:tc>
          <w:tcPr>
            <w:tcW w:w="579" w:type="pct"/>
          </w:tcPr>
          <w:p w14:paraId="5E7956C1"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668" w:type="pct"/>
          </w:tcPr>
          <w:p w14:paraId="700206CC" w14:textId="27F2E113"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{"citationItems":[{"id":"ITEM-1","itemData":{"DOI":"10.1074/jbc.M602499200","ISSN":"0021-9258 (Print)","PMID":"16807239","abstract":"The NADH:ubiquinone oxidoreductase (complex I) from Escherichia coli is composed of  13 subunits called NuoA through NuoN and contains one FMN and 9 iron-sulfur clusters as redox groups. Electron transfer from NADH to ubiquinone is coupled with the translocation of protons across the membrane by a yet unknown mechanism. Redox-induced Fourier transform infrared difference spectroscopy showed that the oxidation of iron-sulfur cluster N2 located on NuoB is accompanied by the protonation of acidic amino acid(s). Here, we describe the effect of mutating the conserved acidic amino acids on NuoB. The complex was assembled in all mutants but the electron transfer activity was completely abolished in the mutants E67Q, D77N, and D94N. The complex isolated from these mutants contained N2 although in diminished amounts. The protonation of acidic amino acid(s) coupled with the oxidation of N2 was not detectable in the complex from the mutant E67Q. However, the conservative mutations E67D and D77E did not disturb the enzymatic activity, and the signals because of the protonation of acidic amino acid(s) were detectable in the E67D mutant. We discuss the possible participation of Glu(67) in a proton pathway coupled with the redox reaction of N2.","author":[{"dropping-particle":"","family":"Flemming","given":"Dirk","non-dropping-particle":"","parse-names":false,"suffix":""},{"dropping-particle":"","family":"Hellwig","given":"Petra","non-dropping-particle":"","parse-names":false,"suffix":""},{"dropping-particle":"","family":"Lepper","given":"Simone","non-dropping-particle":"","parse-names":false,"suffix":""},{"dropping-particle":"","family":"Kloer","given":"Daniel P","non-dropping-particle":"","parse-names":false,"suffix":""},{"dropping-particle":"","family":"Friedrich","given":"Thorsten","non-dropping-particle":"","parse-names":false,"suffix":""}],"container-title":"The Journal of biological chemistry","id":"ITEM-1","issue":"34","issued":{"date-parts":[["2006","8"]]},"language":"eng","page":"24781-24789","publisher-place":"United States","title":"Catalytic importance of acidic amino acids on subunit NuoB of the Escherichia coli  NADH:ubiquinone oxidoreductase (complex I).","type":"article-journal","volume":"281"},"uris":["http://www.mendeley.com/documents/?uuid=dc232cf4-23ef-483a-859f-5c48d921176a"]}],"mendeley":{"formattedCitation":"(Flemming &lt;i&gt;et al&lt;/i&gt;, 2006)","plainTextFormattedCitation":"(Flemming et al, 2006)","previouslyFormattedCitation":"(Flemming &lt;i&gt;et al&lt;/i&gt;, 2006)"},"properties":{"noteIndex":0},"schema":"https://github.com/citation-style-language/schema/raw/master/csl-citation.json"}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(Flemming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2006)</w:t>
            </w:r>
            <w:r w:rsidRPr="00E97FC1">
              <w:rPr>
                <w:rFonts w:ascii="Helvetica" w:hAnsi="Helvetica" w:cs="Helvetica"/>
                <w:b/>
                <w:bCs/>
                <w:sz w:val="16"/>
                <w:szCs w:val="16"/>
                <w:lang w:val="en-GB"/>
              </w:rPr>
              <w:fldChar w:fldCharType="end"/>
            </w:r>
            <w:r w:rsidRPr="00E97FC1">
              <w:rPr>
                <w:rFonts w:ascii="Helvetica" w:hAnsi="Helvetica" w:cs="Helvetica"/>
                <w:b/>
                <w:bCs/>
                <w:sz w:val="16"/>
                <w:szCs w:val="16"/>
                <w:lang w:val="en-GB"/>
              </w:rPr>
              <w:t xml:space="preserve">, </w:t>
            </w:r>
            <w:r w:rsidRPr="00E97FC1">
              <w:rPr>
                <w:rFonts w:ascii="Helvetica" w:hAnsi="Helvetica" w:cs="Helvetica"/>
                <w:sz w:val="16"/>
                <w:szCs w:val="16"/>
                <w:lang w:val="en-GB"/>
              </w:rPr>
              <w:t>piericidin A insensitive</w:t>
            </w:r>
          </w:p>
        </w:tc>
      </w:tr>
      <w:tr w:rsidR="002471A8" w:rsidRPr="00E97FC1" w14:paraId="48D5FDC7" w14:textId="77777777" w:rsidTr="002471A8">
        <w:trPr>
          <w:trHeight w:val="65"/>
        </w:trPr>
        <w:tc>
          <w:tcPr>
            <w:tcW w:w="528" w:type="pct"/>
          </w:tcPr>
          <w:p w14:paraId="59D4834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E67D</w:t>
            </w:r>
          </w:p>
        </w:tc>
        <w:tc>
          <w:tcPr>
            <w:tcW w:w="1301" w:type="pct"/>
            <w:vMerge/>
          </w:tcPr>
          <w:p w14:paraId="48BDD712" w14:textId="77777777" w:rsidR="002471A8" w:rsidRPr="00E97FC1" w:rsidRDefault="002471A8" w:rsidP="002471A8">
            <w:pPr>
              <w:rPr>
                <w:rFonts w:ascii="Helvetica" w:hAnsi="Helvetica" w:cs="Helvetica"/>
                <w:bCs/>
                <w:sz w:val="20"/>
                <w:szCs w:val="20"/>
                <w:lang w:val="en-GB"/>
              </w:rPr>
            </w:pPr>
          </w:p>
        </w:tc>
        <w:tc>
          <w:tcPr>
            <w:tcW w:w="715" w:type="pct"/>
          </w:tcPr>
          <w:p w14:paraId="35F0ACE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bCs/>
                <w:sz w:val="20"/>
                <w:szCs w:val="20"/>
                <w:lang w:val="en-GB"/>
              </w:rPr>
              <w:t>NA</w:t>
            </w:r>
          </w:p>
        </w:tc>
        <w:tc>
          <w:tcPr>
            <w:tcW w:w="581" w:type="pct"/>
          </w:tcPr>
          <w:p w14:paraId="6D26BC5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100%</w:t>
            </w:r>
          </w:p>
        </w:tc>
        <w:tc>
          <w:tcPr>
            <w:tcW w:w="628" w:type="pct"/>
          </w:tcPr>
          <w:p w14:paraId="021430F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78%</w:t>
            </w:r>
          </w:p>
        </w:tc>
        <w:tc>
          <w:tcPr>
            <w:tcW w:w="579" w:type="pct"/>
          </w:tcPr>
          <w:p w14:paraId="5BA6779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668" w:type="pct"/>
          </w:tcPr>
          <w:p w14:paraId="1C461D12" w14:textId="3F809454"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{"citationItems":[{"id":"ITEM-1","itemData":{"DOI":"10.1074/jbc.M602499200","ISSN":"0021-9258 (Print)","PMID":"16807239","abstract":"The NADH:ubiquinone oxidoreductase (complex I) from Escherichia coli is composed of  13 subunits called NuoA through NuoN and contains one FMN and 9 iron-sulfur clusters as redox groups. Electron transfer from NADH to ubiquinone is coupled with the translocation of protons across the membrane by a yet unknown mechanism. Redox-induced Fourier transform infrared difference spectroscopy showed that the oxidation of iron-sulfur cluster N2 located on NuoB is accompanied by the protonation of acidic amino acid(s). Here, we describe the effect of mutating the conserved acidic amino acids on NuoB. The complex was assembled in all mutants but the electron transfer activity was completely abolished in the mutants E67Q, D77N, and D94N. The complex isolated from these mutants contained N2 although in diminished amounts. The protonation of acidic amino acid(s) coupled with the oxidation of N2 was not detectable in the complex from the mutant E67Q. However, the conservative mutations E67D and D77E did not disturb the enzymatic activity, and the signals because of the protonation of acidic amino acid(s) were detectable in the E67D mutant. We discuss the possible participation of Glu(67) in a proton pathway coupled with the redox reaction of N2.","author":[{"dropping-particle":"","family":"Flemming","given":"Dirk","non-dropping-particle":"","parse-names":false,"suffix":""},{"dropping-particle":"","family":"Hellwig","given":"Petra","non-dropping-particle":"","parse-names":false,"suffix":""},{"dropping-particle":"","family":"Lepper","given":"Simone","non-dropping-particle":"","parse-names":false,"suffix":""},{"dropping-particle":"","family":"Kloer","given":"Daniel P","non-dropping-particle":"","parse-names":false,"suffix":""},{"dropping-particle":"","family":"Friedrich","given":"Thorsten","non-dropping-particle":"","parse-names":false,"suffix":""}],"container-title":"The Journal of biological chemistry","id":"ITEM-1","issue":"34","issued":{"date-parts":[["2006","8"]]},"language":"eng","page":"24781-24789","publisher-place":"United States","title":"Catalytic importance of acidic amino acids on subunit NuoB of the Escherichia coli  NADH:ubiquinone oxidoreductase (complex I).","type":"article-journal","volume":"281"},"uris":["http://www.mendeley.com/documents/?uuid=dc232cf4-23ef-483a-859f-5c48d921176a"]}],"mendeley":{"formattedCitation":"(Flemming &lt;i&gt;et al&lt;/i&gt;, 2006)","plainTextFormattedCitation":"(Flemming et al, 2006)","previouslyFormattedCitation":"(Flemming &lt;i&gt;et al&lt;/i&gt;, 2006)"},"properties":{"noteIndex":0},"schema":"https://github.com/citation-style-language/schema/raw/master/csl-citation.json"}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(Flemming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2006)</w:t>
            </w:r>
            <w:r w:rsidRPr="00E97FC1">
              <w:rPr>
                <w:rFonts w:ascii="Helvetica" w:hAnsi="Helvetica" w:cs="Helvetica"/>
                <w:b/>
                <w:bCs/>
                <w:sz w:val="16"/>
                <w:szCs w:val="16"/>
                <w:lang w:val="en-GB"/>
              </w:rPr>
              <w:fldChar w:fldCharType="end"/>
            </w:r>
            <w:r w:rsidRPr="00E97FC1">
              <w:rPr>
                <w:rFonts w:ascii="Helvetica" w:hAnsi="Helvetica" w:cs="Helvetica"/>
                <w:b/>
                <w:bCs/>
                <w:sz w:val="16"/>
                <w:szCs w:val="16"/>
                <w:lang w:val="en-GB"/>
              </w:rPr>
              <w:t xml:space="preserve">, </w:t>
            </w:r>
            <w:r w:rsidRPr="00E97FC1">
              <w:rPr>
                <w:rFonts w:ascii="Helvetica" w:hAnsi="Helvetica" w:cs="Helvetica"/>
                <w:sz w:val="16"/>
                <w:szCs w:val="16"/>
                <w:lang w:val="en-GB"/>
              </w:rPr>
              <w:t>piericidin A insensitive</w:t>
            </w:r>
          </w:p>
        </w:tc>
      </w:tr>
      <w:tr w:rsidR="002471A8" w:rsidRPr="00E97FC1" w14:paraId="12224C1E" w14:textId="77777777" w:rsidTr="002471A8">
        <w:trPr>
          <w:trHeight w:val="65"/>
        </w:trPr>
        <w:tc>
          <w:tcPr>
            <w:tcW w:w="528" w:type="pct"/>
          </w:tcPr>
          <w:p w14:paraId="547584A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D77N</w:t>
            </w:r>
          </w:p>
        </w:tc>
        <w:tc>
          <w:tcPr>
            <w:tcW w:w="1301" w:type="pct"/>
            <w:vMerge w:val="restart"/>
          </w:tcPr>
          <w:p w14:paraId="3B6EA77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NuoH interface, part of Q-cavity</w:t>
            </w:r>
          </w:p>
        </w:tc>
        <w:tc>
          <w:tcPr>
            <w:tcW w:w="715" w:type="pct"/>
          </w:tcPr>
          <w:p w14:paraId="1F1BBEA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bCs/>
                <w:sz w:val="20"/>
                <w:szCs w:val="20"/>
                <w:lang w:val="en-GB"/>
              </w:rPr>
              <w:t>NA</w:t>
            </w:r>
          </w:p>
        </w:tc>
        <w:tc>
          <w:tcPr>
            <w:tcW w:w="581" w:type="pct"/>
          </w:tcPr>
          <w:p w14:paraId="066CC8A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78%</w:t>
            </w:r>
          </w:p>
        </w:tc>
        <w:tc>
          <w:tcPr>
            <w:tcW w:w="628" w:type="pct"/>
          </w:tcPr>
          <w:p w14:paraId="165AA84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12%</w:t>
            </w:r>
          </w:p>
        </w:tc>
        <w:tc>
          <w:tcPr>
            <w:tcW w:w="579" w:type="pct"/>
          </w:tcPr>
          <w:p w14:paraId="2EF67E11"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668" w:type="pct"/>
          </w:tcPr>
          <w:p w14:paraId="414F1696" w14:textId="4441E014"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{"citationItems":[{"id":"ITEM-1","itemData":{"DOI":"10.1074/jbc.M602499200","ISSN":"0021-9258 (Print)","PMID":"16807239","abstract":"The NADH:ubiquinone oxidoreductase (complex I) from Escherichia coli is composed of  13 subunits called NuoA through NuoN and contains one FMN and 9 iron-sulfur clusters as redox groups. Electron transfer from NADH to ubiquinone is coupled with the translocation of protons across the membrane by a yet unknown mechanism. Redox-induced Fourier transform infrared difference spectroscopy showed that the oxidation of iron-sulfur cluster N2 located on NuoB is accompanied by the protonation of acidic amino acid(s). Here, we describe the effect of mutating the conserved acidic amino acids on NuoB. The complex was assembled in all mutants but the electron transfer activity was completely abolished in the mutants E67Q, D77N, and D94N. The complex isolated from these mutants contained N2 although in diminished amounts. The protonation of acidic amino acid(s) coupled with the oxidation of N2 was not detectable in the complex from the mutant E67Q. However, the conservative mutations E67D and D77E did not disturb the enzymatic activity, and the signals because of the protonation of acidic amino acid(s) were detectable in the E67D mutant. We discuss the possible participation of Glu(67) in a proton pathway coupled with the redox reaction of N2.","author":[{"dropping-particle":"","family":"Flemming","given":"Dirk","non-dropping-particle":"","parse-names":false,"suffix":""},{"dropping-particle":"","family":"Hellwig","given":"Petra","non-dropping-particle":"","parse-names":false,"suffix":""},{"dropping-particle":"","family":"Lepper","given":"Simone","non-dropping-particle":"","parse-names":false,"suffix":""},{"dropping-particle":"","family":"Kloer","given":"Daniel P","non-dropping-particle":"","parse-names":false,"suffix":""},{"dropping-particle":"","family":"Friedrich","given":"Thorsten","non-dropping-particle":"","parse-names":false,"suffix":""}],"container-title":"The Journal of biological chemistry","id":"ITEM-1","issue":"34","issued":{"date-parts":[["2006","8"]]},"language":"eng","page":"24781-24789","publisher-place":"United States","title":"Catalytic importance of acidic amino acids on subunit NuoB of the Escherichia coli  NADH:ubiquinone oxidoreductase (complex I).","type":"article-journal","volume":"281"},"uris":["http://www.mendeley.com/documents/?uuid=dc232cf4-23ef-483a-859f-5c48d921176a"]}],"mendeley":{"formattedCitation":"(Flemming &lt;i&gt;et al&lt;/i&gt;, 2006)","plainTextFormattedCitation":"(Flemming et al, 2006)","previouslyFormattedCitation":"(Flemming &lt;i&gt;et al&lt;/i&gt;, 2006)"},"properties":{"noteIndex":0},"schema":"https://github.com/citation-style-language/schema/raw/master/csl-citation.json"}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(Flemming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2006)</w:t>
            </w:r>
            <w:r w:rsidRPr="00E97FC1">
              <w:rPr>
                <w:rFonts w:ascii="Helvetica" w:hAnsi="Helvetica" w:cs="Helvetica"/>
                <w:b/>
                <w:bCs/>
                <w:sz w:val="16"/>
                <w:szCs w:val="16"/>
                <w:lang w:val="en-GB"/>
              </w:rPr>
              <w:fldChar w:fldCharType="end"/>
            </w:r>
            <w:r w:rsidRPr="00E97FC1">
              <w:rPr>
                <w:rFonts w:ascii="Helvetica" w:hAnsi="Helvetica" w:cs="Helvetica"/>
                <w:b/>
                <w:bCs/>
                <w:sz w:val="16"/>
                <w:szCs w:val="16"/>
                <w:lang w:val="en-GB"/>
              </w:rPr>
              <w:t xml:space="preserve">, </w:t>
            </w:r>
            <w:r w:rsidRPr="00E97FC1">
              <w:rPr>
                <w:rFonts w:ascii="Helvetica" w:hAnsi="Helvetica" w:cs="Helvetica"/>
                <w:sz w:val="16"/>
                <w:szCs w:val="16"/>
                <w:lang w:val="en-GB"/>
              </w:rPr>
              <w:t>piericidin A insensitive</w:t>
            </w:r>
          </w:p>
        </w:tc>
      </w:tr>
      <w:tr w:rsidR="002471A8" w:rsidRPr="00E97FC1" w14:paraId="4F8C827A" w14:textId="77777777" w:rsidTr="002471A8">
        <w:trPr>
          <w:trHeight w:val="65"/>
        </w:trPr>
        <w:tc>
          <w:tcPr>
            <w:tcW w:w="528" w:type="pct"/>
          </w:tcPr>
          <w:p w14:paraId="48CEC34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D77E</w:t>
            </w:r>
          </w:p>
        </w:tc>
        <w:tc>
          <w:tcPr>
            <w:tcW w:w="1301" w:type="pct"/>
            <w:vMerge/>
          </w:tcPr>
          <w:p w14:paraId="3F269DB0" w14:textId="77777777" w:rsidR="002471A8" w:rsidRPr="00E97FC1" w:rsidRDefault="002471A8" w:rsidP="002471A8">
            <w:pPr>
              <w:rPr>
                <w:rFonts w:ascii="Helvetica" w:hAnsi="Helvetica" w:cs="Helvetica"/>
                <w:bCs/>
                <w:sz w:val="20"/>
                <w:szCs w:val="20"/>
                <w:lang w:val="en-GB"/>
              </w:rPr>
            </w:pPr>
          </w:p>
        </w:tc>
        <w:tc>
          <w:tcPr>
            <w:tcW w:w="715" w:type="pct"/>
          </w:tcPr>
          <w:p w14:paraId="477C3E6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bCs/>
                <w:sz w:val="20"/>
                <w:szCs w:val="20"/>
                <w:lang w:val="en-GB"/>
              </w:rPr>
              <w:t>NA</w:t>
            </w:r>
          </w:p>
        </w:tc>
        <w:tc>
          <w:tcPr>
            <w:tcW w:w="581" w:type="pct"/>
          </w:tcPr>
          <w:p w14:paraId="0473E57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78%</w:t>
            </w:r>
          </w:p>
        </w:tc>
        <w:tc>
          <w:tcPr>
            <w:tcW w:w="628" w:type="pct"/>
          </w:tcPr>
          <w:p w14:paraId="6D36E87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54%</w:t>
            </w:r>
          </w:p>
        </w:tc>
        <w:tc>
          <w:tcPr>
            <w:tcW w:w="579" w:type="pct"/>
          </w:tcPr>
          <w:p w14:paraId="6E80D5B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668" w:type="pct"/>
          </w:tcPr>
          <w:p w14:paraId="5F9418E9" w14:textId="19961B0F"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{"citationItems":[{"id":"ITEM-1","itemData":{"DOI":"10.1074/jbc.M602499200","ISSN":"0021-9258 (Print)","PMID":"16807239","abstract":"The NADH:ubiquinone oxidoreductase (complex I) from Escherichia coli is composed of  13 subunits called NuoA through NuoN and contains one FMN and 9 iron-sulfur clusters as redox groups. Electron transfer from NADH to ubiquinone is coupled with the translocation of protons across the membrane by a yet unknown mechanism. Redox-induced Fourier transform infrared difference spectroscopy showed that the oxidation of iron-sulfur cluster N2 located on NuoB is accompanied by the protonation of acidic amino acid(s). Here, we describe the effect of mutating the conserved acidic amino acids on NuoB. The complex was assembled in all mutants but the electron transfer activity was completely abolished in the mutants E67Q, D77N, and D94N. The complex isolated from these mutants contained N2 although in diminished amounts. The protonation of acidic amino acid(s) coupled with the oxidation of N2 was not detectable in the complex from the mutant E67Q. However, the conservative mutations E67D and D77E did not disturb the enzymatic activity, and the signals because of the protonation of acidic amino acid(s) were detectable in the E67D mutant. We discuss the possible participation of Glu(67) in a proton pathway coupled with the redox reaction of N2.","author":[{"dropping-particle":"","family":"Flemming","given":"Dirk","non-dropping-particle":"","parse-names":false,"suffix":""},{"dropping-particle":"","family":"Hellwig","given":"Petra","non-dropping-particle":"","parse-names":false,"suffix":""},{"dropping-particle":"","family":"Lepper","given":"Simone","non-dropping-particle":"","parse-names":false,"suffix":""},{"dropping-particle":"","family":"Kloer","given":"Daniel P","non-dropping-particle":"","parse-names":false,"suffix":""},{"dropping-particle":"","family":"Friedrich","given":"Thorsten","non-dropping-particle":"","parse-names":false,"suffix":""}],"container-title":"The Journal of biological chemistry","id":"ITEM-1","issue":"34","issued":{"date-parts":[["2006","8"]]},"language":"eng","page":"24781-24789","publisher-place":"United States","title":"Catalytic importance of acidic amino acids on subunit NuoB of the Escherichia coli  NADH:ubiquinone oxidoreductase (complex I).","type":"article-journal","volume":"281"},"uris":["http://www.mendeley.com/documents/?uuid=dc232cf4-23ef-483a-859f-5c48d921176a"]}],"mendeley":{"formattedCitation":"(Flemming &lt;i&gt;et al&lt;/i&gt;, 2006)","plainTextFormattedCitation":"(Flemming et al, 2006)","previouslyFormattedCitation":"(Flemming &lt;i&gt;et al&lt;/i&gt;, 2006)"},"properties":{"noteIndex":0},"schema":"https://github.com/citation-style-language/schema/raw/master/csl-citation.json"}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(Flemming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2006)</w:t>
            </w:r>
            <w:r w:rsidRPr="00E97FC1">
              <w:rPr>
                <w:rFonts w:ascii="Helvetica" w:hAnsi="Helvetica" w:cs="Helvetica"/>
                <w:b/>
                <w:bCs/>
                <w:sz w:val="16"/>
                <w:szCs w:val="16"/>
                <w:lang w:val="en-GB"/>
              </w:rPr>
              <w:fldChar w:fldCharType="end"/>
            </w:r>
          </w:p>
        </w:tc>
      </w:tr>
      <w:tr w:rsidR="002471A8" w:rsidRPr="00E97FC1" w14:paraId="66917E3C" w14:textId="77777777" w:rsidTr="002471A8">
        <w:trPr>
          <w:trHeight w:val="65"/>
        </w:trPr>
        <w:tc>
          <w:tcPr>
            <w:tcW w:w="528" w:type="pct"/>
          </w:tcPr>
          <w:p w14:paraId="5C76685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D94N</w:t>
            </w:r>
          </w:p>
        </w:tc>
        <w:tc>
          <w:tcPr>
            <w:tcW w:w="1301" w:type="pct"/>
            <w:vMerge w:val="restart"/>
          </w:tcPr>
          <w:p w14:paraId="458EED7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NuoH interface, part of Q-cavity</w:t>
            </w:r>
          </w:p>
        </w:tc>
        <w:tc>
          <w:tcPr>
            <w:tcW w:w="715" w:type="pct"/>
          </w:tcPr>
          <w:p w14:paraId="17399A3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bCs/>
                <w:sz w:val="20"/>
                <w:szCs w:val="20"/>
                <w:lang w:val="en-GB"/>
              </w:rPr>
              <w:t>NA</w:t>
            </w:r>
          </w:p>
        </w:tc>
        <w:tc>
          <w:tcPr>
            <w:tcW w:w="581" w:type="pct"/>
          </w:tcPr>
          <w:p w14:paraId="17DF2174"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78%</w:t>
            </w:r>
          </w:p>
        </w:tc>
        <w:tc>
          <w:tcPr>
            <w:tcW w:w="628" w:type="pct"/>
          </w:tcPr>
          <w:p w14:paraId="66132C5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12%</w:t>
            </w:r>
          </w:p>
        </w:tc>
        <w:tc>
          <w:tcPr>
            <w:tcW w:w="579" w:type="pct"/>
          </w:tcPr>
          <w:p w14:paraId="0897FCB7"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668" w:type="pct"/>
          </w:tcPr>
          <w:p w14:paraId="49C6B16D" w14:textId="75C1219D"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{"citationItems":[{"id":"ITEM-1","itemData":{"DOI":"10.1074/jbc.M602499200","ISSN":"0021-9258 (Print)","PMID":"16807239","abstract":"The NADH:ubiquinone oxidoreductase (complex I) from Escherichia coli is composed of  13 subunits called NuoA through NuoN and contains one FMN and 9 iron-sulfur clusters as redox groups. Electron transfer from NADH to ubiquinone is coupled with the translocation of protons across the membrane by a yet unknown mechanism. Redox-induced Fourier transform infrared difference spectroscopy showed that the oxidation of iron-sulfur cluster N2 located on NuoB is accompanied by the protonation of acidic amino acid(s). Here, we describe the effect of mutating the conserved acidic amino acids on NuoB. The complex was assembled in all mutants but the electron transfer activity was completely abolished in the mutants E67Q, D77N, and D94N. The complex isolated from these mutants contained N2 although in diminished amounts. The protonation of acidic amino acid(s) coupled with the oxidation of N2 was not detectable in the complex from the mutant E67Q. However, the conservative mutations E67D and D77E did not disturb the enzymatic activity, and the signals because of the protonation of acidic amino acid(s) were detectable in the E67D mutant. We discuss the possible participation of Glu(67) in a proton pathway coupled with the redox reaction of N2.","author":[{"dropping-particle":"","family":"Flemming","given":"Dirk","non-dropping-particle":"","parse-names":false,"suffix":""},{"dropping-particle":"","family":"Hellwig","given":"Petra","non-dropping-particle":"","parse-names":false,"suffix":""},{"dropping-particle":"","family":"Lepper","given":"Simone","non-dropping-particle":"","parse-names":false,"suffix":""},{"dropping-particle":"","family":"Kloer","given":"Daniel P","non-dropping-particle":"","parse-names":false,"suffix":""},{"dropping-particle":"","family":"Friedrich","given":"Thorsten","non-dropping-particle":"","parse-names":false,"suffix":""}],"container-title":"The Journal of biological chemistry","id":"ITEM-1","issue":"34","issued":{"date-parts":[["2006","8"]]},"language":"eng","page":"24781-24789","publisher-place":"United States","title":"Catalytic importance of acidic amino acids on subunit NuoB of the Escherichia coli  NADH:ubiquinone oxidoreductase (complex I).","type":"article-journal","volume":"281"},"uris":["http://www.mendeley.com/documents/?uuid=dc232cf4-23ef-483a-859f-5c48d921176a"]}],"mendeley":{"formattedCitation":"(Flemming &lt;i&gt;et al&lt;/i&gt;, 2006)","plainTextFormattedCitation":"(Flemming et al, 2006)","previouslyFormattedCitation":"(Flemming &lt;i&gt;et al&lt;/i&gt;, 2006)"},"properties":{"noteIndex":0},"schema":"https://github.com/citation-style-language/schema/raw/master/csl-citation.json"}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(Flemming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2006)</w:t>
            </w:r>
            <w:r w:rsidRPr="00E97FC1">
              <w:rPr>
                <w:rFonts w:ascii="Helvetica" w:hAnsi="Helvetica" w:cs="Helvetica"/>
                <w:b/>
                <w:bCs/>
                <w:sz w:val="16"/>
                <w:szCs w:val="16"/>
                <w:lang w:val="en-GB"/>
              </w:rPr>
              <w:fldChar w:fldCharType="end"/>
            </w:r>
          </w:p>
        </w:tc>
      </w:tr>
      <w:tr w:rsidR="002471A8" w:rsidRPr="00E97FC1" w14:paraId="149454EB" w14:textId="77777777" w:rsidTr="002471A8">
        <w:trPr>
          <w:trHeight w:val="65"/>
        </w:trPr>
        <w:tc>
          <w:tcPr>
            <w:tcW w:w="528" w:type="pct"/>
          </w:tcPr>
          <w:p w14:paraId="76A4A34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D94E</w:t>
            </w:r>
          </w:p>
        </w:tc>
        <w:tc>
          <w:tcPr>
            <w:tcW w:w="1301" w:type="pct"/>
            <w:vMerge/>
          </w:tcPr>
          <w:p w14:paraId="2517DE30" w14:textId="77777777" w:rsidR="002471A8" w:rsidRPr="00E97FC1" w:rsidRDefault="002471A8" w:rsidP="002471A8">
            <w:pPr>
              <w:rPr>
                <w:rFonts w:ascii="Helvetica" w:hAnsi="Helvetica" w:cs="Helvetica"/>
                <w:bCs/>
                <w:sz w:val="20"/>
                <w:szCs w:val="20"/>
                <w:lang w:val="en-GB"/>
              </w:rPr>
            </w:pPr>
          </w:p>
        </w:tc>
        <w:tc>
          <w:tcPr>
            <w:tcW w:w="715" w:type="pct"/>
          </w:tcPr>
          <w:p w14:paraId="1FB3AEB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bCs/>
                <w:sz w:val="20"/>
                <w:szCs w:val="20"/>
                <w:lang w:val="en-GB"/>
              </w:rPr>
              <w:t>NA</w:t>
            </w:r>
          </w:p>
        </w:tc>
        <w:tc>
          <w:tcPr>
            <w:tcW w:w="581" w:type="pct"/>
          </w:tcPr>
          <w:p w14:paraId="4B4306D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89%</w:t>
            </w:r>
          </w:p>
        </w:tc>
        <w:tc>
          <w:tcPr>
            <w:tcW w:w="628" w:type="pct"/>
          </w:tcPr>
          <w:p w14:paraId="656B185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83%</w:t>
            </w:r>
          </w:p>
        </w:tc>
        <w:tc>
          <w:tcPr>
            <w:tcW w:w="579" w:type="pct"/>
          </w:tcPr>
          <w:p w14:paraId="58918317"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668" w:type="pct"/>
          </w:tcPr>
          <w:p w14:paraId="615F001D" w14:textId="7C78A6D5"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{"citationItems":[{"id":"ITEM-1","itemData":{"DOI":"10.1074/jbc.M602499200","ISSN":"0021-9258 (Print)","PMID":"16807239","abstract":"The NADH:ubiquinone oxidoreductase (complex I) from Escherichia coli is composed of  13 subunits called NuoA through NuoN and contains one FMN and 9 iron-sulfur clusters as redox groups. Electron transfer from NADH to ubiquinone is coupled with the translocation of protons across the membrane by a yet unknown mechanism. Redox-induced Fourier transform infrared difference spectroscopy showed that the oxidation of iron-sulfur cluster N2 located on NuoB is accompanied by the protonation of acidic amino acid(s). Here, we describe the effect of mutating the conserved acidic amino acids on NuoB. The complex was assembled in all mutants but the electron transfer activity was completely abolished in the mutants E67Q, D77N, and D94N. The complex isolated from these mutants contained N2 although in diminished amounts. The protonation of acidic amino acid(s) coupled with the oxidation of N2 was not detectable in the complex from the mutant E67Q. However, the conservative mutations E67D and D77E did not disturb the enzymatic activity, and the signals because of the protonation of acidic amino acid(s) were detectable in the E67D mutant. We discuss the possible participation of Glu(67) in a proton pathway coupled with the redox reaction of N2.","author":[{"dropping-particle":"","family":"Flemming","given":"Dirk","non-dropping-particle":"","parse-names":false,"suffix":""},{"dropping-particle":"","family":"Hellwig","given":"Petra","non-dropping-particle":"","parse-names":false,"suffix":""},{"dropping-particle":"","family":"Lepper","given":"Simone","non-dropping-particle":"","parse-names":false,"suffix":""},{"dropping-particle":"","family":"Kloer","given":"Daniel P","non-dropping-particle":"","parse-names":false,"suffix":""},{"dropping-particle":"","family":"Friedrich","given":"Thorsten","non-dropping-particle":"","parse-names":false,"suffix":""}],"container-title":"The Journal of biological chemistry","id":"ITEM-1","issue":"34","issued":{"date-parts":[["2006","8"]]},"language":"eng","page":"24781-24789","publisher-place":"United States","title":"Catalytic importance of acidic amino acids on subunit NuoB of the Escherichia coli  NADH:ubiquinone oxidoreductase (complex I).","type":"article-journal","volume":"281"},"uris":["http://www.mendeley.com/documents/?uuid=dc232cf4-23ef-483a-859f-5c48d921176a"]}],"mendeley":{"formattedCitation":"(Flemming &lt;i&gt;et al&lt;/i&gt;, 2006)","plainTextFormattedCitation":"(Flemming et al, 2006)","previouslyFormattedCitation":"(Flemming &lt;i&gt;et al&lt;/i&gt;, 2006)"},"properties":{"noteIndex":0},"schema":"https://github.com/citation-style-language/schema/raw/master/csl-citation.json"}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(Flemming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2006)</w:t>
            </w:r>
            <w:r w:rsidRPr="00E97FC1">
              <w:rPr>
                <w:rFonts w:ascii="Helvetica" w:hAnsi="Helvetica" w:cs="Helvetica"/>
                <w:b/>
                <w:bCs/>
                <w:sz w:val="16"/>
                <w:szCs w:val="20"/>
                <w:lang w:val="en-GB"/>
              </w:rPr>
              <w:fldChar w:fldCharType="end"/>
            </w:r>
          </w:p>
        </w:tc>
      </w:tr>
      <w:tr w:rsidR="002471A8" w:rsidRPr="00E97FC1" w14:paraId="649CD50F" w14:textId="77777777" w:rsidTr="002471A8">
        <w:trPr>
          <w:trHeight w:val="65"/>
        </w:trPr>
        <w:tc>
          <w:tcPr>
            <w:tcW w:w="528" w:type="pct"/>
          </w:tcPr>
          <w:p w14:paraId="198A82E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lastRenderedPageBreak/>
              <w:t>Y114C</w:t>
            </w:r>
          </w:p>
        </w:tc>
        <w:tc>
          <w:tcPr>
            <w:tcW w:w="1301" w:type="pct"/>
            <w:vMerge w:val="restart"/>
          </w:tcPr>
          <w:p w14:paraId="71CDA9D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bCs/>
                <w:sz w:val="20"/>
                <w:lang w:val="en-GB"/>
              </w:rPr>
              <w:t>Intersubunit interface</w:t>
            </w:r>
          </w:p>
        </w:tc>
        <w:tc>
          <w:tcPr>
            <w:tcW w:w="715" w:type="pct"/>
          </w:tcPr>
          <w:p w14:paraId="79F9A4F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581" w:type="pct"/>
          </w:tcPr>
          <w:p w14:paraId="7939E440"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80%</w:t>
            </w:r>
          </w:p>
        </w:tc>
        <w:tc>
          <w:tcPr>
            <w:tcW w:w="628" w:type="pct"/>
          </w:tcPr>
          <w:p w14:paraId="3CF673B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100%</w:t>
            </w:r>
          </w:p>
        </w:tc>
        <w:tc>
          <w:tcPr>
            <w:tcW w:w="579" w:type="pct"/>
          </w:tcPr>
          <w:p w14:paraId="55C144A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668" w:type="pct"/>
          </w:tcPr>
          <w:p w14:paraId="7273EECB" w14:textId="052D5D73"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{"citationItems":[{"id":"ITEM-1","itemData":{"DOI":"10.1074/jbc.M208849200","ISSN":"0021-9258 (Print)","PMID":"12446673","abstract":"The proton-pumping NADH:ubiquinone oxidoreductase (complex I) couples the transfer  of electrons from NADH to ubiquinone with the translocation of protons across the membrane. Electron transfer is accomplished by FMN and a series of iron-sulfur clusters. Its coupling with proton translocation is not yet understood. Here, we report that the redox reaction of the FeS cluster N2 located on subunit NuoB of the Escherichia coli complex I induces a protonation/deprotonation of tyrosine side chains. Electrochemically induced FT-IR difference spectra revealed characteristic tyrosine signals at 1,515 and 1,498 cm(-1) for the protonated and deprotonated form, respectively. Mutants of three conserved tyrosines on NuoB were generated by complementing a chromosomal in-frame deletion strain with nuoB on a plasmid. Though the single mutations did not alter the electron transport activity of complex I, the EPR signal of cluster N2 was slightly shifted. The tyrosine signals detected by FT-IR spectroscopy were roughly halved in the mutants Y114C and Y139C while only minor changes were detected in the Y154H mutant. The enzymatic activity of the Y114C/Y139F double mutant was 80% reduced, and FT-IR difference spectra of the double mutant revealed a complete loss the modes characteristic for protonation reactions of tyrosines. Therefore, we propose that tyrosines 114 and 139 on NuoB were protonated upon reduction of cluster N2 and were thus involved in the proton-transfer reaction coupled with its redox reaction.","author":[{"dropping-particle":"","family":"Flemming","given":"Dirk","non-dropping-particle":"","parse-names":false,"suffix":""},{"dropping-particle":"","family":"Hellwig","given":"Petra","non-dropping-particle":"","parse-names":false,"suffix":""},{"dropping-particle":"","family":"Friedrich","given":"Thorsten","non-dropping-particle":"","parse-names":false,"suffix":""}],"container-title":"The Journal of biological chemistry","id":"ITEM-1","issue":"5","issued":{"date-parts":[["2003","1"]]},"language":"eng","page":"3055-3062","publisher-place":"United States","title":"Involvement of tyrosines 114 and 139 of subunit NuoB in the proton pathway around  cluster N2 in Escherichia coli NADH:ubiquinone oxidoreductase.","type":"article-journal","volume":"278"},"uris":["http://www.mendeley.com/documents/?uuid=27b1db19-d979-4e31-b0a8-8aa53318f817"]}],"mendeley":{"formattedCitation":"(Flemming &lt;i&gt;et al&lt;/i&gt;, 2003)","plainTextFormattedCitation":"(Flemming et al, 2003)","previouslyFormattedCitation":"(Flemming &lt;i&gt;et al&lt;/i&gt;, 2003)"},"properties":{"noteIndex":0},"schema":"https://github.com/citation-style-language/schema/raw/master/csl-citation.json"}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(Flemming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2003)</w:t>
            </w:r>
            <w:r w:rsidRPr="00E97FC1">
              <w:rPr>
                <w:rFonts w:ascii="Helvetica" w:hAnsi="Helvetica" w:cs="Helvetica"/>
                <w:b/>
                <w:bCs/>
                <w:sz w:val="16"/>
                <w:szCs w:val="20"/>
                <w:lang w:val="en-GB"/>
              </w:rPr>
              <w:fldChar w:fldCharType="end"/>
            </w:r>
          </w:p>
        </w:tc>
      </w:tr>
      <w:tr w:rsidR="002471A8" w:rsidRPr="00E97FC1" w14:paraId="798D1DA5" w14:textId="77777777" w:rsidTr="002471A8">
        <w:trPr>
          <w:trHeight w:val="65"/>
        </w:trPr>
        <w:tc>
          <w:tcPr>
            <w:tcW w:w="528" w:type="pct"/>
          </w:tcPr>
          <w:p w14:paraId="6FA68F4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D115N</w:t>
            </w:r>
          </w:p>
        </w:tc>
        <w:tc>
          <w:tcPr>
            <w:tcW w:w="1301" w:type="pct"/>
            <w:vMerge/>
          </w:tcPr>
          <w:p w14:paraId="63D31657" w14:textId="77777777" w:rsidR="002471A8" w:rsidRPr="00E97FC1" w:rsidRDefault="002471A8" w:rsidP="002471A8">
            <w:pPr>
              <w:rPr>
                <w:rFonts w:ascii="Helvetica" w:hAnsi="Helvetica" w:cs="Helvetica"/>
                <w:bCs/>
                <w:sz w:val="20"/>
                <w:szCs w:val="20"/>
                <w:lang w:val="en-GB"/>
              </w:rPr>
            </w:pPr>
          </w:p>
        </w:tc>
        <w:tc>
          <w:tcPr>
            <w:tcW w:w="715" w:type="pct"/>
          </w:tcPr>
          <w:p w14:paraId="340D048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bCs/>
                <w:sz w:val="20"/>
                <w:szCs w:val="20"/>
                <w:lang w:val="en-GB"/>
              </w:rPr>
              <w:t>NA</w:t>
            </w:r>
          </w:p>
        </w:tc>
        <w:tc>
          <w:tcPr>
            <w:tcW w:w="581" w:type="pct"/>
          </w:tcPr>
          <w:p w14:paraId="7272E78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78%</w:t>
            </w:r>
          </w:p>
        </w:tc>
        <w:tc>
          <w:tcPr>
            <w:tcW w:w="628" w:type="pct"/>
          </w:tcPr>
          <w:p w14:paraId="3D2A4E3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45%</w:t>
            </w:r>
          </w:p>
        </w:tc>
        <w:tc>
          <w:tcPr>
            <w:tcW w:w="579" w:type="pct"/>
          </w:tcPr>
          <w:p w14:paraId="1B0751C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668" w:type="pct"/>
          </w:tcPr>
          <w:p w14:paraId="02D9D355" w14:textId="02B4DAF0"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{"citationItems":[{"id":"ITEM-1","itemData":{"DOI":"10.1074/jbc.M602499200","ISSN":"0021-9258 (Print)","PMID":"16807239","abstract":"The NADH:ubiquinone oxidoreductase (complex I) from Escherichia coli is composed of  13 subunits called NuoA through NuoN and contains one FMN and 9 iron-sulfur clusters as redox groups. Electron transfer from NADH to ubiquinone is coupled with the translocation of protons across the membrane by a yet unknown mechanism. Redox-induced Fourier transform infrared difference spectroscopy showed that the oxidation of iron-sulfur cluster N2 located on NuoB is accompanied by the protonation of acidic amino acid(s). Here, we describe the effect of mutating the conserved acidic amino acids on NuoB. The complex was assembled in all mutants but the electron transfer activity was completely abolished in the mutants E67Q, D77N, and D94N. The complex isolated from these mutants contained N2 although in diminished amounts. The protonation of acidic amino acid(s) coupled with the oxidation of N2 was not detectable in the complex from the mutant E67Q. However, the conservative mutations E67D and D77E did not disturb the enzymatic activity, and the signals because of the protonation of acidic amino acid(s) were detectable in the E67D mutant. We discuss the possible participation of Glu(67) in a proton pathway coupled with the redox reaction of N2.","author":[{"dropping-particle":"","family":"Flemming","given":"Dirk","non-dropping-particle":"","parse-names":false,"suffix":""},{"dropping-particle":"","family":"Hellwig","given":"Petra","non-dropping-particle":"","parse-names":false,"suffix":""},{"dropping-particle":"","family":"Lepper","given":"Simone","non-dropping-particle":"","parse-names":false,"suffix":""},{"dropping-particle":"","family":"Kloer","given":"Daniel P","non-dropping-particle":"","parse-names":false,"suffix":""},{"dropping-particle":"","family":"Friedrich","given":"Thorsten","non-dropping-particle":"","parse-names":false,"suffix":""}],"container-title":"The Journal of biological chemistry","id":"ITEM-1","issue":"34","issued":{"date-parts":[["2006","8"]]},"language":"eng","page":"24781-24789","publisher-place":"United States","title":"Catalytic importance of acidic amino acids on subunit NuoB of the Escherichia coli  NADH:ubiquinone oxidoreductase (complex I).","type":"article-journal","volume":"281"},"uris":["http://www.mendeley.com/documents/?uuid=dc232cf4-23ef-483a-859f-5c48d921176a"]}],"mendeley":{"formattedCitation":"(Flemming &lt;i&gt;et al&lt;/i&gt;, 2006)","plainTextFormattedCitation":"(Flemming et al, 2006)","previouslyFormattedCitation":"(Flemming &lt;i&gt;et al&lt;/i&gt;, 2006)"},"properties":{"noteIndex":0},"schema":"https://github.com/citation-style-language/schema/raw/master/csl-citation.json"}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(Flemming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2006)</w:t>
            </w:r>
            <w:r w:rsidRPr="00E97FC1">
              <w:rPr>
                <w:rFonts w:ascii="Helvetica" w:hAnsi="Helvetica" w:cs="Helvetica"/>
                <w:b/>
                <w:bCs/>
                <w:sz w:val="16"/>
                <w:szCs w:val="20"/>
                <w:lang w:val="en-GB"/>
              </w:rPr>
              <w:fldChar w:fldCharType="end"/>
            </w:r>
          </w:p>
        </w:tc>
      </w:tr>
      <w:tr w:rsidR="002471A8" w:rsidRPr="00E97FC1" w14:paraId="2904E85D" w14:textId="77777777" w:rsidTr="002471A8">
        <w:trPr>
          <w:trHeight w:val="65"/>
        </w:trPr>
        <w:tc>
          <w:tcPr>
            <w:tcW w:w="528" w:type="pct"/>
          </w:tcPr>
          <w:p w14:paraId="35B744D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Y114C/</w:t>
            </w:r>
          </w:p>
          <w:p w14:paraId="52D9E83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Y139F</w:t>
            </w:r>
          </w:p>
        </w:tc>
        <w:tc>
          <w:tcPr>
            <w:tcW w:w="1301" w:type="pct"/>
          </w:tcPr>
          <w:p w14:paraId="0CAE7195" w14:textId="77777777" w:rsidR="002471A8" w:rsidRPr="00E97FC1" w:rsidRDefault="002471A8" w:rsidP="002471A8">
            <w:pPr>
              <w:rPr>
                <w:rFonts w:ascii="Helvetica" w:hAnsi="Helvetica" w:cs="Helvetica"/>
                <w:sz w:val="20"/>
                <w:szCs w:val="20"/>
                <w:lang w:val="en-GB"/>
              </w:rPr>
            </w:pPr>
          </w:p>
        </w:tc>
        <w:tc>
          <w:tcPr>
            <w:tcW w:w="715" w:type="pct"/>
          </w:tcPr>
          <w:p w14:paraId="1B480E5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581" w:type="pct"/>
          </w:tcPr>
          <w:p w14:paraId="3659DAD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50%</w:t>
            </w:r>
          </w:p>
        </w:tc>
        <w:tc>
          <w:tcPr>
            <w:tcW w:w="628" w:type="pct"/>
          </w:tcPr>
          <w:p w14:paraId="302D6AC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20%</w:t>
            </w:r>
          </w:p>
        </w:tc>
        <w:tc>
          <w:tcPr>
            <w:tcW w:w="579" w:type="pct"/>
          </w:tcPr>
          <w:p w14:paraId="5965699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668" w:type="pct"/>
          </w:tcPr>
          <w:p w14:paraId="2290D33F" w14:textId="625EADDB"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{"citationItems":[{"id":"ITEM-1","itemData":{"DOI":"10.1074/jbc.M208849200","ISSN":"0021-9258 (Print)","PMID":"12446673","abstract":"The proton-pumping NADH:ubiquinone oxidoreductase (complex I) couples the transfer  of electrons from NADH to ubiquinone with the translocation of protons across the membrane. Electron transfer is accomplished by FMN and a series of iron-sulfur clusters. Its coupling with proton translocation is not yet understood. Here, we report that the redox reaction of the FeS cluster N2 located on subunit NuoB of the Escherichia coli complex I induces a protonation/deprotonation of tyrosine side chains. Electrochemically induced FT-IR difference spectra revealed characteristic tyrosine signals at 1,515 and 1,498 cm(-1) for the protonated and deprotonated form, respectively. Mutants of three conserved tyrosines on NuoB were generated by complementing a chromosomal in-frame deletion strain with nuoB on a plasmid. Though the single mutations did not alter the electron transport activity of complex I, the EPR signal of cluster N2 was slightly shifted. The tyrosine signals detected by FT-IR spectroscopy were roughly halved in the mutants Y114C and Y139C while only minor changes were detected in the Y154H mutant. The enzymatic activity of the Y114C/Y139F double mutant was 80% reduced, and FT-IR difference spectra of the double mutant revealed a complete loss the modes characteristic for protonation reactions of tyrosines. Therefore, we propose that tyrosines 114 and 139 on NuoB were protonated upon reduction of cluster N2 and were thus involved in the proton-transfer reaction coupled with its redox reaction.","author":[{"dropping-particle":"","family":"Flemming","given":"Dirk","non-dropping-particle":"","parse-names":false,"suffix":""},{"dropping-particle":"","family":"Hellwig","given":"Petra","non-dropping-particle":"","parse-names":false,"suffix":""},{"dropping-particle":"","family":"Friedrich","given":"Thorsten","non-dropping-particle":"","parse-names":false,"suffix":""}],"container-title":"The Journal of biological chemistry","id":"ITEM-1","issue":"5","issued":{"date-parts":[["2003","1"]]},"language":"eng","page":"3055-3062","publisher-place":"United States","title":"Involvement of tyrosines 114 and 139 of subunit NuoB in the proton pathway around  cluster N2 in Escherichia coli NADH:ubiquinone oxidoreductase.","type":"article-journal","volume":"278"},"uris":["http://www.mendeley.com/documents/?uuid=27b1db19-d979-4e31-b0a8-8aa53318f817"]}],"mendeley":{"formattedCitation":"(Flemming &lt;i&gt;et al&lt;/i&gt;, 2003)","plainTextFormattedCitation":"(Flemming et al, 2003)","previouslyFormattedCitation":"(Flemming &lt;i&gt;et al&lt;/i&gt;, 2003)"},"properties":{"noteIndex":0},"schema":"https://github.com/citation-style-language/schema/raw/master/csl-citation.json"}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(Flemming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2003)</w:t>
            </w:r>
            <w:r w:rsidRPr="00E97FC1">
              <w:rPr>
                <w:rFonts w:ascii="Helvetica" w:hAnsi="Helvetica" w:cs="Helvetica"/>
                <w:b/>
                <w:bCs/>
                <w:sz w:val="16"/>
                <w:szCs w:val="20"/>
                <w:lang w:val="en-GB"/>
              </w:rPr>
              <w:fldChar w:fldCharType="end"/>
            </w:r>
          </w:p>
        </w:tc>
      </w:tr>
      <w:tr w:rsidR="002471A8" w:rsidRPr="00E97FC1" w14:paraId="106985AD" w14:textId="77777777" w:rsidTr="002471A8">
        <w:trPr>
          <w:trHeight w:val="65"/>
        </w:trPr>
        <w:tc>
          <w:tcPr>
            <w:tcW w:w="528" w:type="pct"/>
          </w:tcPr>
          <w:p w14:paraId="3C52EE6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E119Q</w:t>
            </w:r>
          </w:p>
        </w:tc>
        <w:tc>
          <w:tcPr>
            <w:tcW w:w="1301" w:type="pct"/>
          </w:tcPr>
          <w:p w14:paraId="5490F594"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lang w:val="en-GB"/>
              </w:rPr>
              <w:t>Intersubunit interface</w:t>
            </w:r>
          </w:p>
        </w:tc>
        <w:tc>
          <w:tcPr>
            <w:tcW w:w="715" w:type="pct"/>
          </w:tcPr>
          <w:p w14:paraId="582A1AE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bCs/>
                <w:sz w:val="20"/>
                <w:szCs w:val="20"/>
                <w:lang w:val="en-GB"/>
              </w:rPr>
              <w:t>NA</w:t>
            </w:r>
          </w:p>
        </w:tc>
        <w:tc>
          <w:tcPr>
            <w:tcW w:w="581" w:type="pct"/>
          </w:tcPr>
          <w:p w14:paraId="6256546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78%</w:t>
            </w:r>
          </w:p>
        </w:tc>
        <w:tc>
          <w:tcPr>
            <w:tcW w:w="628" w:type="pct"/>
          </w:tcPr>
          <w:p w14:paraId="24F1AAE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88%</w:t>
            </w:r>
          </w:p>
        </w:tc>
        <w:tc>
          <w:tcPr>
            <w:tcW w:w="579" w:type="pct"/>
          </w:tcPr>
          <w:p w14:paraId="6635F01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668" w:type="pct"/>
          </w:tcPr>
          <w:p w14:paraId="3E48F847" w14:textId="58656BC8"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{"citationItems":[{"id":"ITEM-1","itemData":{"DOI":"10.1074/jbc.M602499200","ISSN":"0021-9258 (Print)","PMID":"16807239","abstract":"The NADH:ubiquinone oxidoreductase (complex I) from Escherichia coli is composed of  13 subunits called NuoA through NuoN and contains one FMN and 9 iron-sulfur clusters as redox groups. Electron transfer from NADH to ubiquinone is coupled with the translocation of protons across the membrane by a yet unknown mechanism. Redox-induced Fourier transform infrared difference spectroscopy showed that the oxidation of iron-sulfur cluster N2 located on NuoB is accompanied by the protonation of acidic amino acid(s). Here, we describe the effect of mutating the conserved acidic amino acids on NuoB. The complex was assembled in all mutants but the electron transfer activity was completely abolished in the mutants E67Q, D77N, and D94N. The complex isolated from these mutants contained N2 although in diminished amounts. The protonation of acidic amino acid(s) coupled with the oxidation of N2 was not detectable in the complex from the mutant E67Q. However, the conservative mutations E67D and D77E did not disturb the enzymatic activity, and the signals because of the protonation of acidic amino acid(s) were detectable in the E67D mutant. We discuss the possible participation of Glu(67) in a proton pathway coupled with the redox reaction of N2.","author":[{"dropping-particle":"","family":"Flemming","given":"Dirk","non-dropping-particle":"","parse-names":false,"suffix":""},{"dropping-particle":"","family":"Hellwig","given":"Petra","non-dropping-particle":"","parse-names":false,"suffix":""},{"dropping-particle":"","family":"Lepper","given":"Simone","non-dropping-particle":"","parse-names":false,"suffix":""},{"dropping-particle":"","family":"Kloer","given":"Daniel P","non-dropping-particle":"","parse-names":false,"suffix":""},{"dropping-particle":"","family":"Friedrich","given":"Thorsten","non-dropping-particle":"","parse-names":false,"suffix":""}],"container-title":"The Journal of biological chemistry","id":"ITEM-1","issue":"34","issued":{"date-parts":[["2006","8"]]},"language":"eng","page":"24781-24789","publisher-place":"United States","title":"Catalytic importance of acidic amino acids on subunit NuoB of the Escherichia coli  NADH:ubiquinone oxidoreductase (complex I).","type":"article-journal","volume":"281"},"uris":["http://www.mendeley.com/documents/?uuid=dc232cf4-23ef-483a-859f-5c48d921176a"]}],"mendeley":{"formattedCitation":"(Flemming &lt;i&gt;et al&lt;/i&gt;, 2006)","plainTextFormattedCitation":"(Flemming et al, 2006)","previouslyFormattedCitation":"(Flemming &lt;i&gt;et al&lt;/i&gt;, 2006)"},"properties":{"noteIndex":0},"schema":"https://github.com/citation-style-language/schema/raw/master/csl-citation.json"}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(Flemming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2006)</w:t>
            </w:r>
            <w:r w:rsidRPr="00E97FC1">
              <w:rPr>
                <w:rFonts w:ascii="Helvetica" w:hAnsi="Helvetica" w:cs="Helvetica"/>
                <w:b/>
                <w:bCs/>
                <w:sz w:val="16"/>
                <w:szCs w:val="20"/>
                <w:lang w:val="en-GB"/>
              </w:rPr>
              <w:fldChar w:fldCharType="end"/>
            </w:r>
          </w:p>
        </w:tc>
      </w:tr>
      <w:tr w:rsidR="002471A8" w:rsidRPr="00E97FC1" w14:paraId="34B95C72" w14:textId="77777777" w:rsidTr="002471A8">
        <w:trPr>
          <w:trHeight w:val="65"/>
        </w:trPr>
        <w:tc>
          <w:tcPr>
            <w:tcW w:w="528" w:type="pct"/>
          </w:tcPr>
          <w:p w14:paraId="3B39F51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Y139C</w:t>
            </w:r>
          </w:p>
        </w:tc>
        <w:tc>
          <w:tcPr>
            <w:tcW w:w="1301" w:type="pct"/>
          </w:tcPr>
          <w:p w14:paraId="397B885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cdLHL interface</w:t>
            </w:r>
          </w:p>
        </w:tc>
        <w:tc>
          <w:tcPr>
            <w:tcW w:w="715" w:type="pct"/>
          </w:tcPr>
          <w:p w14:paraId="532AFC9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581" w:type="pct"/>
          </w:tcPr>
          <w:p w14:paraId="3328745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80%</w:t>
            </w:r>
          </w:p>
        </w:tc>
        <w:tc>
          <w:tcPr>
            <w:tcW w:w="628" w:type="pct"/>
          </w:tcPr>
          <w:p w14:paraId="3204C8E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100%</w:t>
            </w:r>
          </w:p>
        </w:tc>
        <w:tc>
          <w:tcPr>
            <w:tcW w:w="579" w:type="pct"/>
          </w:tcPr>
          <w:p w14:paraId="7C9C642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668" w:type="pct"/>
          </w:tcPr>
          <w:p w14:paraId="16BB9114" w14:textId="36C2BFA8"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{"citationItems":[{"id":"ITEM-1","itemData":{"DOI":"10.1074/jbc.M208849200","ISSN":"0021-9258 (Print)","PMID":"12446673","abstract":"The proton-pumping NADH:ubiquinone oxidoreductase (complex I) couples the transfer  of electrons from NADH to ubiquinone with the translocation of protons across the membrane. Electron transfer is accomplished by FMN and a series of iron-sulfur clusters. Its coupling with proton translocation is not yet understood. Here, we report that the redox reaction of the FeS cluster N2 located on subunit NuoB of the Escherichia coli complex I induces a protonation/deprotonation of tyrosine side chains. Electrochemically induced FT-IR difference spectra revealed characteristic tyrosine signals at 1,515 and 1,498 cm(-1) for the protonated and deprotonated form, respectively. Mutants of three conserved tyrosines on NuoB were generated by complementing a chromosomal in-frame deletion strain with nuoB on a plasmid. Though the single mutations did not alter the electron transport activity of complex I, the EPR signal of cluster N2 was slightly shifted. The tyrosine signals detected by FT-IR spectroscopy were roughly halved in the mutants Y114C and Y139C while only minor changes were detected in the Y154H mutant. The enzymatic activity of the Y114C/Y139F double mutant was 80% reduced, and FT-IR difference spectra of the double mutant revealed a complete loss the modes characteristic for protonation reactions of tyrosines. Therefore, we propose that tyrosines 114 and 139 on NuoB were protonated upon reduction of cluster N2 and were thus involved in the proton-transfer reaction coupled with its redox reaction.","author":[{"dropping-particle":"","family":"Flemming","given":"Dirk","non-dropping-particle":"","parse-names":false,"suffix":""},{"dropping-particle":"","family":"Hellwig","given":"Petra","non-dropping-particle":"","parse-names":false,"suffix":""},{"dropping-particle":"","family":"Friedrich","given":"Thorsten","non-dropping-particle":"","parse-names":false,"suffix":""}],"container-title":"The Journal of biological chemistry","id":"ITEM-1","issue":"5","issued":{"date-parts":[["2003","1"]]},"language":"eng","page":"3055-3062","publisher-place":"United States","title":"Involvement of tyrosines 114 and 139 of subunit NuoB in the proton pathway around  cluster N2 in Escherichia coli NADH:ubiquinone oxidoreductase.","type":"article-journal","volume":"278"},"uris":["http://www.mendeley.com/documents/?uuid=27b1db19-d979-4e31-b0a8-8aa53318f817"]}],"mendeley":{"formattedCitation":"(Flemming &lt;i&gt;et al&lt;/i&gt;, 2003)","plainTextFormattedCitation":"(Flemming et al, 2003)","previouslyFormattedCitation":"(Flemming &lt;i&gt;et al&lt;/i&gt;, 2003)"},"properties":{"noteIndex":0},"schema":"https://github.com/citation-style-language/schema/raw/master/csl-citation.json"}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(Flemming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2003)</w:t>
            </w:r>
            <w:r w:rsidRPr="00E97FC1">
              <w:rPr>
                <w:rFonts w:ascii="Helvetica" w:hAnsi="Helvetica" w:cs="Helvetica"/>
                <w:b/>
                <w:bCs/>
                <w:sz w:val="16"/>
                <w:szCs w:val="20"/>
                <w:lang w:val="en-GB"/>
              </w:rPr>
              <w:fldChar w:fldCharType="end"/>
            </w:r>
          </w:p>
        </w:tc>
      </w:tr>
      <w:tr w:rsidR="002471A8" w:rsidRPr="00E97FC1" w14:paraId="1DCB1C18" w14:textId="77777777" w:rsidTr="002471A8">
        <w:trPr>
          <w:trHeight w:val="65"/>
        </w:trPr>
        <w:tc>
          <w:tcPr>
            <w:tcW w:w="528" w:type="pct"/>
          </w:tcPr>
          <w:p w14:paraId="461C536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D146N</w:t>
            </w:r>
          </w:p>
        </w:tc>
        <w:tc>
          <w:tcPr>
            <w:tcW w:w="1301" w:type="pct"/>
          </w:tcPr>
          <w:p w14:paraId="47B7CBD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NuoI interface</w:t>
            </w:r>
          </w:p>
        </w:tc>
        <w:tc>
          <w:tcPr>
            <w:tcW w:w="715" w:type="pct"/>
          </w:tcPr>
          <w:p w14:paraId="7114C16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bCs/>
                <w:sz w:val="20"/>
                <w:szCs w:val="20"/>
                <w:lang w:val="en-GB"/>
              </w:rPr>
              <w:t>NA</w:t>
            </w:r>
          </w:p>
        </w:tc>
        <w:tc>
          <w:tcPr>
            <w:tcW w:w="581" w:type="pct"/>
          </w:tcPr>
          <w:p w14:paraId="444BE694"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89%</w:t>
            </w:r>
          </w:p>
        </w:tc>
        <w:tc>
          <w:tcPr>
            <w:tcW w:w="628" w:type="pct"/>
          </w:tcPr>
          <w:p w14:paraId="2ED9A01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59%</w:t>
            </w:r>
          </w:p>
        </w:tc>
        <w:tc>
          <w:tcPr>
            <w:tcW w:w="579" w:type="pct"/>
          </w:tcPr>
          <w:p w14:paraId="6DDF9AD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668" w:type="pct"/>
          </w:tcPr>
          <w:p w14:paraId="36455B44" w14:textId="17F53099"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{"citationItems":[{"id":"ITEM-1","itemData":{"DOI":"10.1074/jbc.M602499200","ISSN":"0021-9258 (Print)","PMID":"16807239","abstract":"The NADH:ubiquinone oxidoreductase (complex I) from Escherichia coli is composed of  13 subunits called NuoA through NuoN and contains one FMN and 9 iron-sulfur clusters as redox groups. Electron transfer from NADH to ubiquinone is coupled with the translocation of protons across the membrane by a yet unknown mechanism. Redox-induced Fourier transform infrared difference spectroscopy showed that the oxidation of iron-sulfur cluster N2 located on NuoB is accompanied by the protonation of acidic amino acid(s). Here, we describe the effect of mutating the conserved acidic amino acids on NuoB. The complex was assembled in all mutants but the electron transfer activity was completely abolished in the mutants E67Q, D77N, and D94N. The complex isolated from these mutants contained N2 although in diminished amounts. The protonation of acidic amino acid(s) coupled with the oxidation of N2 was not detectable in the complex from the mutant E67Q. However, the conservative mutations E67D and D77E did not disturb the enzymatic activity, and the signals because of the protonation of acidic amino acid(s) were detectable in the E67D mutant. We discuss the possible participation of Glu(67) in a proton pathway coupled with the redox reaction of N2.","author":[{"dropping-particle":"","family":"Flemming","given":"Dirk","non-dropping-particle":"","parse-names":false,"suffix":""},{"dropping-particle":"","family":"Hellwig","given":"Petra","non-dropping-particle":"","parse-names":false,"suffix":""},{"dropping-particle":"","family":"Lepper","given":"Simone","non-dropping-particle":"","parse-names":false,"suffix":""},{"dropping-particle":"","family":"Kloer","given":"Daniel P","non-dropping-particle":"","parse-names":false,"suffix":""},{"dropping-particle":"","family":"Friedrich","given":"Thorsten","non-dropping-particle":"","parse-names":false,"suffix":""}],"container-title":"The Journal of biological chemistry","id":"ITEM-1","issue":"34","issued":{"date-parts":[["2006","8"]]},"language":"eng","page":"24781-24789","publisher-place":"United States","title":"Catalytic importance of acidic amino acids on subunit NuoB of the Escherichia coli  NADH:ubiquinone oxidoreductase (complex I).","type":"article-journal","volume":"281"},"uris":["http://www.mendeley.com/documents/?uuid=dc232cf4-23ef-483a-859f-5c48d921176a"]}],"mendeley":{"formattedCitation":"(Flemming &lt;i&gt;et al&lt;/i&gt;, 2006)","plainTextFormattedCitation":"(Flemming et al, 2006)","previouslyFormattedCitation":"(Flemming &lt;i&gt;et al&lt;/i&gt;, 2006)"},"properties":{"noteIndex":0},"schema":"https://github.com/citation-style-language/schema/raw/master/csl-citation.json"}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(Flemming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2006)</w:t>
            </w:r>
            <w:r w:rsidRPr="00E97FC1">
              <w:rPr>
                <w:rFonts w:ascii="Helvetica" w:hAnsi="Helvetica" w:cs="Helvetica"/>
                <w:b/>
                <w:bCs/>
                <w:sz w:val="16"/>
                <w:szCs w:val="20"/>
                <w:lang w:val="en-GB"/>
              </w:rPr>
              <w:fldChar w:fldCharType="end"/>
            </w:r>
          </w:p>
        </w:tc>
      </w:tr>
      <w:tr w:rsidR="002471A8" w:rsidRPr="00E97FC1" w14:paraId="7AFCA21D" w14:textId="77777777" w:rsidTr="002471A8">
        <w:trPr>
          <w:trHeight w:val="65"/>
        </w:trPr>
        <w:tc>
          <w:tcPr>
            <w:tcW w:w="528" w:type="pct"/>
          </w:tcPr>
          <w:p w14:paraId="140176C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D152N</w:t>
            </w:r>
          </w:p>
        </w:tc>
        <w:tc>
          <w:tcPr>
            <w:tcW w:w="1301" w:type="pct"/>
          </w:tcPr>
          <w:p w14:paraId="17364A4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surface</w:t>
            </w:r>
          </w:p>
        </w:tc>
        <w:tc>
          <w:tcPr>
            <w:tcW w:w="715" w:type="pct"/>
          </w:tcPr>
          <w:p w14:paraId="18CCFA3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bCs/>
                <w:sz w:val="20"/>
                <w:szCs w:val="20"/>
                <w:lang w:val="en-GB"/>
              </w:rPr>
              <w:t>NA</w:t>
            </w:r>
          </w:p>
        </w:tc>
        <w:tc>
          <w:tcPr>
            <w:tcW w:w="581" w:type="pct"/>
          </w:tcPr>
          <w:p w14:paraId="0AA7B0B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78%</w:t>
            </w:r>
          </w:p>
        </w:tc>
        <w:tc>
          <w:tcPr>
            <w:tcW w:w="628" w:type="pct"/>
          </w:tcPr>
          <w:p w14:paraId="5E33918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59%</w:t>
            </w:r>
          </w:p>
        </w:tc>
        <w:tc>
          <w:tcPr>
            <w:tcW w:w="579" w:type="pct"/>
          </w:tcPr>
          <w:p w14:paraId="7B61FC11"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668" w:type="pct"/>
          </w:tcPr>
          <w:p w14:paraId="79102231" w14:textId="417A6F41"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{"citationItems":[{"id":"ITEM-1","itemData":{"DOI":"10.1074/jbc.M602499200","ISSN":"0021-9258 (Print)","PMID":"16807239","abstract":"The NADH:ubiquinone oxidoreductase (complex I) from Escherichia coli is composed of  13 subunits called NuoA through NuoN and contains one FMN and 9 iron-sulfur clusters as redox groups. Electron transfer from NADH to ubiquinone is coupled with the translocation of protons across the membrane by a yet unknown mechanism. Redox-induced Fourier transform infrared difference spectroscopy showed that the oxidation of iron-sulfur cluster N2 located on NuoB is accompanied by the protonation of acidic amino acid(s). Here, we describe the effect of mutating the conserved acidic amino acids on NuoB. The complex was assembled in all mutants but the electron transfer activity was completely abolished in the mutants E67Q, D77N, and D94N. The complex isolated from these mutants contained N2 although in diminished amounts. The protonation of acidic amino acid(s) coupled with the oxidation of N2 was not detectable in the complex from the mutant E67Q. However, the conservative mutations E67D and D77E did not disturb the enzymatic activity, and the signals because of the protonation of acidic amino acid(s) were detectable in the E67D mutant. We discuss the possible participation of Glu(67) in a proton pathway coupled with the redox reaction of N2.","author":[{"dropping-particle":"","family":"Flemming","given":"Dirk","non-dropping-particle":"","parse-names":false,"suffix":""},{"dropping-particle":"","family":"Hellwig","given":"Petra","non-dropping-particle":"","parse-names":false,"suffix":""},{"dropping-particle":"","family":"Lepper","given":"Simone","non-dropping-particle":"","parse-names":false,"suffix":""},{"dropping-particle":"","family":"Kloer","given":"Daniel P","non-dropping-particle":"","parse-names":false,"suffix":""},{"dropping-particle":"","family":"Friedrich","given":"Thorsten","non-dropping-particle":"","parse-names":false,"suffix":""}],"container-title":"The Journal of biological chemistry","id":"ITEM-1","issue":"34","issued":{"date-parts":[["2006","8"]]},"language":"eng","page":"24781-24789","publisher-place":"United States","title":"Catalytic importance of acidic amino acids on subunit NuoB of the Escherichia coli  NADH:ubiquinone oxidoreductase (complex I).","type":"article-journal","volume":"281"},"uris":["http://www.mendeley.com/documents/?uuid=dc232cf4-23ef-483a-859f-5c48d921176a"]}],"mendeley":{"formattedCitation":"(Flemming &lt;i&gt;et al&lt;/i&gt;, 2006)","plainTextFormattedCitation":"(Flemming et al, 2006)","previouslyFormattedCitation":"(Flemming &lt;i&gt;et al&lt;/i&gt;, 2006)"},"properties":{"noteIndex":0},"schema":"https://github.com/citation-style-language/schema/raw/master/csl-citation.json"}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(Flemming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2006)</w:t>
            </w:r>
            <w:r w:rsidRPr="00E97FC1">
              <w:rPr>
                <w:rFonts w:ascii="Helvetica" w:hAnsi="Helvetica" w:cs="Helvetica"/>
                <w:b/>
                <w:bCs/>
                <w:sz w:val="16"/>
                <w:szCs w:val="20"/>
                <w:lang w:val="en-GB"/>
              </w:rPr>
              <w:fldChar w:fldCharType="end"/>
            </w:r>
          </w:p>
        </w:tc>
      </w:tr>
      <w:tr w:rsidR="002471A8" w:rsidRPr="00E97FC1" w14:paraId="26B199E1" w14:textId="77777777" w:rsidTr="002471A8">
        <w:trPr>
          <w:trHeight w:val="65"/>
        </w:trPr>
        <w:tc>
          <w:tcPr>
            <w:tcW w:w="528" w:type="pct"/>
          </w:tcPr>
          <w:p w14:paraId="48E43D8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Y154H</w:t>
            </w:r>
          </w:p>
        </w:tc>
        <w:tc>
          <w:tcPr>
            <w:tcW w:w="1301" w:type="pct"/>
          </w:tcPr>
          <w:p w14:paraId="77193BC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 xml:space="preserve">Part of </w:t>
            </w:r>
            <w:r w:rsidRPr="00E97FC1">
              <w:rPr>
                <w:rFonts w:ascii="Helvetica" w:hAnsi="Helvetica" w:cs="Helvetica"/>
                <w:bCs/>
                <w:sz w:val="20"/>
                <w:lang w:val="en-GB"/>
              </w:rPr>
              <w:t>internal β-sheet</w:t>
            </w:r>
          </w:p>
        </w:tc>
        <w:tc>
          <w:tcPr>
            <w:tcW w:w="715" w:type="pct"/>
          </w:tcPr>
          <w:p w14:paraId="1E175C6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581" w:type="pct"/>
          </w:tcPr>
          <w:p w14:paraId="0140688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90%</w:t>
            </w:r>
          </w:p>
        </w:tc>
        <w:tc>
          <w:tcPr>
            <w:tcW w:w="628" w:type="pct"/>
          </w:tcPr>
          <w:p w14:paraId="1EF6FB1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100%</w:t>
            </w:r>
          </w:p>
        </w:tc>
        <w:tc>
          <w:tcPr>
            <w:tcW w:w="579" w:type="pct"/>
          </w:tcPr>
          <w:p w14:paraId="040B07A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668" w:type="pct"/>
          </w:tcPr>
          <w:p w14:paraId="363191C2" w14:textId="21E3FC7E"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{"citationItems":[{"id":"ITEM-1","itemData":{"DOI":"10.1074/jbc.M208849200","ISSN":"0021-9258 (Print)","PMID":"12446673","abstract":"The proton-pumping NADH:ubiquinone oxidoreductase (complex I) couples the transfer  of electrons from NADH to ubiquinone with the translocation of protons across the membrane. Electron transfer is accomplished by FMN and a series of iron-sulfur clusters. Its coupling with proton translocation is not yet understood. Here, we report that the redox reaction of the FeS cluster N2 located on subunit NuoB of the Escherichia coli complex I induces a protonation/deprotonation of tyrosine side chains. Electrochemically induced FT-IR difference spectra revealed characteristic tyrosine signals at 1,515 and 1,498 cm(-1) for the protonated and deprotonated form, respectively. Mutants of three conserved tyrosines on NuoB were generated by complementing a chromosomal in-frame deletion strain with nuoB on a plasmid. Though the single mutations did not alter the electron transport activity of complex I, the EPR signal of cluster N2 was slightly shifted. The tyrosine signals detected by FT-IR spectroscopy were roughly halved in the mutants Y114C and Y139C while only minor changes were detected in the Y154H mutant. The enzymatic activity of the Y114C/Y139F double mutant was 80% reduced, and FT-IR difference spectra of the double mutant revealed a complete loss the modes characteristic for protonation reactions of tyrosines. Therefore, we propose that tyrosines 114 and 139 on NuoB were protonated upon reduction of cluster N2 and were thus involved in the proton-transfer reaction coupled with its redox reaction.","author":[{"dropping-particle":"","family":"Flemming","given":"Dirk","non-dropping-particle":"","parse-names":false,"suffix":""},{"dropping-particle":"","family":"Hellwig","given":"Petra","non-dropping-particle":"","parse-names":false,"suffix":""},{"dropping-particle":"","family":"Friedrich","given":"Thorsten","non-dropping-particle":"","parse-names":false,"suffix":""}],"container-title":"The Journal of biological chemistry","id":"ITEM-1","issue":"5","issued":{"date-parts":[["2003","1"]]},"language":"eng","page":"3055-3062","publisher-place":"United States","title":"Involvement of tyrosines 114 and 139 of subunit NuoB in the proton pathway around  cluster N2 in Escherichia coli NADH:ubiquinone oxidoreductase.","type":"article-journal","volume":"278"},"uris":["http://www.mendeley.com/documents/?uuid=27b1db19-d979-4e31-b0a8-8aa53318f817"]}],"mendeley":{"formattedCitation":"(Flemming &lt;i&gt;et al&lt;/i&gt;, 2003)","plainTextFormattedCitation":"(Flemming et al, 2003)","previouslyFormattedCitation":"(Flemming &lt;i&gt;et al&lt;/i&gt;, 2003)"},"properties":{"noteIndex":0},"schema":"https://github.com/citation-style-language/schema/raw/master/csl-citation.json"}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(Flemming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2003)</w:t>
            </w:r>
            <w:r w:rsidRPr="00E97FC1">
              <w:rPr>
                <w:rFonts w:ascii="Helvetica" w:hAnsi="Helvetica" w:cs="Helvetica"/>
                <w:b/>
                <w:bCs/>
                <w:sz w:val="16"/>
                <w:szCs w:val="20"/>
                <w:lang w:val="en-GB"/>
              </w:rPr>
              <w:fldChar w:fldCharType="end"/>
            </w:r>
          </w:p>
        </w:tc>
      </w:tr>
      <w:tr w:rsidR="002471A8" w:rsidRPr="00E97FC1" w14:paraId="55821A4F" w14:textId="77777777" w:rsidTr="002471A8">
        <w:trPr>
          <w:trHeight w:val="65"/>
        </w:trPr>
        <w:tc>
          <w:tcPr>
            <w:tcW w:w="528" w:type="pct"/>
          </w:tcPr>
          <w:p w14:paraId="0669192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E163Q</w:t>
            </w:r>
          </w:p>
        </w:tc>
        <w:tc>
          <w:tcPr>
            <w:tcW w:w="1301" w:type="pct"/>
          </w:tcPr>
          <w:p w14:paraId="08F74497"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 xml:space="preserve">HB with </w:t>
            </w:r>
            <w:r w:rsidRPr="00E97FC1">
              <w:rPr>
                <w:rFonts w:ascii="Helvetica" w:hAnsi="Helvetica" w:cs="Helvetica"/>
                <w:bCs/>
                <w:sz w:val="20"/>
                <w:szCs w:val="20"/>
                <w:vertAlign w:val="subscript"/>
                <w:lang w:val="en-GB"/>
              </w:rPr>
              <w:t>B</w:t>
            </w:r>
            <w:r w:rsidRPr="00E97FC1">
              <w:rPr>
                <w:rFonts w:ascii="Helvetica" w:hAnsi="Helvetica" w:cs="Helvetica"/>
                <w:bCs/>
                <w:sz w:val="20"/>
                <w:szCs w:val="20"/>
                <w:lang w:val="en-GB"/>
              </w:rPr>
              <w:t>R161</w:t>
            </w:r>
          </w:p>
        </w:tc>
        <w:tc>
          <w:tcPr>
            <w:tcW w:w="715" w:type="pct"/>
          </w:tcPr>
          <w:p w14:paraId="110F10A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bCs/>
                <w:sz w:val="20"/>
                <w:szCs w:val="20"/>
                <w:lang w:val="en-GB"/>
              </w:rPr>
              <w:t>NA</w:t>
            </w:r>
          </w:p>
        </w:tc>
        <w:tc>
          <w:tcPr>
            <w:tcW w:w="581" w:type="pct"/>
          </w:tcPr>
          <w:p w14:paraId="09FE883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78%</w:t>
            </w:r>
          </w:p>
        </w:tc>
        <w:tc>
          <w:tcPr>
            <w:tcW w:w="628" w:type="pct"/>
          </w:tcPr>
          <w:p w14:paraId="04BBC27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76%</w:t>
            </w:r>
          </w:p>
        </w:tc>
        <w:tc>
          <w:tcPr>
            <w:tcW w:w="579" w:type="pct"/>
          </w:tcPr>
          <w:p w14:paraId="322093C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668" w:type="pct"/>
          </w:tcPr>
          <w:p w14:paraId="26D1B10D" w14:textId="37883457"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{"citationItems":[{"id":"ITEM-1","itemData":{"DOI":"10.1074/jbc.M602499200","ISSN":"0021-9258 (Print)","PMID":"16807239","abstract":"The NADH:ubiquinone oxidoreductase (complex I) from Escherichia coli is composed of  13 subunits called NuoA through NuoN and contains one FMN and 9 iron-sulfur clusters as redox groups. Electron transfer from NADH to ubiquinone is coupled with the translocation of protons across the membrane by a yet unknown mechanism. Redox-induced Fourier transform infrared difference spectroscopy showed that the oxidation of iron-sulfur cluster N2 located on NuoB is accompanied by the protonation of acidic amino acid(s). Here, we describe the effect of mutating the conserved acidic amino acids on NuoB. The complex was assembled in all mutants but the electron transfer activity was completely abolished in the mutants E67Q, D77N, and D94N. The complex isolated from these mutants contained N2 although in diminished amounts. The protonation of acidic amino acid(s) coupled with the oxidation of N2 was not detectable in the complex from the mutant E67Q. However, the conservative mutations E67D and D77E did not disturb the enzymatic activity, and the signals because of the protonation of acidic amino acid(s) were detectable in the E67D mutant. We discuss the possible participation of Glu(67) in a proton pathway coupled with the redox reaction of N2.","author":[{"dropping-particle":"","family":"Flemming","given":"Dirk","non-dropping-particle":"","parse-names":false,"suffix":""},{"dropping-particle":"","family":"Hellwig","given":"Petra","non-dropping-particle":"","parse-names":false,"suffix":""},{"dropping-particle":"","family":"Lepper","given":"Simone","non-dropping-particle":"","parse-names":false,"suffix":""},{"dropping-particle":"","family":"Kloer","given":"Daniel P","non-dropping-particle":"","parse-names":false,"suffix":""},{"dropping-particle":"","family":"Friedrich","given":"Thorsten","non-dropping-particle":"","parse-names":false,"suffix":""}],"container-title":"The Journal of biological chemistry","id":"ITEM-1","issue":"34","issued":{"date-parts":[["2006","8"]]},"language":"eng","page":"24781-24789","publisher-place":"United States","title":"Catalytic importance of acidic amino acids on subunit NuoB of the Escherichia coli  NADH:ubiquinone oxidoreductase (complex I).","type":"article-journal","volume":"281"},"uris":["http://www.mendeley.com/documents/?uuid=dc232cf4-23ef-483a-859f-5c48d921176a"]}],"mendeley":{"formattedCitation":"(Flemming &lt;i&gt;et al&lt;/i&gt;, 2006)","plainTextFormattedCitation":"(Flemming et al, 2006)","previouslyFormattedCitation":"(Flemming &lt;i&gt;et al&lt;/i&gt;, 2006)"},"properties":{"noteIndex":0},"schema":"https://github.com/citation-style-language/schema/raw/master/csl-citation.json"}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(Flemming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2006)</w:t>
            </w:r>
            <w:r w:rsidRPr="00E97FC1">
              <w:rPr>
                <w:rFonts w:ascii="Helvetica" w:hAnsi="Helvetica" w:cs="Helvetica"/>
                <w:b/>
                <w:bCs/>
                <w:sz w:val="16"/>
                <w:szCs w:val="20"/>
                <w:lang w:val="en-GB"/>
              </w:rPr>
              <w:fldChar w:fldCharType="end"/>
            </w:r>
          </w:p>
        </w:tc>
      </w:tr>
    </w:tbl>
    <w:p w14:paraId="7B3839B0" w14:textId="77777777" w:rsidR="002471A8" w:rsidRPr="00E97FC1" w:rsidRDefault="002471A8" w:rsidP="002471A8">
      <w:pPr>
        <w:rPr>
          <w:rFonts w:ascii="Helvetica" w:hAnsi="Helvetica" w:cs="Helvetica"/>
          <w:lang w:val="en-GB"/>
        </w:rPr>
      </w:pPr>
    </w:p>
    <w:p w14:paraId="370A11D8" w14:textId="77777777" w:rsidR="002471A8" w:rsidRPr="00E97FC1" w:rsidRDefault="002471A8" w:rsidP="002471A8">
      <w:pPr>
        <w:pStyle w:val="ListParagraph"/>
        <w:numPr>
          <w:ilvl w:val="0"/>
          <w:numId w:val="43"/>
        </w:numPr>
        <w:jc w:val="left"/>
        <w:rPr>
          <w:rFonts w:ascii="Helvetica" w:hAnsi="Helvetica" w:cs="Helvetica"/>
          <w:b/>
        </w:rPr>
      </w:pPr>
      <w:r w:rsidRPr="00E97FC1">
        <w:rPr>
          <w:rFonts w:ascii="Helvetica" w:hAnsi="Helvetica" w:cs="Helvetica"/>
          <w:b/>
        </w:rPr>
        <w:t>Mutations in the peripheral arm, continuation</w:t>
      </w:r>
    </w:p>
    <w:p w14:paraId="185B5D85" w14:textId="77777777" w:rsidR="002471A8" w:rsidRPr="00E97FC1" w:rsidRDefault="002471A8" w:rsidP="002471A8">
      <w:pPr>
        <w:rPr>
          <w:rFonts w:ascii="Helvetica" w:hAnsi="Helvetica" w:cs="Helvetica"/>
          <w:lang w:val="en-GB"/>
        </w:rPr>
      </w:pPr>
    </w:p>
    <w:tbl>
      <w:tblPr>
        <w:tblW w:w="9985" w:type="dxa"/>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0A0" w:firstRow="1" w:lastRow="0" w:firstColumn="1" w:lastColumn="0" w:noHBand="0" w:noVBand="0"/>
      </w:tblPr>
      <w:tblGrid>
        <w:gridCol w:w="1165"/>
        <w:gridCol w:w="2610"/>
        <w:gridCol w:w="1440"/>
        <w:gridCol w:w="1170"/>
        <w:gridCol w:w="1260"/>
        <w:gridCol w:w="1080"/>
        <w:gridCol w:w="1260"/>
      </w:tblGrid>
      <w:tr w:rsidR="002471A8" w:rsidRPr="00E97FC1" w14:paraId="64AD0CE5" w14:textId="77777777" w:rsidTr="002471A8">
        <w:tc>
          <w:tcPr>
            <w:tcW w:w="1165" w:type="dxa"/>
            <w:vMerge w:val="restart"/>
          </w:tcPr>
          <w:p w14:paraId="041F66D3" w14:textId="77777777" w:rsidR="002471A8" w:rsidRPr="00E97FC1" w:rsidRDefault="002471A8" w:rsidP="002471A8">
            <w:pPr>
              <w:rPr>
                <w:rFonts w:ascii="Helvetica" w:hAnsi="Helvetica" w:cs="Helvetica"/>
                <w:sz w:val="22"/>
                <w:lang w:val="en-GB"/>
              </w:rPr>
            </w:pPr>
            <w:r w:rsidRPr="00E97FC1">
              <w:rPr>
                <w:rFonts w:ascii="Helvetica" w:hAnsi="Helvetica" w:cs="Helvetica"/>
                <w:sz w:val="22"/>
                <w:lang w:val="en-GB"/>
              </w:rPr>
              <w:t>Mutation</w:t>
            </w:r>
          </w:p>
        </w:tc>
        <w:tc>
          <w:tcPr>
            <w:tcW w:w="2610" w:type="dxa"/>
            <w:vMerge w:val="restart"/>
          </w:tcPr>
          <w:p w14:paraId="43B86646"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Amino acid location</w:t>
            </w:r>
          </w:p>
        </w:tc>
        <w:tc>
          <w:tcPr>
            <w:tcW w:w="1440" w:type="dxa"/>
            <w:vMerge w:val="restart"/>
          </w:tcPr>
          <w:p w14:paraId="1438590F"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Expression/assembly</w:t>
            </w:r>
          </w:p>
        </w:tc>
        <w:tc>
          <w:tcPr>
            <w:tcW w:w="3510" w:type="dxa"/>
            <w:gridSpan w:val="3"/>
          </w:tcPr>
          <w:p w14:paraId="50BD4ED1"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Effect</w:t>
            </w:r>
          </w:p>
        </w:tc>
        <w:tc>
          <w:tcPr>
            <w:tcW w:w="1260" w:type="dxa"/>
            <w:vMerge w:val="restart"/>
          </w:tcPr>
          <w:p w14:paraId="098594E0"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Reference and comments</w:t>
            </w:r>
          </w:p>
        </w:tc>
      </w:tr>
      <w:tr w:rsidR="002471A8" w:rsidRPr="00E97FC1" w14:paraId="331838CB" w14:textId="77777777" w:rsidTr="002471A8">
        <w:tc>
          <w:tcPr>
            <w:tcW w:w="1165" w:type="dxa"/>
            <w:vMerge/>
          </w:tcPr>
          <w:p w14:paraId="5DD49DE2" w14:textId="77777777" w:rsidR="002471A8" w:rsidRPr="00E97FC1" w:rsidRDefault="002471A8" w:rsidP="002471A8">
            <w:pPr>
              <w:jc w:val="center"/>
              <w:rPr>
                <w:rFonts w:ascii="Helvetica" w:hAnsi="Helvetica" w:cs="Helvetica"/>
                <w:sz w:val="22"/>
                <w:lang w:val="en-GB"/>
              </w:rPr>
            </w:pPr>
          </w:p>
        </w:tc>
        <w:tc>
          <w:tcPr>
            <w:tcW w:w="2610" w:type="dxa"/>
            <w:vMerge/>
          </w:tcPr>
          <w:p w14:paraId="40B9C822" w14:textId="77777777" w:rsidR="002471A8" w:rsidRPr="00E97FC1" w:rsidRDefault="002471A8" w:rsidP="002471A8">
            <w:pPr>
              <w:jc w:val="center"/>
              <w:rPr>
                <w:rFonts w:ascii="Helvetica" w:hAnsi="Helvetica" w:cs="Helvetica"/>
                <w:sz w:val="22"/>
                <w:lang w:val="en-GB"/>
              </w:rPr>
            </w:pPr>
          </w:p>
        </w:tc>
        <w:tc>
          <w:tcPr>
            <w:tcW w:w="1440" w:type="dxa"/>
            <w:vMerge/>
          </w:tcPr>
          <w:p w14:paraId="323FA2CF" w14:textId="77777777" w:rsidR="002471A8" w:rsidRPr="00E97FC1" w:rsidRDefault="002471A8" w:rsidP="002471A8">
            <w:pPr>
              <w:jc w:val="center"/>
              <w:rPr>
                <w:rFonts w:ascii="Helvetica" w:hAnsi="Helvetica" w:cs="Helvetica"/>
                <w:sz w:val="22"/>
                <w:lang w:val="en-GB"/>
              </w:rPr>
            </w:pPr>
          </w:p>
        </w:tc>
        <w:tc>
          <w:tcPr>
            <w:tcW w:w="1170" w:type="dxa"/>
          </w:tcPr>
          <w:p w14:paraId="4E55AC99"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FMN-site</w:t>
            </w:r>
          </w:p>
          <w:p w14:paraId="47CB5BC6"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activity</w:t>
            </w:r>
          </w:p>
        </w:tc>
        <w:tc>
          <w:tcPr>
            <w:tcW w:w="1260" w:type="dxa"/>
          </w:tcPr>
          <w:p w14:paraId="5F8C8DE0"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Oxido-reductase activity</w:t>
            </w:r>
          </w:p>
        </w:tc>
        <w:tc>
          <w:tcPr>
            <w:tcW w:w="1080" w:type="dxa"/>
          </w:tcPr>
          <w:p w14:paraId="2E2BA723"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Proton pumping activity</w:t>
            </w:r>
          </w:p>
        </w:tc>
        <w:tc>
          <w:tcPr>
            <w:tcW w:w="1260" w:type="dxa"/>
            <w:vMerge/>
          </w:tcPr>
          <w:p w14:paraId="5BB7BE9B" w14:textId="77777777" w:rsidR="002471A8" w:rsidRPr="00E97FC1" w:rsidRDefault="002471A8" w:rsidP="002471A8">
            <w:pPr>
              <w:jc w:val="center"/>
              <w:rPr>
                <w:rFonts w:ascii="Helvetica" w:hAnsi="Helvetica" w:cs="Helvetica"/>
                <w:sz w:val="22"/>
                <w:lang w:val="en-GB"/>
              </w:rPr>
            </w:pPr>
          </w:p>
        </w:tc>
      </w:tr>
      <w:tr w:rsidR="002471A8" w:rsidRPr="00E97FC1" w14:paraId="2DE84FFE" w14:textId="77777777" w:rsidTr="002471A8">
        <w:trPr>
          <w:trHeight w:val="65"/>
        </w:trPr>
        <w:tc>
          <w:tcPr>
            <w:tcW w:w="9985" w:type="dxa"/>
            <w:gridSpan w:val="7"/>
          </w:tcPr>
          <w:p w14:paraId="4347A095" w14:textId="77777777" w:rsidR="002471A8" w:rsidRPr="00E97FC1" w:rsidRDefault="002471A8" w:rsidP="002471A8">
            <w:pPr>
              <w:rPr>
                <w:rFonts w:ascii="Helvetica" w:hAnsi="Helvetica" w:cs="Helvetica"/>
                <w:noProof/>
                <w:sz w:val="22"/>
                <w:lang w:val="en-GB"/>
              </w:rPr>
            </w:pPr>
            <w:r w:rsidRPr="00E97FC1">
              <w:rPr>
                <w:rFonts w:ascii="Helvetica" w:hAnsi="Helvetica" w:cs="Helvetica"/>
                <w:b/>
                <w:bCs/>
                <w:sz w:val="28"/>
                <w:lang w:val="en-GB"/>
              </w:rPr>
              <w:t>NuoI</w:t>
            </w:r>
          </w:p>
        </w:tc>
      </w:tr>
      <w:tr w:rsidR="002471A8" w:rsidRPr="00E97FC1" w14:paraId="0A89EA58" w14:textId="77777777" w:rsidTr="002471A8">
        <w:trPr>
          <w:trHeight w:val="65"/>
        </w:trPr>
        <w:tc>
          <w:tcPr>
            <w:tcW w:w="1165" w:type="dxa"/>
          </w:tcPr>
          <w:p w14:paraId="4451914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C60A</w:t>
            </w:r>
          </w:p>
        </w:tc>
        <w:tc>
          <w:tcPr>
            <w:tcW w:w="2610" w:type="dxa"/>
            <w:vMerge w:val="restart"/>
          </w:tcPr>
          <w:p w14:paraId="083F07A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Bond with N6a Fe-S cluster</w:t>
            </w:r>
          </w:p>
        </w:tc>
        <w:tc>
          <w:tcPr>
            <w:tcW w:w="1440" w:type="dxa"/>
          </w:tcPr>
          <w:p w14:paraId="7514F6E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40517521"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17%</w:t>
            </w:r>
          </w:p>
        </w:tc>
        <w:tc>
          <w:tcPr>
            <w:tcW w:w="1260" w:type="dxa"/>
          </w:tcPr>
          <w:p w14:paraId="1007523A"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1-2%</w:t>
            </w:r>
          </w:p>
        </w:tc>
        <w:tc>
          <w:tcPr>
            <w:tcW w:w="1080" w:type="dxa"/>
          </w:tcPr>
          <w:p w14:paraId="03EA2961"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0%</w:t>
            </w:r>
          </w:p>
        </w:tc>
        <w:tc>
          <w:tcPr>
            <w:tcW w:w="1260" w:type="dxa"/>
          </w:tcPr>
          <w:p w14:paraId="49422B74" w14:textId="74B6B17B"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{"citationItems":[{"id":"ITEM-1","itemData":{"DOI":"10.1074/jbc.M111.329649","ISSN":"1083-351X (Electronic)","PMID":"22474289","abstract":"Bacterial proton-translocating NADH:quinone oxidoreductase (NDH-1) consists of a  peripheral and a membrane domain. The peripheral domain catalyzes the electron transfer from NADH to quinone through a chain of seven iron-sulfur (Fe/S) clusters. Subunit NuoI in the peripheral domain contains two [4Fe-4S] clusters (N6a and N6b) and plays a role in bridging the electron transfer from cluster N5 to the terminal cluster N2. We constructed mutants for eight individual Cys-coordinating Fe/S clusters. With the exception of C63S, all mutants had damaged architecture of NDH-1, suggesting that Cys-coordinating Fe/S clusters help maintain the NDH-1 structure. Studies of three mutants (C63S-coordinating N6a, P110A located near N6a, and P71A in the vicinity of N6b) were carried out using EPR measurement. These three mutations did not affect the EPR signals from [2Fe-2S] clusters and retained electron transfer activities. Signals at g(z) = 2.09 disappeared in C63S and P110A but not in P71A. Considering our data together with the available information, g(z,x) = 2.09, 1.88 signals are assigned to cluster N6a. It is of interest that, in terms of g(z,x) values, cluster N6a is similar to cluster N4. In addition, we investigated the residues (Ile-94 and Ile-100) that are predicted to serve as electron wires between N6a and N6b and between N6b and N2, respectively. Replacement of Ile-100 and Ile-94 with Ala/Gly did not affect the electron transfer activity significantly. It is concluded that conserved Ile-100 and Ile-94 are not essential for the electron transfer.","author":[{"dropping-particle":"","family":"Sinha","given":"Prem Kumar","non-dropping-particle":"","parse-names":false,"suffix":""},{"dropping-particle":"","family":"Nakamaru-Ogiso","given":"Eiko","non-dropping-particle":"","parse-names":false,"suffix":""},{"dropping-particle":"","family":"Torres-Bacete","given":"Jesus","non-dropping-particle":"","parse-names":false,"suffix":""},{"dropping-particle":"","family":"Sato","given":"Motoaki","non-dropping-particle":"","parse-names":false,"suffix":""},{"dropping-particle":"","family":"Castro-Guerrero","given":"Norma","non-dropping-particle":"","parse-names":false,"suffix":""},{"dropping-particle":"","family":"Ohnishi","given":"Tomoko","non-dropping-particle":"","parse-names":false,"suffix":""},{"dropping-particle":"","family":"Matsuno-Yagi","given":"Akemi","non-dropping-particle":"","parse-names":false,"suffix":""},{"dropping-particle":"","family":"Yagi","given":"Takao","non-dropping-particle":"","parse-names":false,"suffix":""}],"container-title":"The Journal of biological chemistry","id":"ITEM-1","issue":"21","issued":{"date-parts":[["2012","5"]]},"language":"eng","page":"17363-17373","title":"Electron transfer in subunit NuoI (TYKY) of Escherichia coli NADH:quinone  oxidoreductase (NDH-1).","type":"article-journal","volume":"287"},"uris":["http://www.mendeley.com/documents/?uuid=079e13fa-3233-4548-9d1d-e8fa3a9c75d3"]}],"mendeley":{"formattedCitation":"(Sinha &lt;i&gt;et al&lt;/i&gt;, 2012)","plainTextFormattedCitation":"(Sinha et al, 2012)","previouslyFormattedCitation":"(Sinha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6EC9205A" w14:textId="77777777" w:rsidTr="002471A8">
        <w:trPr>
          <w:trHeight w:val="65"/>
        </w:trPr>
        <w:tc>
          <w:tcPr>
            <w:tcW w:w="1165" w:type="dxa"/>
          </w:tcPr>
          <w:p w14:paraId="67EFE65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C60S</w:t>
            </w:r>
          </w:p>
        </w:tc>
        <w:tc>
          <w:tcPr>
            <w:tcW w:w="2610" w:type="dxa"/>
            <w:vMerge/>
          </w:tcPr>
          <w:p w14:paraId="79649688" w14:textId="77777777" w:rsidR="002471A8" w:rsidRPr="00E97FC1" w:rsidRDefault="002471A8" w:rsidP="002471A8">
            <w:pPr>
              <w:rPr>
                <w:rFonts w:ascii="Helvetica" w:hAnsi="Helvetica" w:cs="Helvetica"/>
                <w:bCs/>
                <w:sz w:val="20"/>
                <w:szCs w:val="20"/>
                <w:lang w:val="en-GB"/>
              </w:rPr>
            </w:pPr>
          </w:p>
        </w:tc>
        <w:tc>
          <w:tcPr>
            <w:tcW w:w="1440" w:type="dxa"/>
          </w:tcPr>
          <w:p w14:paraId="22EFD41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65A7895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31%</w:t>
            </w:r>
          </w:p>
        </w:tc>
        <w:tc>
          <w:tcPr>
            <w:tcW w:w="1260" w:type="dxa"/>
          </w:tcPr>
          <w:p w14:paraId="674C771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5-7%</w:t>
            </w:r>
          </w:p>
        </w:tc>
        <w:tc>
          <w:tcPr>
            <w:tcW w:w="1080" w:type="dxa"/>
          </w:tcPr>
          <w:p w14:paraId="7B80A44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5%</w:t>
            </w:r>
          </w:p>
        </w:tc>
        <w:tc>
          <w:tcPr>
            <w:tcW w:w="1260" w:type="dxa"/>
          </w:tcPr>
          <w:p w14:paraId="112C6270" w14:textId="557061C6"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{"citationItems":[{"id":"ITEM-1","itemData":{"DOI":"10.1074/jbc.M111.329649","ISSN":"1083-351X (Electronic)","PMID":"22474289","abstract":"Bacterial proton-translocating NADH:quinone oxidoreductase (NDH-1) consists of a  peripheral and a membrane domain. The peripheral domain catalyzes the electron transfer from NADH to quinone through a chain of seven iron-sulfur (Fe/S) clusters. Subunit NuoI in the peripheral domain contains two [4Fe-4S] clusters (N6a and N6b) and plays a role in bridging the electron transfer from cluster N5 to the terminal cluster N2. We constructed mutants for eight individual Cys-coordinating Fe/S clusters. With the exception of C63S, all mutants had damaged architecture of NDH-1, suggesting that Cys-coordinating Fe/S clusters help maintain the NDH-1 structure. Studies of three mutants (C63S-coordinating N6a, P110A located near N6a, and P71A in the vicinity of N6b) were carried out using EPR measurement. These three mutations did not affect the EPR signals from [2Fe-2S] clusters and retained electron transfer activities. Signals at g(z) = 2.09 disappeared in C63S and P110A but not in P71A. Considering our data together with the available information, g(z,x) = 2.09, 1.88 signals are assigned to cluster N6a. It is of interest that, in terms of g(z,x) values, cluster N6a is similar to cluster N4. In addition, we investigated the residues (Ile-94 and Ile-100) that are predicted to serve as electron wires between N6a and N6b and between N6b and N2, respectively. Replacement of Ile-100 and Ile-94 with Ala/Gly did not affect the electron transfer activity significantly. It is concluded that conserved Ile-100 and Ile-94 are not essential for the electron transfer.","author":[{"dropping-particle":"","family":"Sinha","given":"Prem Kumar","non-dropping-particle":"","parse-names":false,"suffix":""},{"dropping-particle":"","family":"Nakamaru-Ogiso","given":"Eiko","non-dropping-particle":"","parse-names":false,"suffix":""},{"dropping-particle":"","family":"Torres-Bacete","given":"Jesus","non-dropping-particle":"","parse-names":false,"suffix":""},{"dropping-particle":"","family":"Sato","given":"Motoaki","non-dropping-particle":"","parse-names":false,"suffix":""},{"dropping-particle":"","family":"Castro-Guerrero","given":"Norma","non-dropping-particle":"","parse-names":false,"suffix":""},{"dropping-particle":"","family":"Ohnishi","given":"Tomoko","non-dropping-particle":"","parse-names":false,"suffix":""},{"dropping-particle":"","family":"Matsuno-Yagi","given":"Akemi","non-dropping-particle":"","parse-names":false,"suffix":""},{"dropping-particle":"","family":"Yagi","given":"Takao","non-dropping-particle":"","parse-names":false,"suffix":""}],"container-title":"The Journal of biological chemistry","id":"ITEM-1","issue":"21","issued":{"date-parts":[["2012","5"]]},"language":"eng","page":"17363-17373","title":"Electron transfer in subunit NuoI (TYKY) of Escherichia coli NADH:quinone  oxidoreductase (NDH-1).","type":"article-journal","volume":"287"},"uris":["http://www.mendeley.com/documents/?uuid=079e13fa-3233-4548-9d1d-e8fa3a9c75d3"]}],"mendeley":{"formattedCitation":"(Sinha &lt;i&gt;et al&lt;/i&gt;, 2012)","plainTextFormattedCitation":"(Sinha et al, 2012)","previouslyFormattedCitation":"(Sinha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7752B9A6" w14:textId="77777777" w:rsidTr="002471A8">
        <w:trPr>
          <w:trHeight w:val="65"/>
        </w:trPr>
        <w:tc>
          <w:tcPr>
            <w:tcW w:w="1165" w:type="dxa"/>
          </w:tcPr>
          <w:p w14:paraId="34EB095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C60H</w:t>
            </w:r>
          </w:p>
        </w:tc>
        <w:tc>
          <w:tcPr>
            <w:tcW w:w="2610" w:type="dxa"/>
            <w:vMerge/>
          </w:tcPr>
          <w:p w14:paraId="37D23722" w14:textId="77777777" w:rsidR="002471A8" w:rsidRPr="00E97FC1" w:rsidRDefault="002471A8" w:rsidP="002471A8">
            <w:pPr>
              <w:rPr>
                <w:rFonts w:ascii="Helvetica" w:hAnsi="Helvetica" w:cs="Helvetica"/>
                <w:bCs/>
                <w:sz w:val="20"/>
                <w:szCs w:val="20"/>
                <w:lang w:val="en-GB"/>
              </w:rPr>
            </w:pPr>
          </w:p>
        </w:tc>
        <w:tc>
          <w:tcPr>
            <w:tcW w:w="1440" w:type="dxa"/>
          </w:tcPr>
          <w:p w14:paraId="1699D5B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26A98AF4"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20%</w:t>
            </w:r>
          </w:p>
        </w:tc>
        <w:tc>
          <w:tcPr>
            <w:tcW w:w="1260" w:type="dxa"/>
          </w:tcPr>
          <w:p w14:paraId="51447D9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2%</w:t>
            </w:r>
          </w:p>
        </w:tc>
        <w:tc>
          <w:tcPr>
            <w:tcW w:w="1080" w:type="dxa"/>
          </w:tcPr>
          <w:p w14:paraId="4B921617"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0%</w:t>
            </w:r>
          </w:p>
        </w:tc>
        <w:tc>
          <w:tcPr>
            <w:tcW w:w="1260" w:type="dxa"/>
          </w:tcPr>
          <w:p w14:paraId="3E665835" w14:textId="3C6F5F0B"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{"citationItems":[{"id":"ITEM-1","itemData":{"DOI":"10.1074/jbc.M111.329649","ISSN":"1083-351X (Electronic)","PMID":"22474289","abstract":"Bacterial proton-translocating NADH:quinone oxidoreductase (NDH-1) consists of a  peripheral and a membrane domain. The peripheral domain catalyzes the electron transfer from NADH to quinone through a chain of seven iron-sulfur (Fe/S) clusters. Subunit NuoI in the peripheral domain contains two [4Fe-4S] clusters (N6a and N6b) and plays a role in bridging the electron transfer from cluster N5 to the terminal cluster N2. We constructed mutants for eight individual Cys-coordinating Fe/S clusters. With the exception of C63S, all mutants had damaged architecture of NDH-1, suggesting that Cys-coordinating Fe/S clusters help maintain the NDH-1 structure. Studies of three mutants (C63S-coordinating N6a, P110A located near N6a, and P71A in the vicinity of N6b) were carried out using EPR measurement. These three mutations did not affect the EPR signals from [2Fe-2S] clusters and retained electron transfer activities. Signals at g(z) = 2.09 disappeared in C63S and P110A but not in P71A. Considering our data together with the available information, g(z,x) = 2.09, 1.88 signals are assigned to cluster N6a. It is of interest that, in terms of g(z,x) values, cluster N6a is similar to cluster N4. In addition, we investigated the residues (Ile-94 and Ile-100) that are predicted to serve as electron wires between N6a and N6b and between N6b and N2, respectively. Replacement of Ile-100 and Ile-94 with Ala/Gly did not affect the electron transfer activity significantly. It is concluded that conserved Ile-100 and Ile-94 are not essential for the electron transfer.","author":[{"dropping-particle":"","family":"Sinha","given":"Prem Kumar","non-dropping-particle":"","parse-names":false,"suffix":""},{"dropping-particle":"","family":"Nakamaru-Ogiso","given":"Eiko","non-dropping-particle":"","parse-names":false,"suffix":""},{"dropping-particle":"","family":"Torres-Bacete","given":"Jesus","non-dropping-particle":"","parse-names":false,"suffix":""},{"dropping-particle":"","family":"Sato","given":"Motoaki","non-dropping-particle":"","parse-names":false,"suffix":""},{"dropping-particle":"","family":"Castro-Guerrero","given":"Norma","non-dropping-particle":"","parse-names":false,"suffix":""},{"dropping-particle":"","family":"Ohnishi","given":"Tomoko","non-dropping-particle":"","parse-names":false,"suffix":""},{"dropping-particle":"","family":"Matsuno-Yagi","given":"Akemi","non-dropping-particle":"","parse-names":false,"suffix":""},{"dropping-particle":"","family":"Yagi","given":"Takao","non-dropping-particle":"","parse-names":false,"suffix":""}],"container-title":"The Journal of biological chemistry","id":"ITEM-1","issue":"21","issued":{"date-parts":[["2012","5"]]},"language":"eng","page":"17363-17373","title":"Electron transfer in subunit NuoI (TYKY) of Escherichia coli NADH:quinone  oxidoreductase (NDH-1).","type":"article-journal","volume":"287"},"uris":["http://www.mendeley.com/documents/?uuid=079e13fa-3233-4548-9d1d-e8fa3a9c75d3"]}],"mendeley":{"formattedCitation":"(Sinha &lt;i&gt;et al&lt;/i&gt;, 2012)","plainTextFormattedCitation":"(Sinha et al, 2012)","previouslyFormattedCitation":"(Sinha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0B529C25" w14:textId="77777777" w:rsidTr="002471A8">
        <w:trPr>
          <w:trHeight w:val="65"/>
        </w:trPr>
        <w:tc>
          <w:tcPr>
            <w:tcW w:w="1165" w:type="dxa"/>
          </w:tcPr>
          <w:p w14:paraId="3BA911B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C63A</w:t>
            </w:r>
          </w:p>
        </w:tc>
        <w:tc>
          <w:tcPr>
            <w:tcW w:w="2610" w:type="dxa"/>
            <w:vMerge/>
          </w:tcPr>
          <w:p w14:paraId="6018547E" w14:textId="77777777" w:rsidR="002471A8" w:rsidRPr="00E97FC1" w:rsidRDefault="002471A8" w:rsidP="002471A8">
            <w:pPr>
              <w:rPr>
                <w:rFonts w:ascii="Helvetica" w:hAnsi="Helvetica" w:cs="Helvetica"/>
                <w:bCs/>
                <w:sz w:val="20"/>
                <w:szCs w:val="20"/>
                <w:lang w:val="en-GB"/>
              </w:rPr>
            </w:pPr>
          </w:p>
        </w:tc>
        <w:tc>
          <w:tcPr>
            <w:tcW w:w="1440" w:type="dxa"/>
          </w:tcPr>
          <w:p w14:paraId="206E518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433A3CC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23%</w:t>
            </w:r>
          </w:p>
        </w:tc>
        <w:tc>
          <w:tcPr>
            <w:tcW w:w="1260" w:type="dxa"/>
          </w:tcPr>
          <w:p w14:paraId="2C3B440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2%</w:t>
            </w:r>
          </w:p>
        </w:tc>
        <w:tc>
          <w:tcPr>
            <w:tcW w:w="1080" w:type="dxa"/>
          </w:tcPr>
          <w:p w14:paraId="78AD0220"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0%</w:t>
            </w:r>
          </w:p>
        </w:tc>
        <w:tc>
          <w:tcPr>
            <w:tcW w:w="1260" w:type="dxa"/>
          </w:tcPr>
          <w:p w14:paraId="20377A11" w14:textId="68269D10"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{"citationItems":[{"id":"ITEM-1","itemData":{"DOI":"10.1074/jbc.M111.329649","ISSN":"1083-351X (Electronic)","PMID":"22474289","abstract":"Bacterial proton-translocating NADH:quinone oxidoreductase (NDH-1) consists of a  peripheral and a membrane domain. The peripheral domain catalyzes the electron transfer from NADH to quinone through a chain of seven iron-sulfur (Fe/S) clusters. Subunit NuoI in the peripheral domain contains two [4Fe-4S] clusters (N6a and N6b) and plays a role in bridging the electron transfer from cluster N5 to the terminal cluster N2. We constructed mutants for eight individual Cys-coordinating Fe/S clusters. With the exception of C63S, all mutants had damaged architecture of NDH-1, suggesting that Cys-coordinating Fe/S clusters help maintain the NDH-1 structure. Studies of three mutants (C63S-coordinating N6a, P110A located near N6a, and P71A in the vicinity of N6b) were carried out using EPR measurement. These three mutations did not affect the EPR signals from [2Fe-2S] clusters and retained electron transfer activities. Signals at g(z) = 2.09 disappeared in C63S and P110A but not in P71A. Considering our data together with the available information, g(z,x) = 2.09, 1.88 signals are assigned to cluster N6a. It is of interest that, in terms of g(z,x) values, cluster N6a is similar to cluster N4. In addition, we investigated the residues (Ile-94 and Ile-100) that are predicted to serve as electron wires between N6a and N6b and between N6b and N2, respectively. Replacement of Ile-100 and Ile-94 with Ala/Gly did not affect the electron transfer activity significantly. It is concluded that conserved Ile-100 and Ile-94 are not essential for the electron transfer.","author":[{"dropping-particle":"","family":"Sinha","given":"Prem Kumar","non-dropping-particle":"","parse-names":false,"suffix":""},{"dropping-particle":"","family":"Nakamaru-Ogiso","given":"Eiko","non-dropping-particle":"","parse-names":false,"suffix":""},{"dropping-particle":"","family":"Torres-Bacete","given":"Jesus","non-dropping-particle":"","parse-names":false,"suffix":""},{"dropping-particle":"","family":"Sato","given":"Motoaki","non-dropping-particle":"","parse-names":false,"suffix":""},{"dropping-particle":"","family":"Castro-Guerrero","given":"Norma","non-dropping-particle":"","parse-names":false,"suffix":""},{"dropping-particle":"","family":"Ohnishi","given":"Tomoko","non-dropping-particle":"","parse-names":false,"suffix":""},{"dropping-particle":"","family":"Matsuno-Yagi","given":"Akemi","non-dropping-particle":"","parse-names":false,"suffix":""},{"dropping-particle":"","family":"Yagi","given":"Takao","non-dropping-particle":"","parse-names":false,"suffix":""}],"container-title":"The Journal of biological chemistry","id":"ITEM-1","issue":"21","issued":{"date-parts":[["2012","5"]]},"language":"eng","page":"17363-17373","title":"Electron transfer in subunit NuoI (TYKY) of Escherichia coli NADH:quinone  oxidoreductase (NDH-1).","type":"article-journal","volume":"287"},"uris":["http://www.mendeley.com/documents/?uuid=079e13fa-3233-4548-9d1d-e8fa3a9c75d3"]}],"mendeley":{"formattedCitation":"(Sinha &lt;i&gt;et al&lt;/i&gt;, 2012)","plainTextFormattedCitation":"(Sinha et al, 2012)","previouslyFormattedCitation":"(Sinha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35C10C6D" w14:textId="77777777" w:rsidTr="002471A8">
        <w:trPr>
          <w:trHeight w:val="65"/>
        </w:trPr>
        <w:tc>
          <w:tcPr>
            <w:tcW w:w="1165" w:type="dxa"/>
          </w:tcPr>
          <w:p w14:paraId="7B3CF33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C63S</w:t>
            </w:r>
          </w:p>
        </w:tc>
        <w:tc>
          <w:tcPr>
            <w:tcW w:w="2610" w:type="dxa"/>
            <w:vMerge/>
          </w:tcPr>
          <w:p w14:paraId="6C4C1CAF" w14:textId="77777777" w:rsidR="002471A8" w:rsidRPr="00E97FC1" w:rsidRDefault="002471A8" w:rsidP="002471A8">
            <w:pPr>
              <w:rPr>
                <w:rFonts w:ascii="Helvetica" w:hAnsi="Helvetica" w:cs="Helvetica"/>
                <w:bCs/>
                <w:sz w:val="20"/>
                <w:szCs w:val="20"/>
                <w:lang w:val="en-GB"/>
              </w:rPr>
            </w:pPr>
          </w:p>
        </w:tc>
        <w:tc>
          <w:tcPr>
            <w:tcW w:w="1440" w:type="dxa"/>
          </w:tcPr>
          <w:p w14:paraId="3EF5685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67B010A4"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50%</w:t>
            </w:r>
          </w:p>
        </w:tc>
        <w:tc>
          <w:tcPr>
            <w:tcW w:w="1260" w:type="dxa"/>
          </w:tcPr>
          <w:p w14:paraId="687B514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20%</w:t>
            </w:r>
          </w:p>
        </w:tc>
        <w:tc>
          <w:tcPr>
            <w:tcW w:w="1080" w:type="dxa"/>
          </w:tcPr>
          <w:p w14:paraId="5DE9C14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20%</w:t>
            </w:r>
          </w:p>
        </w:tc>
        <w:tc>
          <w:tcPr>
            <w:tcW w:w="1260" w:type="dxa"/>
          </w:tcPr>
          <w:p w14:paraId="6BA861E9" w14:textId="24DC7801"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{"citationItems":[{"id":"ITEM-1","itemData":{"DOI":"10.1074/jbc.M111.329649","ISSN":"1083-351X (Electronic)","PMID":"22474289","abstract":"Bacterial proton-translocating NADH:quinone oxidoreductase (NDH-1) consists of a  peripheral and a membrane domain. The peripheral domain catalyzes the electron transfer from NADH to quinone through a chain of seven iron-sulfur (Fe/S) clusters. Subunit NuoI in the peripheral domain contains two [4Fe-4S] clusters (N6a and N6b) and plays a role in bridging the electron transfer from cluster N5 to the terminal cluster N2. We constructed mutants for eight individual Cys-coordinating Fe/S clusters. With the exception of C63S, all mutants had damaged architecture of NDH-1, suggesting that Cys-coordinating Fe/S clusters help maintain the NDH-1 structure. Studies of three mutants (C63S-coordinating N6a, P110A located near N6a, and P71A in the vicinity of N6b) were carried out using EPR measurement. These three mutations did not affect the EPR signals from [2Fe-2S] clusters and retained electron transfer activities. Signals at g(z) = 2.09 disappeared in C63S and P110A but not in P71A. Considering our data together with the available information, g(z,x) = 2.09, 1.88 signals are assigned to cluster N6a. It is of interest that, in terms of g(z,x) values, cluster N6a is similar to cluster N4. In addition, we investigated the residues (Ile-94 and Ile-100) that are predicted to serve as electron wires between N6a and N6b and between N6b and N2, respectively. Replacement of Ile-100 and Ile-94 with Ala/Gly did not affect the electron transfer activity significantly. It is concluded that conserved Ile-100 and Ile-94 are not essential for the electron transfer.","author":[{"dropping-particle":"","family":"Sinha","given":"Prem Kumar","non-dropping-particle":"","parse-names":false,"suffix":""},{"dropping-particle":"","family":"Nakamaru-Ogiso","given":"Eiko","non-dropping-particle":"","parse-names":false,"suffix":""},{"dropping-particle":"","family":"Torres-Bacete","given":"Jesus","non-dropping-particle":"","parse-names":false,"suffix":""},{"dropping-particle":"","family":"Sato","given":"Motoaki","non-dropping-particle":"","parse-names":false,"suffix":""},{"dropping-particle":"","family":"Castro-Guerrero","given":"Norma","non-dropping-particle":"","parse-names":false,"suffix":""},{"dropping-particle":"","family":"Ohnishi","given":"Tomoko","non-dropping-particle":"","parse-names":false,"suffix":""},{"dropping-particle":"","family":"Matsuno-Yagi","given":"Akemi","non-dropping-particle":"","parse-names":false,"suffix":""},{"dropping-particle":"","family":"Yagi","given":"Takao","non-dropping-particle":"","parse-names":false,"suffix":""}],"container-title":"The Journal of biological chemistry","id":"ITEM-1","issue":"21","issued":{"date-parts":[["2012","5"]]},"language":"eng","page":"17363-17373","title":"Electron transfer in subunit NuoI (TYKY) of Escherichia coli NADH:quinone  oxidoreductase (NDH-1).","type":"article-journal","volume":"287"},"uris":["http://www.mendeley.com/documents/?uuid=079e13fa-3233-4548-9d1d-e8fa3a9c75d3"]}],"mendeley":{"formattedCitation":"(Sinha &lt;i&gt;et al&lt;/i&gt;, 2012)","plainTextFormattedCitation":"(Sinha et al, 2012)","previouslyFormattedCitation":"(Sinha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57E75E7B" w14:textId="77777777" w:rsidTr="002471A8">
        <w:trPr>
          <w:trHeight w:val="65"/>
        </w:trPr>
        <w:tc>
          <w:tcPr>
            <w:tcW w:w="1165" w:type="dxa"/>
          </w:tcPr>
          <w:p w14:paraId="4A0670E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C66S</w:t>
            </w:r>
          </w:p>
        </w:tc>
        <w:tc>
          <w:tcPr>
            <w:tcW w:w="2610" w:type="dxa"/>
            <w:vMerge/>
          </w:tcPr>
          <w:p w14:paraId="74268723" w14:textId="77777777" w:rsidR="002471A8" w:rsidRPr="00E97FC1" w:rsidRDefault="002471A8" w:rsidP="002471A8">
            <w:pPr>
              <w:rPr>
                <w:rFonts w:ascii="Helvetica" w:hAnsi="Helvetica" w:cs="Helvetica"/>
                <w:bCs/>
                <w:sz w:val="20"/>
                <w:szCs w:val="20"/>
                <w:lang w:val="en-GB"/>
              </w:rPr>
            </w:pPr>
          </w:p>
        </w:tc>
        <w:tc>
          <w:tcPr>
            <w:tcW w:w="1440" w:type="dxa"/>
          </w:tcPr>
          <w:p w14:paraId="051B4A8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03068D1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18%</w:t>
            </w:r>
          </w:p>
        </w:tc>
        <w:tc>
          <w:tcPr>
            <w:tcW w:w="1260" w:type="dxa"/>
          </w:tcPr>
          <w:p w14:paraId="2D5F446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22%</w:t>
            </w:r>
          </w:p>
        </w:tc>
        <w:tc>
          <w:tcPr>
            <w:tcW w:w="1080" w:type="dxa"/>
          </w:tcPr>
          <w:p w14:paraId="3ACF30B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0%</w:t>
            </w:r>
          </w:p>
        </w:tc>
        <w:tc>
          <w:tcPr>
            <w:tcW w:w="1260" w:type="dxa"/>
          </w:tcPr>
          <w:p w14:paraId="398C56B6" w14:textId="7304397C"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{"citationItems":[{"id":"ITEM-1","itemData":{"DOI":"10.1074/jbc.M111.329649","ISSN":"1083-351X (Electronic)","PMID":"22474289","abstract":"Bacterial proton-translocating NADH:quinone oxidoreductase (NDH-1) consists of a  peripheral and a membrane domain. The peripheral domain catalyzes the electron transfer from NADH to quinone through a chain of seven iron-sulfur (Fe/S) clusters. Subunit NuoI in the peripheral domain contains two [4Fe-4S] clusters (N6a and N6b) and plays a role in bridging the electron transfer from cluster N5 to the terminal cluster N2. We constructed mutants for eight individual Cys-coordinating Fe/S clusters. With the exception of C63S, all mutants had damaged architecture of NDH-1, suggesting that Cys-coordinating Fe/S clusters help maintain the NDH-1 structure. Studies of three mutants (C63S-coordinating N6a, P110A located near N6a, and P71A in the vicinity of N6b) were carried out using EPR measurement. These three mutations did not affect the EPR signals from [2Fe-2S] clusters and retained electron transfer activities. Signals at g(z) = 2.09 disappeared in C63S and P110A but not in P71A. Considering our data together with the available information, g(z,x) = 2.09, 1.88 signals are assigned to cluster N6a. It is of interest that, in terms of g(z,x) values, cluster N6a is similar to cluster N4. In addition, we investigated the residues (Ile-94 and Ile-100) that are predicted to serve as electron wires between N6a and N6b and between N6b and N2, respectively. Replacement of Ile-100 and Ile-94 with Ala/Gly did not affect the electron transfer activity significantly. It is concluded that conserved Ile-100 and Ile-94 are not essential for the electron transfer.","author":[{"dropping-particle":"","family":"Sinha","given":"Prem Kumar","non-dropping-particle":"","parse-names":false,"suffix":""},{"dropping-particle":"","family":"Nakamaru-Ogiso","given":"Eiko","non-dropping-particle":"","parse-names":false,"suffix":""},{"dropping-particle":"","family":"Torres-Bacete","given":"Jesus","non-dropping-particle":"","parse-names":false,"suffix":""},{"dropping-particle":"","family":"Sato","given":"Motoaki","non-dropping-particle":"","parse-names":false,"suffix":""},{"dropping-particle":"","family":"Castro-Guerrero","given":"Norma","non-dropping-particle":"","parse-names":false,"suffix":""},{"dropping-particle":"","family":"Ohnishi","given":"Tomoko","non-dropping-particle":"","parse-names":false,"suffix":""},{"dropping-particle":"","family":"Matsuno-Yagi","given":"Akemi","non-dropping-particle":"","parse-names":false,"suffix":""},{"dropping-particle":"","family":"Yagi","given":"Takao","non-dropping-particle":"","parse-names":false,"suffix":""}],"container-title":"The Journal of biological chemistry","id":"ITEM-1","issue":"21","issued":{"date-parts":[["2012","5"]]},"language":"eng","page":"17363-17373","title":"Electron transfer in subunit NuoI (TYKY) of Escherichia coli NADH:quinone  oxidoreductase (NDH-1).","type":"article-journal","volume":"287"},"uris":["http://www.mendeley.com/documents/?uuid=079e13fa-3233-4548-9d1d-e8fa3a9c75d3"]}],"mendeley":{"formattedCitation":"(Sinha &lt;i&gt;et al&lt;/i&gt;, 2012)","plainTextFormattedCitation":"(Sinha et al, 2012)","previouslyFormattedCitation":"(Sinha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6D8ADC17" w14:textId="77777777" w:rsidTr="002471A8">
        <w:trPr>
          <w:trHeight w:val="65"/>
        </w:trPr>
        <w:tc>
          <w:tcPr>
            <w:tcW w:w="1165" w:type="dxa"/>
          </w:tcPr>
          <w:p w14:paraId="622070C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C66H</w:t>
            </w:r>
          </w:p>
        </w:tc>
        <w:tc>
          <w:tcPr>
            <w:tcW w:w="2610" w:type="dxa"/>
            <w:vMerge/>
          </w:tcPr>
          <w:p w14:paraId="1193187A" w14:textId="77777777" w:rsidR="002471A8" w:rsidRPr="00E97FC1" w:rsidRDefault="002471A8" w:rsidP="002471A8">
            <w:pPr>
              <w:rPr>
                <w:rFonts w:ascii="Helvetica" w:hAnsi="Helvetica" w:cs="Helvetica"/>
                <w:bCs/>
                <w:sz w:val="20"/>
                <w:szCs w:val="20"/>
                <w:lang w:val="en-GB"/>
              </w:rPr>
            </w:pPr>
          </w:p>
        </w:tc>
        <w:tc>
          <w:tcPr>
            <w:tcW w:w="1440" w:type="dxa"/>
          </w:tcPr>
          <w:p w14:paraId="531EAAC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5A8B7A4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19%</w:t>
            </w:r>
          </w:p>
        </w:tc>
        <w:tc>
          <w:tcPr>
            <w:tcW w:w="1260" w:type="dxa"/>
          </w:tcPr>
          <w:p w14:paraId="33DFB12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1-2%</w:t>
            </w:r>
          </w:p>
        </w:tc>
        <w:tc>
          <w:tcPr>
            <w:tcW w:w="1080" w:type="dxa"/>
          </w:tcPr>
          <w:p w14:paraId="279C8641"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0%</w:t>
            </w:r>
          </w:p>
        </w:tc>
        <w:tc>
          <w:tcPr>
            <w:tcW w:w="1260" w:type="dxa"/>
          </w:tcPr>
          <w:p w14:paraId="3AD737F7" w14:textId="68854A59"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{"citationItems":[{"id":"ITEM-1","itemData":{"DOI":"10.1074/jbc.M111.329649","ISSN":"1083-351X (Electronic)","PMID":"22474289","abstract":"Bacterial proton-translocating NADH:quinone oxidoreductase (NDH-1) consists of a  peripheral and a membrane domain. The peripheral domain catalyzes the electron transfer from NADH to quinone through a chain of seven iron-sulfur (Fe/S) clusters. Subunit NuoI in the peripheral domain contains two [4Fe-4S] clusters (N6a and N6b) and plays a role in bridging the electron transfer from cluster N5 to the terminal cluster N2. We constructed mutants for eight individual Cys-coordinating Fe/S clusters. With the exception of C63S, all mutants had damaged architecture of NDH-1, suggesting that Cys-coordinating Fe/S clusters help maintain the NDH-1 structure. Studies of three mutants (C63S-coordinating N6a, P110A located near N6a, and P71A in the vicinity of N6b) were carried out using EPR measurement. These three mutations did not affect the EPR signals from [2Fe-2S] clusters and retained electron transfer activities. Signals at g(z) = 2.09 disappeared in C63S and P110A but not in P71A. Considering our data together with the available information, g(z,x) = 2.09, 1.88 signals are assigned to cluster N6a. It is of interest that, in terms of g(z,x) values, cluster N6a is similar to cluster N4. In addition, we investigated the residues (Ile-94 and Ile-100) that are predicted to serve as electron wires between N6a and N6b and between N6b and N2, respectively. Replacement of Ile-100 and Ile-94 with Ala/Gly did not affect the electron transfer activity significantly. It is concluded that conserved Ile-100 and Ile-94 are not essential for the electron transfer.","author":[{"dropping-particle":"","family":"Sinha","given":"Prem Kumar","non-dropping-particle":"","parse-names":false,"suffix":""},{"dropping-particle":"","family":"Nakamaru-Ogiso","given":"Eiko","non-dropping-particle":"","parse-names":false,"suffix":""},{"dropping-particle":"","family":"Torres-Bacete","given":"Jesus","non-dropping-particle":"","parse-names":false,"suffix":""},{"dropping-particle":"","family":"Sato","given":"Motoaki","non-dropping-particle":"","parse-names":false,"suffix":""},{"dropping-particle":"","family":"Castro-Guerrero","given":"Norma","non-dropping-particle":"","parse-names":false,"suffix":""},{"dropping-particle":"","family":"Ohnishi","given":"Tomoko","non-dropping-particle":"","parse-names":false,"suffix":""},{"dropping-particle":"","family":"Matsuno-Yagi","given":"Akemi","non-dropping-particle":"","parse-names":false,"suffix":""},{"dropping-particle":"","family":"Yagi","given":"Takao","non-dropping-particle":"","parse-names":false,"suffix":""}],"container-title":"The Journal of biological chemistry","id":"ITEM-1","issue":"21","issued":{"date-parts":[["2012","5"]]},"language":"eng","page":"17363-17373","title":"Electron transfer in subunit NuoI (TYKY) of Escherichia coli NADH:quinone  oxidoreductase (NDH-1).","type":"article-journal","volume":"287"},"uris":["http://www.mendeley.com/documents/?uuid=079e13fa-3233-4548-9d1d-e8fa3a9c75d3"]}],"mendeley":{"formattedCitation":"(Sinha &lt;i&gt;et al&lt;/i&gt;, 2012)","plainTextFormattedCitation":"(Sinha et al, 2012)","previouslyFormattedCitation":"(Sinha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06CEA62F" w14:textId="77777777" w:rsidTr="002471A8">
        <w:trPr>
          <w:trHeight w:val="65"/>
        </w:trPr>
        <w:tc>
          <w:tcPr>
            <w:tcW w:w="1165" w:type="dxa"/>
          </w:tcPr>
          <w:p w14:paraId="032A44A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C70S</w:t>
            </w:r>
          </w:p>
        </w:tc>
        <w:tc>
          <w:tcPr>
            <w:tcW w:w="2610" w:type="dxa"/>
            <w:vMerge w:val="restart"/>
          </w:tcPr>
          <w:p w14:paraId="0797D27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Bond with N6b Fe-S cluster</w:t>
            </w:r>
          </w:p>
        </w:tc>
        <w:tc>
          <w:tcPr>
            <w:tcW w:w="1440" w:type="dxa"/>
          </w:tcPr>
          <w:p w14:paraId="66711FD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1CDFE71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19%</w:t>
            </w:r>
          </w:p>
        </w:tc>
        <w:tc>
          <w:tcPr>
            <w:tcW w:w="1260" w:type="dxa"/>
          </w:tcPr>
          <w:p w14:paraId="54B2614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4%</w:t>
            </w:r>
          </w:p>
        </w:tc>
        <w:tc>
          <w:tcPr>
            <w:tcW w:w="1080" w:type="dxa"/>
          </w:tcPr>
          <w:p w14:paraId="5A4A0860"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0%</w:t>
            </w:r>
          </w:p>
        </w:tc>
        <w:tc>
          <w:tcPr>
            <w:tcW w:w="1260" w:type="dxa"/>
          </w:tcPr>
          <w:p w14:paraId="65303E30" w14:textId="7339E3F8"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{"citationItems":[{"id":"ITEM-1","itemData":{"DOI":"10.1074/jbc.M111.329649","ISSN":"1083-351X (Electronic)","PMID":"22474289","abstract":"Bacterial proton-translocating NADH:quinone oxidoreductase (NDH-1) consists of a  peripheral and a membrane domain. The peripheral domain catalyzes the electron transfer from NADH to quinone through a chain of seven iron-sulfur (Fe/S) clusters. Subunit NuoI in the peripheral domain contains two [4Fe-4S] clusters (N6a and N6b) and plays a role in bridging the electron transfer from cluster N5 to the terminal cluster N2. We constructed mutants for eight individual Cys-coordinating Fe/S clusters. With the exception of C63S, all mutants had damaged architecture of NDH-1, suggesting that Cys-coordinating Fe/S clusters help maintain the NDH-1 structure. Studies of three mutants (C63S-coordinating N6a, P110A located near N6a, and P71A in the vicinity of N6b) were carried out using EPR measurement. These three mutations did not affect the EPR signals from [2Fe-2S] clusters and retained electron transfer activities. Signals at g(z) = 2.09 disappeared in C63S and P110A but not in P71A. Considering our data together with the available information, g(z,x) = 2.09, 1.88 signals are assigned to cluster N6a. It is of interest that, in terms of g(z,x) values, cluster N6a is similar to cluster N4. In addition, we investigated the residues (Ile-94 and Ile-100) that are predicted to serve as electron wires between N6a and N6b and between N6b and N2, respectively. Replacement of Ile-100 and Ile-94 with Ala/Gly did not affect the electron transfer activity significantly. It is concluded that conserved Ile-100 and Ile-94 are not essential for the electron transfer.","author":[{"dropping-particle":"","family":"Sinha","given":"Prem Kumar","non-dropping-particle":"","parse-names":false,"suffix":""},{"dropping-particle":"","family":"Nakamaru-Ogiso","given":"Eiko","non-dropping-particle":"","parse-names":false,"suffix":""},{"dropping-particle":"","family":"Torres-Bacete","given":"Jesus","non-dropping-particle":"","parse-names":false,"suffix":""},{"dropping-particle":"","family":"Sato","given":"Motoaki","non-dropping-particle":"","parse-names":false,"suffix":""},{"dropping-particle":"","family":"Castro-Guerrero","given":"Norma","non-dropping-particle":"","parse-names":false,"suffix":""},{"dropping-particle":"","family":"Ohnishi","given":"Tomoko","non-dropping-particle":"","parse-names":false,"suffix":""},{"dropping-particle":"","family":"Matsuno-Yagi","given":"Akemi","non-dropping-particle":"","parse-names":false,"suffix":""},{"dropping-particle":"","family":"Yagi","given":"Takao","non-dropping-particle":"","parse-names":false,"suffix":""}],"container-title":"The Journal of biological chemistry","id":"ITEM-1","issue":"21","issued":{"date-parts":[["2012","5"]]},"language":"eng","page":"17363-17373","title":"Electron transfer in subunit NuoI (TYKY) of Escherichia coli NADH:quinone  oxidoreductase (NDH-1).","type":"article-journal","volume":"287"},"uris":["http://www.mendeley.com/documents/?uuid=079e13fa-3233-4548-9d1d-e8fa3a9c75d3"]}],"mendeley":{"formattedCitation":"(Sinha &lt;i&gt;et al&lt;/i&gt;, 2012)","plainTextFormattedCitation":"(Sinha et al, 2012)","previouslyFormattedCitation":"(Sinha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16BBE590" w14:textId="77777777" w:rsidTr="002471A8">
        <w:trPr>
          <w:trHeight w:val="65"/>
        </w:trPr>
        <w:tc>
          <w:tcPr>
            <w:tcW w:w="1165" w:type="dxa"/>
          </w:tcPr>
          <w:p w14:paraId="40CA1E6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C70H</w:t>
            </w:r>
          </w:p>
        </w:tc>
        <w:tc>
          <w:tcPr>
            <w:tcW w:w="2610" w:type="dxa"/>
            <w:vMerge/>
          </w:tcPr>
          <w:p w14:paraId="24FC701E" w14:textId="77777777" w:rsidR="002471A8" w:rsidRPr="00E97FC1" w:rsidRDefault="002471A8" w:rsidP="002471A8">
            <w:pPr>
              <w:rPr>
                <w:rFonts w:ascii="Helvetica" w:hAnsi="Helvetica" w:cs="Helvetica"/>
                <w:bCs/>
                <w:sz w:val="20"/>
                <w:szCs w:val="20"/>
                <w:lang w:val="en-GB"/>
              </w:rPr>
            </w:pPr>
          </w:p>
        </w:tc>
        <w:tc>
          <w:tcPr>
            <w:tcW w:w="1440" w:type="dxa"/>
          </w:tcPr>
          <w:p w14:paraId="0365F290"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7917329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15%</w:t>
            </w:r>
          </w:p>
        </w:tc>
        <w:tc>
          <w:tcPr>
            <w:tcW w:w="1260" w:type="dxa"/>
          </w:tcPr>
          <w:p w14:paraId="09FD82A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1-2%</w:t>
            </w:r>
          </w:p>
        </w:tc>
        <w:tc>
          <w:tcPr>
            <w:tcW w:w="1080" w:type="dxa"/>
          </w:tcPr>
          <w:p w14:paraId="5D89535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0-5%</w:t>
            </w:r>
          </w:p>
        </w:tc>
        <w:tc>
          <w:tcPr>
            <w:tcW w:w="1260" w:type="dxa"/>
          </w:tcPr>
          <w:p w14:paraId="784F56A5" w14:textId="22E88E2A"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{"citationItems":[{"id":"ITEM-1","itemData":{"DOI":"10.1074/jbc.M111.329649","ISSN":"1083-351X (Electronic)","PMID":"22474289","abstract":"Bacterial proton-translocating NADH:quinone oxidoreductase (NDH-1) consists of a  peripheral and a membrane domain. The peripheral domain catalyzes the electron transfer from NADH to quinone through a chain of seven iron-sulfur (Fe/S) clusters. Subunit NuoI in the peripheral domain contains two [4Fe-4S] clusters (N6a and N6b) and plays a role in bridging the electron transfer from cluster N5 to the terminal cluster N2. We constructed mutants for eight individual Cys-coordinating Fe/S clusters. With the exception of C63S, all mutants had damaged architecture of NDH-1, suggesting that Cys-coordinating Fe/S clusters help maintain the NDH-1 structure. Studies of three mutants (C63S-coordinating N6a, P110A located near N6a, and P71A in the vicinity of N6b) were carried out using EPR measurement. These three mutations did not affect the EPR signals from [2Fe-2S] clusters and retained electron transfer activities. Signals at g(z) = 2.09 disappeared in C63S and P110A but not in P71A. Considering our data together with the available information, g(z,x) = 2.09, 1.88 signals are assigned to cluster N6a. It is of interest that, in terms of g(z,x) values, cluster N6a is similar to cluster N4. In addition, we investigated the residues (Ile-94 and Ile-100) that are predicted to serve as electron wires between N6a and N6b and between N6b and N2, respectively. Replacement of Ile-100 and Ile-94 with Ala/Gly did not affect the electron transfer activity significantly. It is concluded that conserved Ile-100 and Ile-94 are not essential for the electron transfer.","author":[{"dropping-particle":"","family":"Sinha","given":"Prem Kumar","non-dropping-particle":"","parse-names":false,"suffix":""},{"dropping-particle":"","family":"Nakamaru-Ogiso","given":"Eiko","non-dropping-particle":"","parse-names":false,"suffix":""},{"dropping-particle":"","family":"Torres-Bacete","given":"Jesus","non-dropping-particle":"","parse-names":false,"suffix":""},{"dropping-particle":"","family":"Sato","given":"Motoaki","non-dropping-particle":"","parse-names":false,"suffix":""},{"dropping-particle":"","family":"Castro-Guerrero","given":"Norma","non-dropping-particle":"","parse-names":false,"suffix":""},{"dropping-particle":"","family":"Ohnishi","given":"Tomoko","non-dropping-particle":"","parse-names":false,"suffix":""},{"dropping-particle":"","family":"Matsuno-Yagi","given":"Akemi","non-dropping-particle":"","parse-names":false,"suffix":""},{"dropping-particle":"","family":"Yagi","given":"Takao","non-dropping-particle":"","parse-names":false,"suffix":""}],"container-title":"The Journal of biological chemistry","id":"ITEM-1","issue":"21","issued":{"date-parts":[["2012","5"]]},"language":"eng","page":"17363-17373","title":"Electron transfer in subunit NuoI (TYKY) of Escherichia coli NADH:quinone  oxidoreductase (NDH-1).","type":"article-journal","volume":"287"},"uris":["http://www.mendeley.com/documents/?uuid=079e13fa-3233-4548-9d1d-e8fa3a9c75d3"]}],"mendeley":{"formattedCitation":"(Sinha &lt;i&gt;et al&lt;/i&gt;, 2012)","plainTextFormattedCitation":"(Sinha et al, 2012)","previouslyFormattedCitation":"(Sinha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4B2FF246" w14:textId="77777777" w:rsidTr="002471A8">
        <w:trPr>
          <w:trHeight w:val="65"/>
        </w:trPr>
        <w:tc>
          <w:tcPr>
            <w:tcW w:w="1165" w:type="dxa"/>
          </w:tcPr>
          <w:p w14:paraId="4162954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lastRenderedPageBreak/>
              <w:t>C99S</w:t>
            </w:r>
          </w:p>
        </w:tc>
        <w:tc>
          <w:tcPr>
            <w:tcW w:w="2610" w:type="dxa"/>
            <w:vMerge/>
          </w:tcPr>
          <w:p w14:paraId="7E04FDE8" w14:textId="77777777" w:rsidR="002471A8" w:rsidRPr="00E97FC1" w:rsidRDefault="002471A8" w:rsidP="002471A8">
            <w:pPr>
              <w:rPr>
                <w:rFonts w:ascii="Helvetica" w:hAnsi="Helvetica" w:cs="Helvetica"/>
                <w:bCs/>
                <w:sz w:val="20"/>
                <w:szCs w:val="20"/>
                <w:lang w:val="en-GB"/>
              </w:rPr>
            </w:pPr>
          </w:p>
        </w:tc>
        <w:tc>
          <w:tcPr>
            <w:tcW w:w="1440" w:type="dxa"/>
          </w:tcPr>
          <w:p w14:paraId="208DB3E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773C74AB"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17%</w:t>
            </w:r>
          </w:p>
        </w:tc>
        <w:tc>
          <w:tcPr>
            <w:tcW w:w="1260" w:type="dxa"/>
          </w:tcPr>
          <w:p w14:paraId="6554C1B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1-2%</w:t>
            </w:r>
          </w:p>
        </w:tc>
        <w:tc>
          <w:tcPr>
            <w:tcW w:w="1080" w:type="dxa"/>
          </w:tcPr>
          <w:p w14:paraId="7F97DA5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0%</w:t>
            </w:r>
          </w:p>
        </w:tc>
        <w:tc>
          <w:tcPr>
            <w:tcW w:w="1260" w:type="dxa"/>
          </w:tcPr>
          <w:p w14:paraId="7FA07EDD" w14:textId="3B6050B4"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{"citationItems":[{"id":"ITEM-1","itemData":{"DOI":"10.1074/jbc.M111.329649","ISSN":"1083-351X (Electronic)","PMID":"22474289","abstract":"Bacterial proton-translocating NADH:quinone oxidoreductase (NDH-1) consists of a  peripheral and a membrane domain. The peripheral domain catalyzes the electron transfer from NADH to quinone through a chain of seven iron-sulfur (Fe/S) clusters. Subunit NuoI in the peripheral domain contains two [4Fe-4S] clusters (N6a and N6b) and plays a role in bridging the electron transfer from cluster N5 to the terminal cluster N2. We constructed mutants for eight individual Cys-coordinating Fe/S clusters. With the exception of C63S, all mutants had damaged architecture of NDH-1, suggesting that Cys-coordinating Fe/S clusters help maintain the NDH-1 structure. Studies of three mutants (C63S-coordinating N6a, P110A located near N6a, and P71A in the vicinity of N6b) were carried out using EPR measurement. These three mutations did not affect the EPR signals from [2Fe-2S] clusters and retained electron transfer activities. Signals at g(z) = 2.09 disappeared in C63S and P110A but not in P71A. Considering our data together with the available information, g(z,x) = 2.09, 1.88 signals are assigned to cluster N6a. It is of interest that, in terms of g(z,x) values, cluster N6a is similar to cluster N4. In addition, we investigated the residues (Ile-94 and Ile-100) that are predicted to serve as electron wires between N6a and N6b and between N6b and N2, respectively. Replacement of Ile-100 and Ile-94 with Ala/Gly did not affect the electron transfer activity significantly. It is concluded that conserved Ile-100 and Ile-94 are not essential for the electron transfer.","author":[{"dropping-particle":"","family":"Sinha","given":"Prem Kumar","non-dropping-particle":"","parse-names":false,"suffix":""},{"dropping-particle":"","family":"Nakamaru-Ogiso","given":"Eiko","non-dropping-particle":"","parse-names":false,"suffix":""},{"dropping-particle":"","family":"Torres-Bacete","given":"Jesus","non-dropping-particle":"","parse-names":false,"suffix":""},{"dropping-particle":"","family":"Sato","given":"Motoaki","non-dropping-particle":"","parse-names":false,"suffix":""},{"dropping-particle":"","family":"Castro-Guerrero","given":"Norma","non-dropping-particle":"","parse-names":false,"suffix":""},{"dropping-particle":"","family":"Ohnishi","given":"Tomoko","non-dropping-particle":"","parse-names":false,"suffix":""},{"dropping-particle":"","family":"Matsuno-Yagi","given":"Akemi","non-dropping-particle":"","parse-names":false,"suffix":""},{"dropping-particle":"","family":"Yagi","given":"Takao","non-dropping-particle":"","parse-names":false,"suffix":""}],"container-title":"The Journal of biological chemistry","id":"ITEM-1","issue":"21","issued":{"date-parts":[["2012","5"]]},"language":"eng","page":"17363-17373","title":"Electron transfer in subunit NuoI (TYKY) of Escherichia coli NADH:quinone  oxidoreductase (NDH-1).","type":"article-journal","volume":"287"},"uris":["http://www.mendeley.com/documents/?uuid=079e13fa-3233-4548-9d1d-e8fa3a9c75d3"]}],"mendeley":{"formattedCitation":"(Sinha &lt;i&gt;et al&lt;/i&gt;, 2012)","plainTextFormattedCitation":"(Sinha et al, 2012)","previouslyFormattedCitation":"(Sinha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003CC6D7" w14:textId="77777777" w:rsidTr="002471A8">
        <w:trPr>
          <w:trHeight w:val="65"/>
        </w:trPr>
        <w:tc>
          <w:tcPr>
            <w:tcW w:w="1165" w:type="dxa"/>
          </w:tcPr>
          <w:p w14:paraId="096E495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lastRenderedPageBreak/>
              <w:t>C99H</w:t>
            </w:r>
          </w:p>
        </w:tc>
        <w:tc>
          <w:tcPr>
            <w:tcW w:w="2610" w:type="dxa"/>
            <w:vMerge/>
          </w:tcPr>
          <w:p w14:paraId="670137C5" w14:textId="77777777" w:rsidR="002471A8" w:rsidRPr="00E97FC1" w:rsidRDefault="002471A8" w:rsidP="002471A8">
            <w:pPr>
              <w:rPr>
                <w:rFonts w:ascii="Helvetica" w:hAnsi="Helvetica" w:cs="Helvetica"/>
                <w:bCs/>
                <w:sz w:val="20"/>
                <w:szCs w:val="20"/>
                <w:lang w:val="en-GB"/>
              </w:rPr>
            </w:pPr>
          </w:p>
        </w:tc>
        <w:tc>
          <w:tcPr>
            <w:tcW w:w="1440" w:type="dxa"/>
          </w:tcPr>
          <w:p w14:paraId="34C5693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14633FD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15%</w:t>
            </w:r>
          </w:p>
        </w:tc>
        <w:tc>
          <w:tcPr>
            <w:tcW w:w="1260" w:type="dxa"/>
          </w:tcPr>
          <w:p w14:paraId="3E9536E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w:t>
            </w:r>
          </w:p>
        </w:tc>
        <w:tc>
          <w:tcPr>
            <w:tcW w:w="1080" w:type="dxa"/>
          </w:tcPr>
          <w:p w14:paraId="7D6747C7"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0%</w:t>
            </w:r>
          </w:p>
        </w:tc>
        <w:tc>
          <w:tcPr>
            <w:tcW w:w="1260" w:type="dxa"/>
          </w:tcPr>
          <w:p w14:paraId="7E3988A9" w14:textId="3330FB2A"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{"citationItems":[{"id":"ITEM-1","itemData":{"DOI":"10.1074/jbc.M111.329649","ISSN":"1083-351X (Electronic)","PMID":"22474289","abstract":"Bacterial proton-translocating NADH:quinone oxidoreductase (NDH-1) consists of a  peripheral and a membrane domain. The peripheral domain catalyzes the electron transfer from NADH to quinone through a chain of seven iron-sulfur (Fe/S) clusters. Subunit NuoI in the peripheral domain contains two [4Fe-4S] clusters (N6a and N6b) and plays a role in bridging the electron transfer from cluster N5 to the terminal cluster N2. We constructed mutants for eight individual Cys-coordinating Fe/S clusters. With the exception of C63S, all mutants had damaged architecture of NDH-1, suggesting that Cys-coordinating Fe/S clusters help maintain the NDH-1 structure. Studies of three mutants (C63S-coordinating N6a, P110A located near N6a, and P71A in the vicinity of N6b) were carried out using EPR measurement. These three mutations did not affect the EPR signals from [2Fe-2S] clusters and retained electron transfer activities. Signals at g(z) = 2.09 disappeared in C63S and P110A but not in P71A. Considering our data together with the available information, g(z,x) = 2.09, 1.88 signals are assigned to cluster N6a. It is of interest that, in terms of g(z,x) values, cluster N6a is similar to cluster N4. In addition, we investigated the residues (Ile-94 and Ile-100) that are predicted to serve as electron wires between N6a and N6b and between N6b and N2, respectively. Replacement of Ile-100 and Ile-94 with Ala/Gly did not affect the electron transfer activity significantly. It is concluded that conserved Ile-100 and Ile-94 are not essential for the electron transfer.","author":[{"dropping-particle":"","family":"Sinha","given":"Prem Kumar","non-dropping-particle":"","parse-names":false,"suffix":""},{"dropping-particle":"","family":"Nakamaru-Ogiso","given":"Eiko","non-dropping-particle":"","parse-names":false,"suffix":""},{"dropping-particle":"","family":"Torres-Bacete","given":"Jesus","non-dropping-particle":"","parse-names":false,"suffix":""},{"dropping-particle":"","family":"Sato","given":"Motoaki","non-dropping-particle":"","parse-names":false,"suffix":""},{"dropping-particle":"","family":"Castro-Guerrero","given":"Norma","non-dropping-particle":"","parse-names":false,"suffix":""},{"dropping-particle":"","family":"Ohnishi","given":"Tomoko","non-dropping-particle":"","parse-names":false,"suffix":""},{"dropping-particle":"","family":"Matsuno-Yagi","given":"Akemi","non-dropping-particle":"","parse-names":false,"suffix":""},{"dropping-particle":"","family":"Yagi","given":"Takao","non-dropping-particle":"","parse-names":false,"suffix":""}],"container-title":"The Journal of biological chemistry","id":"ITEM-1","issue":"21","issued":{"date-parts":[["2012","5"]]},"language":"eng","page":"17363-17373","title":"Electron transfer in subunit NuoI (TYKY) of Escherichia coli NADH:quinone  oxidoreductase (NDH-1).","type":"article-journal","volume":"287"},"uris":["http://www.mendeley.com/documents/?uuid=079e13fa-3233-4548-9d1d-e8fa3a9c75d3"]}],"mendeley":{"formattedCitation":"(Sinha &lt;i&gt;et al&lt;/i&gt;, 2012)","plainTextFormattedCitation":"(Sinha et al, 2012)","previouslyFormattedCitation":"(Sinha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79D47FD9" w14:textId="77777777" w:rsidTr="002471A8">
        <w:trPr>
          <w:trHeight w:val="65"/>
        </w:trPr>
        <w:tc>
          <w:tcPr>
            <w:tcW w:w="1165" w:type="dxa"/>
          </w:tcPr>
          <w:p w14:paraId="36A4DAE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C102S</w:t>
            </w:r>
          </w:p>
        </w:tc>
        <w:tc>
          <w:tcPr>
            <w:tcW w:w="2610" w:type="dxa"/>
            <w:vMerge/>
          </w:tcPr>
          <w:p w14:paraId="6D6FB879" w14:textId="77777777" w:rsidR="002471A8" w:rsidRPr="00E97FC1" w:rsidRDefault="002471A8" w:rsidP="002471A8">
            <w:pPr>
              <w:rPr>
                <w:rFonts w:ascii="Helvetica" w:hAnsi="Helvetica" w:cs="Helvetica"/>
                <w:bCs/>
                <w:sz w:val="20"/>
                <w:szCs w:val="20"/>
                <w:lang w:val="en-GB"/>
              </w:rPr>
            </w:pPr>
          </w:p>
        </w:tc>
        <w:tc>
          <w:tcPr>
            <w:tcW w:w="1440" w:type="dxa"/>
          </w:tcPr>
          <w:p w14:paraId="7204E447"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40B66E6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15%</w:t>
            </w:r>
          </w:p>
        </w:tc>
        <w:tc>
          <w:tcPr>
            <w:tcW w:w="1260" w:type="dxa"/>
          </w:tcPr>
          <w:p w14:paraId="31B653F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2-5%</w:t>
            </w:r>
          </w:p>
        </w:tc>
        <w:tc>
          <w:tcPr>
            <w:tcW w:w="1080" w:type="dxa"/>
          </w:tcPr>
          <w:p w14:paraId="3ABEF4F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0-5%</w:t>
            </w:r>
          </w:p>
        </w:tc>
        <w:tc>
          <w:tcPr>
            <w:tcW w:w="1260" w:type="dxa"/>
          </w:tcPr>
          <w:p w14:paraId="4AC81B84" w14:textId="07F9EDE2"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{"citationItems":[{"id":"ITEM-1","itemData":{"DOI":"10.1074/jbc.M111.329649","ISSN":"1083-351X (Electronic)","PMID":"22474289","abstract":"Bacterial proton-translocating NADH:quinone oxidoreductase (NDH-1) consists of a  peripheral and a membrane domain. The peripheral domain catalyzes the electron transfer from NADH to quinone through a chain of seven iron-sulfur (Fe/S) clusters. Subunit NuoI in the peripheral domain contains two [4Fe-4S] clusters (N6a and N6b) and plays a role in bridging the electron transfer from cluster N5 to the terminal cluster N2. We constructed mutants for eight individual Cys-coordinating Fe/S clusters. With the exception of C63S, all mutants had damaged architecture of NDH-1, suggesting that Cys-coordinating Fe/S clusters help maintain the NDH-1 structure. Studies of three mutants (C63S-coordinating N6a, P110A located near N6a, and P71A in the vicinity of N6b) were carried out using EPR measurement. These three mutations did not affect the EPR signals from [2Fe-2S] clusters and retained electron transfer activities. Signals at g(z) = 2.09 disappeared in C63S and P110A but not in P71A. Considering our data together with the available information, g(z,x) = 2.09, 1.88 signals are assigned to cluster N6a. It is of interest that, in terms of g(z,x) values, cluster N6a is similar to cluster N4. In addition, we investigated the residues (Ile-94 and Ile-100) that are predicted to serve as electron wires between N6a and N6b and between N6b and N2, respectively. Replacement of Ile-100 and Ile-94 with Ala/Gly did not affect the electron transfer activity significantly. It is concluded that conserved Ile-100 and Ile-94 are not essential for the electron transfer.","author":[{"dropping-particle":"","family":"Sinha","given":"Prem Kumar","non-dropping-particle":"","parse-names":false,"suffix":""},{"dropping-particle":"","family":"Nakamaru-Ogiso","given":"Eiko","non-dropping-particle":"","parse-names":false,"suffix":""},{"dropping-particle":"","family":"Torres-Bacete","given":"Jesus","non-dropping-particle":"","parse-names":false,"suffix":""},{"dropping-particle":"","family":"Sato","given":"Motoaki","non-dropping-particle":"","parse-names":false,"suffix":""},{"dropping-particle":"","family":"Castro-Guerrero","given":"Norma","non-dropping-particle":"","parse-names":false,"suffix":""},{"dropping-particle":"","family":"Ohnishi","given":"Tomoko","non-dropping-particle":"","parse-names":false,"suffix":""},{"dropping-particle":"","family":"Matsuno-Yagi","given":"Akemi","non-dropping-particle":"","parse-names":false,"suffix":""},{"dropping-particle":"","family":"Yagi","given":"Takao","non-dropping-particle":"","parse-names":false,"suffix":""}],"container-title":"The Journal of biological chemistry","id":"ITEM-1","issue":"21","issued":{"date-parts":[["2012","5"]]},"language":"eng","page":"17363-17373","title":"Electron transfer in subunit NuoI (TYKY) of Escherichia coli NADH:quinone  oxidoreductase (NDH-1).","type":"article-journal","volume":"287"},"uris":["http://www.mendeley.com/documents/?uuid=079e13fa-3233-4548-9d1d-e8fa3a9c75d3"]}],"mendeley":{"formattedCitation":"(Sinha &lt;i&gt;et al&lt;/i&gt;, 2012)","plainTextFormattedCitation":"(Sinha et al, 2012)","previouslyFormattedCitation":"(Sinha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3369299D" w14:textId="77777777" w:rsidTr="002471A8">
        <w:trPr>
          <w:trHeight w:val="65"/>
        </w:trPr>
        <w:tc>
          <w:tcPr>
            <w:tcW w:w="1165" w:type="dxa"/>
          </w:tcPr>
          <w:p w14:paraId="6839B36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C102H</w:t>
            </w:r>
          </w:p>
        </w:tc>
        <w:tc>
          <w:tcPr>
            <w:tcW w:w="2610" w:type="dxa"/>
            <w:vMerge/>
          </w:tcPr>
          <w:p w14:paraId="08A51F5D" w14:textId="77777777" w:rsidR="002471A8" w:rsidRPr="00E97FC1" w:rsidRDefault="002471A8" w:rsidP="002471A8">
            <w:pPr>
              <w:rPr>
                <w:rFonts w:ascii="Helvetica" w:hAnsi="Helvetica" w:cs="Helvetica"/>
                <w:bCs/>
                <w:sz w:val="20"/>
                <w:szCs w:val="20"/>
                <w:lang w:val="en-GB"/>
              </w:rPr>
            </w:pPr>
          </w:p>
        </w:tc>
        <w:tc>
          <w:tcPr>
            <w:tcW w:w="1440" w:type="dxa"/>
          </w:tcPr>
          <w:p w14:paraId="41B0E031"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3995947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17%</w:t>
            </w:r>
          </w:p>
        </w:tc>
        <w:tc>
          <w:tcPr>
            <w:tcW w:w="1260" w:type="dxa"/>
          </w:tcPr>
          <w:p w14:paraId="3A6E4D5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1-2%</w:t>
            </w:r>
          </w:p>
        </w:tc>
        <w:tc>
          <w:tcPr>
            <w:tcW w:w="1080" w:type="dxa"/>
          </w:tcPr>
          <w:p w14:paraId="3499B27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0%</w:t>
            </w:r>
          </w:p>
        </w:tc>
        <w:tc>
          <w:tcPr>
            <w:tcW w:w="1260" w:type="dxa"/>
          </w:tcPr>
          <w:p w14:paraId="07611B83" w14:textId="0FB46DDD"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{"citationItems":[{"id":"ITEM-1","itemData":{"DOI":"10.1074/jbc.M111.329649","ISSN":"1083-351X (Electronic)","PMID":"22474289","abstract":"Bacterial proton-translocating NADH:quinone oxidoreductase (NDH-1) consists of a  peripheral and a membrane domain. The peripheral domain catalyzes the electron transfer from NADH to quinone through a chain of seven iron-sulfur (Fe/S) clusters. Subunit NuoI in the peripheral domain contains two [4Fe-4S] clusters (N6a and N6b) and plays a role in bridging the electron transfer from cluster N5 to the terminal cluster N2. We constructed mutants for eight individual Cys-coordinating Fe/S clusters. With the exception of C63S, all mutants had damaged architecture of NDH-1, suggesting that Cys-coordinating Fe/S clusters help maintain the NDH-1 structure. Studies of three mutants (C63S-coordinating N6a, P110A located near N6a, and P71A in the vicinity of N6b) were carried out using EPR measurement. These three mutations did not affect the EPR signals from [2Fe-2S] clusters and retained electron transfer activities. Signals at g(z) = 2.09 disappeared in C63S and P110A but not in P71A. Considering our data together with the available information, g(z,x) = 2.09, 1.88 signals are assigned to cluster N6a. It is of interest that, in terms of g(z,x) values, cluster N6a is similar to cluster N4. In addition, we investigated the residues (Ile-94 and Ile-100) that are predicted to serve as electron wires between N6a and N6b and between N6b and N2, respectively. Replacement of Ile-100 and Ile-94 with Ala/Gly did not affect the electron transfer activity significantly. It is concluded that conserved Ile-100 and Ile-94 are not essential for the electron transfer.","author":[{"dropping-particle":"","family":"Sinha","given":"Prem Kumar","non-dropping-particle":"","parse-names":false,"suffix":""},{"dropping-particle":"","family":"Nakamaru-Ogiso","given":"Eiko","non-dropping-particle":"","parse-names":false,"suffix":""},{"dropping-particle":"","family":"Torres-Bacete","given":"Jesus","non-dropping-particle":"","parse-names":false,"suffix":""},{"dropping-particle":"","family":"Sato","given":"Motoaki","non-dropping-particle":"","parse-names":false,"suffix":""},{"dropping-particle":"","family":"Castro-Guerrero","given":"Norma","non-dropping-particle":"","parse-names":false,"suffix":""},{"dropping-particle":"","family":"Ohnishi","given":"Tomoko","non-dropping-particle":"","parse-names":false,"suffix":""},{"dropping-particle":"","family":"Matsuno-Yagi","given":"Akemi","non-dropping-particle":"","parse-names":false,"suffix":""},{"dropping-particle":"","family":"Yagi","given":"Takao","non-dropping-particle":"","parse-names":false,"suffix":""}],"container-title":"The Journal of biological chemistry","id":"ITEM-1","issue":"21","issued":{"date-parts":[["2012","5"]]},"language":"eng","page":"17363-17373","title":"Electron transfer in subunit NuoI (TYKY) of Escherichia coli NADH:quinone  oxidoreductase (NDH-1).","type":"article-journal","volume":"287"},"uris":["http://www.mendeley.com/documents/?uuid=079e13fa-3233-4548-9d1d-e8fa3a9c75d3"]}],"mendeley":{"formattedCitation":"(Sinha &lt;i&gt;et al&lt;/i&gt;, 2012)","plainTextFormattedCitation":"(Sinha et al, 2012)","previouslyFormattedCitation":"(Sinha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1C3380DC" w14:textId="77777777" w:rsidTr="002471A8">
        <w:trPr>
          <w:trHeight w:val="65"/>
        </w:trPr>
        <w:tc>
          <w:tcPr>
            <w:tcW w:w="1165" w:type="dxa"/>
          </w:tcPr>
          <w:p w14:paraId="646E284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C105S</w:t>
            </w:r>
          </w:p>
        </w:tc>
        <w:tc>
          <w:tcPr>
            <w:tcW w:w="2610" w:type="dxa"/>
            <w:vMerge/>
          </w:tcPr>
          <w:p w14:paraId="710C0721" w14:textId="77777777" w:rsidR="002471A8" w:rsidRPr="00E97FC1" w:rsidRDefault="002471A8" w:rsidP="002471A8">
            <w:pPr>
              <w:rPr>
                <w:rFonts w:ascii="Helvetica" w:hAnsi="Helvetica" w:cs="Helvetica"/>
                <w:bCs/>
                <w:sz w:val="20"/>
                <w:szCs w:val="20"/>
                <w:lang w:val="en-GB"/>
              </w:rPr>
            </w:pPr>
          </w:p>
        </w:tc>
        <w:tc>
          <w:tcPr>
            <w:tcW w:w="1440" w:type="dxa"/>
          </w:tcPr>
          <w:p w14:paraId="757A66E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73CBD90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17%</w:t>
            </w:r>
          </w:p>
        </w:tc>
        <w:tc>
          <w:tcPr>
            <w:tcW w:w="1260" w:type="dxa"/>
          </w:tcPr>
          <w:p w14:paraId="6E51EBA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1-2%</w:t>
            </w:r>
          </w:p>
        </w:tc>
        <w:tc>
          <w:tcPr>
            <w:tcW w:w="1080" w:type="dxa"/>
          </w:tcPr>
          <w:p w14:paraId="57C99D10"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0%</w:t>
            </w:r>
          </w:p>
        </w:tc>
        <w:tc>
          <w:tcPr>
            <w:tcW w:w="1260" w:type="dxa"/>
          </w:tcPr>
          <w:p w14:paraId="6C9B4859" w14:textId="1F87F349"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{"citationItems":[{"id":"ITEM-1","itemData":{"DOI":"10.1074/jbc.M111.329649","ISSN":"1083-351X (Electronic)","PMID":"22474289","abstract":"Bacterial proton-translocating NADH:quinone oxidoreductase (NDH-1) consists of a  peripheral and a membrane domain. The peripheral domain catalyzes the electron transfer from NADH to quinone through a chain of seven iron-sulfur (Fe/S) clusters. Subunit NuoI in the peripheral domain contains two [4Fe-4S] clusters (N6a and N6b) and plays a role in bridging the electron transfer from cluster N5 to the terminal cluster N2. We constructed mutants for eight individual Cys-coordinating Fe/S clusters. With the exception of C63S, all mutants had damaged architecture of NDH-1, suggesting that Cys-coordinating Fe/S clusters help maintain the NDH-1 structure. Studies of three mutants (C63S-coordinating N6a, P110A located near N6a, and P71A in the vicinity of N6b) were carried out using EPR measurement. These three mutations did not affect the EPR signals from [2Fe-2S] clusters and retained electron transfer activities. Signals at g(z) = 2.09 disappeared in C63S and P110A but not in P71A. Considering our data together with the available information, g(z,x) = 2.09, 1.88 signals are assigned to cluster N6a. It is of interest that, in terms of g(z,x) values, cluster N6a is similar to cluster N4. In addition, we investigated the residues (Ile-94 and Ile-100) that are predicted to serve as electron wires between N6a and N6b and between N6b and N2, respectively. Replacement of Ile-100 and Ile-94 with Ala/Gly did not affect the electron transfer activity significantly. It is concluded that conserved Ile-100 and Ile-94 are not essential for the electron transfer.","author":[{"dropping-particle":"","family":"Sinha","given":"Prem Kumar","non-dropping-particle":"","parse-names":false,"suffix":""},{"dropping-particle":"","family":"Nakamaru-Ogiso","given":"Eiko","non-dropping-particle":"","parse-names":false,"suffix":""},{"dropping-particle":"","family":"Torres-Bacete","given":"Jesus","non-dropping-particle":"","parse-names":false,"suffix":""},{"dropping-particle":"","family":"Sato","given":"Motoaki","non-dropping-particle":"","parse-names":false,"suffix":""},{"dropping-particle":"","family":"Castro-Guerrero","given":"Norma","non-dropping-particle":"","parse-names":false,"suffix":""},{"dropping-particle":"","family":"Ohnishi","given":"Tomoko","non-dropping-particle":"","parse-names":false,"suffix":""},{"dropping-particle":"","family":"Matsuno-Yagi","given":"Akemi","non-dropping-particle":"","parse-names":false,"suffix":""},{"dropping-particle":"","family":"Yagi","given":"Takao","non-dropping-particle":"","parse-names":false,"suffix":""}],"container-title":"The Journal of biological chemistry","id":"ITEM-1","issue":"21","issued":{"date-parts":[["2012","5"]]},"language":"eng","page":"17363-17373","title":"Electron transfer in subunit NuoI (TYKY) of Escherichia coli NADH:quinone  oxidoreductase (NDH-1).","type":"article-journal","volume":"287"},"uris":["http://www.mendeley.com/documents/?uuid=079e13fa-3233-4548-9d1d-e8fa3a9c75d3"]}],"mendeley":{"formattedCitation":"(Sinha &lt;i&gt;et al&lt;/i&gt;, 2012)","plainTextFormattedCitation":"(Sinha et al, 2012)","previouslyFormattedCitation":"(Sinha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529E7B58" w14:textId="77777777" w:rsidTr="002471A8">
        <w:trPr>
          <w:trHeight w:val="65"/>
        </w:trPr>
        <w:tc>
          <w:tcPr>
            <w:tcW w:w="1165" w:type="dxa"/>
          </w:tcPr>
          <w:p w14:paraId="7EE33B9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C109S</w:t>
            </w:r>
          </w:p>
        </w:tc>
        <w:tc>
          <w:tcPr>
            <w:tcW w:w="2610" w:type="dxa"/>
            <w:vMerge/>
          </w:tcPr>
          <w:p w14:paraId="6E719DCA" w14:textId="77777777" w:rsidR="002471A8" w:rsidRPr="00E97FC1" w:rsidRDefault="002471A8" w:rsidP="002471A8">
            <w:pPr>
              <w:rPr>
                <w:rFonts w:ascii="Helvetica" w:hAnsi="Helvetica" w:cs="Helvetica"/>
                <w:bCs/>
                <w:sz w:val="20"/>
                <w:szCs w:val="20"/>
                <w:lang w:val="en-GB"/>
              </w:rPr>
            </w:pPr>
          </w:p>
        </w:tc>
        <w:tc>
          <w:tcPr>
            <w:tcW w:w="1440" w:type="dxa"/>
          </w:tcPr>
          <w:p w14:paraId="17BF467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2000303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21%</w:t>
            </w:r>
          </w:p>
        </w:tc>
        <w:tc>
          <w:tcPr>
            <w:tcW w:w="1260" w:type="dxa"/>
          </w:tcPr>
          <w:p w14:paraId="4246325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1-4%</w:t>
            </w:r>
          </w:p>
        </w:tc>
        <w:tc>
          <w:tcPr>
            <w:tcW w:w="1080" w:type="dxa"/>
          </w:tcPr>
          <w:p w14:paraId="1A05888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0%</w:t>
            </w:r>
          </w:p>
        </w:tc>
        <w:tc>
          <w:tcPr>
            <w:tcW w:w="1260" w:type="dxa"/>
          </w:tcPr>
          <w:p w14:paraId="61534582" w14:textId="32F9DB66"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{"citationItems":[{"id":"ITEM-1","itemData":{"DOI":"10.1074/jbc.M111.329649","ISSN":"1083-351X (Electronic)","PMID":"22474289","abstract":"Bacterial proton-translocating NADH:quinone oxidoreductase (NDH-1) consists of a  peripheral and a membrane domain. The peripheral domain catalyzes the electron transfer from NADH to quinone through a chain of seven iron-sulfur (Fe/S) clusters. Subunit NuoI in the peripheral domain contains two [4Fe-4S] clusters (N6a and N6b) and plays a role in bridging the electron transfer from cluster N5 to the terminal cluster N2. We constructed mutants for eight individual Cys-coordinating Fe/S clusters. With the exception of C63S, all mutants had damaged architecture of NDH-1, suggesting that Cys-coordinating Fe/S clusters help maintain the NDH-1 structure. Studies of three mutants (C63S-coordinating N6a, P110A located near N6a, and P71A in the vicinity of N6b) were carried out using EPR measurement. These three mutations did not affect the EPR signals from [2Fe-2S] clusters and retained electron transfer activities. Signals at g(z) = 2.09 disappeared in C63S and P110A but not in P71A. Considering our data together with the available information, g(z,x) = 2.09, 1.88 signals are assigned to cluster N6a. It is of interest that, in terms of g(z,x) values, cluster N6a is similar to cluster N4. In addition, we investigated the residues (Ile-94 and Ile-100) that are predicted to serve as electron wires between N6a and N6b and between N6b and N2, respectively. Replacement of Ile-100 and Ile-94 with Ala/Gly did not affect the electron transfer activity significantly. It is concluded that conserved Ile-100 and Ile-94 are not essential for the electron transfer.","author":[{"dropping-particle":"","family":"Sinha","given":"Prem Kumar","non-dropping-particle":"","parse-names":false,"suffix":""},{"dropping-particle":"","family":"Nakamaru-Ogiso","given":"Eiko","non-dropping-particle":"","parse-names":false,"suffix":""},{"dropping-particle":"","family":"Torres-Bacete","given":"Jesus","non-dropping-particle":"","parse-names":false,"suffix":""},{"dropping-particle":"","family":"Sato","given":"Motoaki","non-dropping-particle":"","parse-names":false,"suffix":""},{"dropping-particle":"","family":"Castro-Guerrero","given":"Norma","non-dropping-particle":"","parse-names":false,"suffix":""},{"dropping-particle":"","family":"Ohnishi","given":"Tomoko","non-dropping-particle":"","parse-names":false,"suffix":""},{"dropping-particle":"","family":"Matsuno-Yagi","given":"Akemi","non-dropping-particle":"","parse-names":false,"suffix":""},{"dropping-particle":"","family":"Yagi","given":"Takao","non-dropping-particle":"","parse-names":false,"suffix":""}],"container-title":"The Journal of biological chemistry","id":"ITEM-1","issue":"21","issued":{"date-parts":[["2012","5"]]},"language":"eng","page":"17363-17373","title":"Electron transfer in subunit NuoI (TYKY) of Escherichia coli NADH:quinone  oxidoreductase (NDH-1).","type":"article-journal","volume":"287"},"uris":["http://www.mendeley.com/documents/?uuid=079e13fa-3233-4548-9d1d-e8fa3a9c75d3"]}],"mendeley":{"formattedCitation":"(Sinha &lt;i&gt;et al&lt;/i&gt;, 2012)","plainTextFormattedCitation":"(Sinha et al, 2012)","previouslyFormattedCitation":"(Sinha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1BBF3BB4" w14:textId="77777777" w:rsidTr="002471A8">
        <w:trPr>
          <w:trHeight w:val="65"/>
        </w:trPr>
        <w:tc>
          <w:tcPr>
            <w:tcW w:w="1165" w:type="dxa"/>
          </w:tcPr>
          <w:p w14:paraId="24EEC71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T30A</w:t>
            </w:r>
          </w:p>
        </w:tc>
        <w:tc>
          <w:tcPr>
            <w:tcW w:w="2610" w:type="dxa"/>
          </w:tcPr>
          <w:p w14:paraId="7759B62B"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NuoH interface</w:t>
            </w:r>
          </w:p>
        </w:tc>
        <w:tc>
          <w:tcPr>
            <w:tcW w:w="1440" w:type="dxa"/>
          </w:tcPr>
          <w:p w14:paraId="47AE7B8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0BC56660"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64%</w:t>
            </w:r>
          </w:p>
        </w:tc>
        <w:tc>
          <w:tcPr>
            <w:tcW w:w="1260" w:type="dxa"/>
          </w:tcPr>
          <w:p w14:paraId="2EF5282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58-61%</w:t>
            </w:r>
          </w:p>
        </w:tc>
        <w:tc>
          <w:tcPr>
            <w:tcW w:w="1080" w:type="dxa"/>
          </w:tcPr>
          <w:p w14:paraId="0E12FBC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reduced</w:t>
            </w:r>
          </w:p>
        </w:tc>
        <w:tc>
          <w:tcPr>
            <w:tcW w:w="1260" w:type="dxa"/>
          </w:tcPr>
          <w:p w14:paraId="0951A1F7" w14:textId="26E9772A"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{"citationItems":[{"id":"ITEM-1","itemData":{"DOI":"10.1074/jbc.M111.329649","ISSN":"1083-351X (Electronic)","PMID":"22474289","abstract":"Bacterial proton-translocating NADH:quinone oxidoreductase (NDH-1) consists of a  peripheral and a membrane domain. The peripheral domain catalyzes the electron transfer from NADH to quinone through a chain of seven iron-sulfur (Fe/S) clusters. Subunit NuoI in the peripheral domain contains two [4Fe-4S] clusters (N6a and N6b) and plays a role in bridging the electron transfer from cluster N5 to the terminal cluster N2. We constructed mutants for eight individual Cys-coordinating Fe/S clusters. With the exception of C63S, all mutants had damaged architecture of NDH-1, suggesting that Cys-coordinating Fe/S clusters help maintain the NDH-1 structure. Studies of three mutants (C63S-coordinating N6a, P110A located near N6a, and P71A in the vicinity of N6b) were carried out using EPR measurement. These three mutations did not affect the EPR signals from [2Fe-2S] clusters and retained electron transfer activities. Signals at g(z) = 2.09 disappeared in C63S and P110A but not in P71A. Considering our data together with the available information, g(z,x) = 2.09, 1.88 signals are assigned to cluster N6a. It is of interest that, in terms of g(z,x) values, cluster N6a is similar to cluster N4. In addition, we investigated the residues (Ile-94 and Ile-100) that are predicted to serve as electron wires between N6a and N6b and between N6b and N2, respectively. Replacement of Ile-100 and Ile-94 with Ala/Gly did not affect the electron transfer activity significantly. It is concluded that conserved Ile-100 and Ile-94 are not essential for the electron transfer.","author":[{"dropping-particle":"","family":"Sinha","given":"Prem Kumar","non-dropping-particle":"","parse-names":false,"suffix":""},{"dropping-particle":"","family":"Nakamaru-Ogiso","given":"Eiko","non-dropping-particle":"","parse-names":false,"suffix":""},{"dropping-particle":"","family":"Torres-Bacete","given":"Jesus","non-dropping-particle":"","parse-names":false,"suffix":""},{"dropping-particle":"","family":"Sato","given":"Motoaki","non-dropping-particle":"","parse-names":false,"suffix":""},{"dropping-particle":"","family":"Castro-Guerrero","given":"Norma","non-dropping-particle":"","parse-names":false,"suffix":""},{"dropping-particle":"","family":"Ohnishi","given":"Tomoko","non-dropping-particle":"","parse-names":false,"suffix":""},{"dropping-particle":"","family":"Matsuno-Yagi","given":"Akemi","non-dropping-particle":"","parse-names":false,"suffix":""},{"dropping-particle":"","family":"Yagi","given":"Takao","non-dropping-particle":"","parse-names":false,"suffix":""}],"container-title":"The Journal of biological chemistry","id":"ITEM-1","issue":"21","issued":{"date-parts":[["2012","5"]]},"language":"eng","page":"17363-17373","title":"Electron transfer in subunit NuoI (TYKY) of Escherichia coli NADH:quinone  oxidoreductase (NDH-1).","type":"article-journal","volume":"287"},"uris":["http://www.mendeley.com/documents/?uuid=079e13fa-3233-4548-9d1d-e8fa3a9c75d3"]}],"mendeley":{"formattedCitation":"(Sinha &lt;i&gt;et al&lt;/i&gt;, 2012)","plainTextFormattedCitation":"(Sinha et al, 2012)","previouslyFormattedCitation":"(Sinha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4B0E158A" w14:textId="77777777" w:rsidTr="002471A8">
        <w:trPr>
          <w:trHeight w:val="65"/>
        </w:trPr>
        <w:tc>
          <w:tcPr>
            <w:tcW w:w="1165" w:type="dxa"/>
          </w:tcPr>
          <w:p w14:paraId="126219F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P34A</w:t>
            </w:r>
          </w:p>
        </w:tc>
        <w:tc>
          <w:tcPr>
            <w:tcW w:w="2610" w:type="dxa"/>
          </w:tcPr>
          <w:p w14:paraId="588C088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H1 connecting loop</w:t>
            </w:r>
          </w:p>
        </w:tc>
        <w:tc>
          <w:tcPr>
            <w:tcW w:w="1440" w:type="dxa"/>
          </w:tcPr>
          <w:p w14:paraId="0F30FCE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656361D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65%</w:t>
            </w:r>
          </w:p>
        </w:tc>
        <w:tc>
          <w:tcPr>
            <w:tcW w:w="1260" w:type="dxa"/>
          </w:tcPr>
          <w:p w14:paraId="30AE58B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57-65%</w:t>
            </w:r>
          </w:p>
        </w:tc>
        <w:tc>
          <w:tcPr>
            <w:tcW w:w="1080" w:type="dxa"/>
          </w:tcPr>
          <w:p w14:paraId="2B8E40D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reduced</w:t>
            </w:r>
          </w:p>
        </w:tc>
        <w:tc>
          <w:tcPr>
            <w:tcW w:w="1260" w:type="dxa"/>
          </w:tcPr>
          <w:p w14:paraId="0B5B5D11" w14:textId="7DD1690E"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{"citationItems":[{"id":"ITEM-1","itemData":{"DOI":"10.1074/jbc.M111.329649","ISSN":"1083-351X (Electronic)","PMID":"22474289","abstract":"Bacterial proton-translocating NADH:quinone oxidoreductase (NDH-1) consists of a  peripheral and a membrane domain. The peripheral domain catalyzes the electron transfer from NADH to quinone through a chain of seven iron-sulfur (Fe/S) clusters. Subunit NuoI in the peripheral domain contains two [4Fe-4S] clusters (N6a and N6b) and plays a role in bridging the electron transfer from cluster N5 to the terminal cluster N2. We constructed mutants for eight individual Cys-coordinating Fe/S clusters. With the exception of C63S, all mutants had damaged architecture of NDH-1, suggesting that Cys-coordinating Fe/S clusters help maintain the NDH-1 structure. Studies of three mutants (C63S-coordinating N6a, P110A located near N6a, and P71A in the vicinity of N6b) were carried out using EPR measurement. These three mutations did not affect the EPR signals from [2Fe-2S] clusters and retained electron transfer activities. Signals at g(z) = 2.09 disappeared in C63S and P110A but not in P71A. Considering our data together with the available information, g(z,x) = 2.09, 1.88 signals are assigned to cluster N6a. It is of interest that, in terms of g(z,x) values, cluster N6a is similar to cluster N4. In addition, we investigated the residues (Ile-94 and Ile-100) that are predicted to serve as electron wires between N6a and N6b and between N6b and N2, respectively. Replacement of Ile-100 and Ile-94 with Ala/Gly did not affect the electron transfer activity significantly. It is concluded that conserved Ile-100 and Ile-94 are not essential for the electron transfer.","author":[{"dropping-particle":"","family":"Sinha","given":"Prem Kumar","non-dropping-particle":"","parse-names":false,"suffix":""},{"dropping-particle":"","family":"Nakamaru-Ogiso","given":"Eiko","non-dropping-particle":"","parse-names":false,"suffix":""},{"dropping-particle":"","family":"Torres-Bacete","given":"Jesus","non-dropping-particle":"","parse-names":false,"suffix":""},{"dropping-particle":"","family":"Sato","given":"Motoaki","non-dropping-particle":"","parse-names":false,"suffix":""},{"dropping-particle":"","family":"Castro-Guerrero","given":"Norma","non-dropping-particle":"","parse-names":false,"suffix":""},{"dropping-particle":"","family":"Ohnishi","given":"Tomoko","non-dropping-particle":"","parse-names":false,"suffix":""},{"dropping-particle":"","family":"Matsuno-Yagi","given":"Akemi","non-dropping-particle":"","parse-names":false,"suffix":""},{"dropping-particle":"","family":"Yagi","given":"Takao","non-dropping-particle":"","parse-names":false,"suffix":""}],"container-title":"The Journal of biological chemistry","id":"ITEM-1","issue":"21","issued":{"date-parts":[["2012","5"]]},"language":"eng","page":"17363-17373","title":"Electron transfer in subunit NuoI (TYKY) of Escherichia coli NADH:quinone  oxidoreductase (NDH-1).","type":"article-journal","volume":"287"},"uris":["http://www.mendeley.com/documents/?uuid=079e13fa-3233-4548-9d1d-e8fa3a9c75d3"]}],"mendeley":{"formattedCitation":"(Sinha &lt;i&gt;et al&lt;/i&gt;, 2012)","plainTextFormattedCitation":"(Sinha et al, 2012)","previouslyFormattedCitation":"(Sinha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64F80428" w14:textId="77777777" w:rsidTr="002471A8">
        <w:trPr>
          <w:trHeight w:val="65"/>
        </w:trPr>
        <w:tc>
          <w:tcPr>
            <w:tcW w:w="1165" w:type="dxa"/>
          </w:tcPr>
          <w:p w14:paraId="765D2A1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P42A</w:t>
            </w:r>
          </w:p>
        </w:tc>
        <w:tc>
          <w:tcPr>
            <w:tcW w:w="2610" w:type="dxa"/>
            <w:vMerge w:val="restart"/>
          </w:tcPr>
          <w:p w14:paraId="6F24C830"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NuoCD interface</w:t>
            </w:r>
          </w:p>
        </w:tc>
        <w:tc>
          <w:tcPr>
            <w:tcW w:w="1440" w:type="dxa"/>
          </w:tcPr>
          <w:p w14:paraId="7120C1C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10B82374"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108%</w:t>
            </w:r>
          </w:p>
        </w:tc>
        <w:tc>
          <w:tcPr>
            <w:tcW w:w="1260" w:type="dxa"/>
          </w:tcPr>
          <w:p w14:paraId="0334D95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61-65%</w:t>
            </w:r>
          </w:p>
        </w:tc>
        <w:tc>
          <w:tcPr>
            <w:tcW w:w="1080" w:type="dxa"/>
          </w:tcPr>
          <w:p w14:paraId="1D83451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reduced</w:t>
            </w:r>
          </w:p>
        </w:tc>
        <w:tc>
          <w:tcPr>
            <w:tcW w:w="1260" w:type="dxa"/>
          </w:tcPr>
          <w:p w14:paraId="4FFE2C58" w14:textId="465875E8"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{"citationItems":[{"id":"ITEM-1","itemData":{"DOI":"10.1074/jbc.M111.329649","ISSN":"1083-351X (Electronic)","PMID":"22474289","abstract":"Bacterial proton-translocating NADH:quinone oxidoreductase (NDH-1) consists of a  peripheral and a membrane domain. The peripheral domain catalyzes the electron transfer from NADH to quinone through a chain of seven iron-sulfur (Fe/S) clusters. Subunit NuoI in the peripheral domain contains two [4Fe-4S] clusters (N6a and N6b) and plays a role in bridging the electron transfer from cluster N5 to the terminal cluster N2. We constructed mutants for eight individual Cys-coordinating Fe/S clusters. With the exception of C63S, all mutants had damaged architecture of NDH-1, suggesting that Cys-coordinating Fe/S clusters help maintain the NDH-1 structure. Studies of three mutants (C63S-coordinating N6a, P110A located near N6a, and P71A in the vicinity of N6b) were carried out using EPR measurement. These three mutations did not affect the EPR signals from [2Fe-2S] clusters and retained electron transfer activities. Signals at g(z) = 2.09 disappeared in C63S and P110A but not in P71A. Considering our data together with the available information, g(z,x) = 2.09, 1.88 signals are assigned to cluster N6a. It is of interest that, in terms of g(z,x) values, cluster N6a is similar to cluster N4. In addition, we investigated the residues (Ile-94 and Ile-100) that are predicted to serve as electron wires between N6a and N6b and between N6b and N2, respectively. Replacement of Ile-100 and Ile-94 with Ala/Gly did not affect the electron transfer activity significantly. It is concluded that conserved Ile-100 and Ile-94 are not essential for the electron transfer.","author":[{"dropping-particle":"","family":"Sinha","given":"Prem Kumar","non-dropping-particle":"","parse-names":false,"suffix":""},{"dropping-particle":"","family":"Nakamaru-Ogiso","given":"Eiko","non-dropping-particle":"","parse-names":false,"suffix":""},{"dropping-particle":"","family":"Torres-Bacete","given":"Jesus","non-dropping-particle":"","parse-names":false,"suffix":""},{"dropping-particle":"","family":"Sato","given":"Motoaki","non-dropping-particle":"","parse-names":false,"suffix":""},{"dropping-particle":"","family":"Castro-Guerrero","given":"Norma","non-dropping-particle":"","parse-names":false,"suffix":""},{"dropping-particle":"","family":"Ohnishi","given":"Tomoko","non-dropping-particle":"","parse-names":false,"suffix":""},{"dropping-particle":"","family":"Matsuno-Yagi","given":"Akemi","non-dropping-particle":"","parse-names":false,"suffix":""},{"dropping-particle":"","family":"Yagi","given":"Takao","non-dropping-particle":"","parse-names":false,"suffix":""}],"container-title":"The Journal of biological chemistry","id":"ITEM-1","issue":"21","issued":{"date-parts":[["2012","5"]]},"language":"eng","page":"17363-17373","title":"Electron transfer in subunit NuoI (TYKY) of Escherichia coli NADH:quinone  oxidoreductase (NDH-1).","type":"article-journal","volume":"287"},"uris":["http://www.mendeley.com/documents/?uuid=079e13fa-3233-4548-9d1d-e8fa3a9c75d3"]}],"mendeley":{"formattedCitation":"(Sinha &lt;i&gt;et al&lt;/i&gt;, 2012)","plainTextFormattedCitation":"(Sinha et al, 2012)","previouslyFormattedCitation":"(Sinha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30E85435" w14:textId="77777777" w:rsidTr="002471A8">
        <w:trPr>
          <w:trHeight w:val="65"/>
        </w:trPr>
        <w:tc>
          <w:tcPr>
            <w:tcW w:w="1165" w:type="dxa"/>
          </w:tcPr>
          <w:p w14:paraId="19C46AB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R43A</w:t>
            </w:r>
          </w:p>
        </w:tc>
        <w:tc>
          <w:tcPr>
            <w:tcW w:w="2610" w:type="dxa"/>
            <w:vMerge/>
          </w:tcPr>
          <w:p w14:paraId="1F3ED5CF" w14:textId="77777777" w:rsidR="002471A8" w:rsidRPr="00E97FC1" w:rsidRDefault="002471A8" w:rsidP="002471A8">
            <w:pPr>
              <w:rPr>
                <w:rFonts w:ascii="Helvetica" w:hAnsi="Helvetica" w:cs="Helvetica"/>
                <w:bCs/>
                <w:sz w:val="20"/>
                <w:szCs w:val="20"/>
                <w:lang w:val="en-GB"/>
              </w:rPr>
            </w:pPr>
          </w:p>
        </w:tc>
        <w:tc>
          <w:tcPr>
            <w:tcW w:w="1440" w:type="dxa"/>
          </w:tcPr>
          <w:p w14:paraId="489D2C2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50B4D39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84%</w:t>
            </w:r>
          </w:p>
        </w:tc>
        <w:tc>
          <w:tcPr>
            <w:tcW w:w="1260" w:type="dxa"/>
          </w:tcPr>
          <w:p w14:paraId="442599B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46-53%</w:t>
            </w:r>
          </w:p>
        </w:tc>
        <w:tc>
          <w:tcPr>
            <w:tcW w:w="1080" w:type="dxa"/>
          </w:tcPr>
          <w:p w14:paraId="7186460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 xml:space="preserve">reduced </w:t>
            </w:r>
          </w:p>
        </w:tc>
        <w:tc>
          <w:tcPr>
            <w:tcW w:w="1260" w:type="dxa"/>
          </w:tcPr>
          <w:p w14:paraId="473AAC14" w14:textId="3BFADF49"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{"citationItems":[{"id":"ITEM-1","itemData":{"DOI":"10.1074/jbc.M111.329649","ISSN":"1083-351X (Electronic)","PMID":"22474289","abstract":"Bacterial proton-translocating NADH:quinone oxidoreductase (NDH-1) consists of a  peripheral and a membrane domain. The peripheral domain catalyzes the electron transfer from NADH to quinone through a chain of seven iron-sulfur (Fe/S) clusters. Subunit NuoI in the peripheral domain contains two [4Fe-4S] clusters (N6a and N6b) and plays a role in bridging the electron transfer from cluster N5 to the terminal cluster N2. We constructed mutants for eight individual Cys-coordinating Fe/S clusters. With the exception of C63S, all mutants had damaged architecture of NDH-1, suggesting that Cys-coordinating Fe/S clusters help maintain the NDH-1 structure. Studies of three mutants (C63S-coordinating N6a, P110A located near N6a, and P71A in the vicinity of N6b) were carried out using EPR measurement. These three mutations did not affect the EPR signals from [2Fe-2S] clusters and retained electron transfer activities. Signals at g(z) = 2.09 disappeared in C63S and P110A but not in P71A. Considering our data together with the available information, g(z,x) = 2.09, 1.88 signals are assigned to cluster N6a. It is of interest that, in terms of g(z,x) values, cluster N6a is similar to cluster N4. In addition, we investigated the residues (Ile-94 and Ile-100) that are predicted to serve as electron wires between N6a and N6b and between N6b and N2, respectively. Replacement of Ile-100 and Ile-94 with Ala/Gly did not affect the electron transfer activity significantly. It is concluded that conserved Ile-100 and Ile-94 are not essential for the electron transfer.","author":[{"dropping-particle":"","family":"Sinha","given":"Prem Kumar","non-dropping-particle":"","parse-names":false,"suffix":""},{"dropping-particle":"","family":"Nakamaru-Ogiso","given":"Eiko","non-dropping-particle":"","parse-names":false,"suffix":""},{"dropping-particle":"","family":"Torres-Bacete","given":"Jesus","non-dropping-particle":"","parse-names":false,"suffix":""},{"dropping-particle":"","family":"Sato","given":"Motoaki","non-dropping-particle":"","parse-names":false,"suffix":""},{"dropping-particle":"","family":"Castro-Guerrero","given":"Norma","non-dropping-particle":"","parse-names":false,"suffix":""},{"dropping-particle":"","family":"Ohnishi","given":"Tomoko","non-dropping-particle":"","parse-names":false,"suffix":""},{"dropping-particle":"","family":"Matsuno-Yagi","given":"Akemi","non-dropping-particle":"","parse-names":false,"suffix":""},{"dropping-particle":"","family":"Yagi","given":"Takao","non-dropping-particle":"","parse-names":false,"suffix":""}],"container-title":"The Journal of biological chemistry","id":"ITEM-1","issue":"21","issued":{"date-parts":[["2012","5"]]},"language":"eng","page":"17363-17373","title":"Electron transfer in subunit NuoI (TYKY) of Escherichia coli NADH:quinone  oxidoreductase (NDH-1).","type":"article-journal","volume":"287"},"uris":["http://www.mendeley.com/documents/?uuid=079e13fa-3233-4548-9d1d-e8fa3a9c75d3"]}],"mendeley":{"formattedCitation":"(Sinha &lt;i&gt;et al&lt;/i&gt;, 2012)","plainTextFormattedCitation":"(Sinha et al, 2012)","previouslyFormattedCitation":"(Sinha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4B8C209D" w14:textId="77777777" w:rsidTr="002471A8">
        <w:trPr>
          <w:trHeight w:val="65"/>
        </w:trPr>
        <w:tc>
          <w:tcPr>
            <w:tcW w:w="1165" w:type="dxa"/>
          </w:tcPr>
          <w:p w14:paraId="5BF3400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Y44A</w:t>
            </w:r>
          </w:p>
        </w:tc>
        <w:tc>
          <w:tcPr>
            <w:tcW w:w="2610" w:type="dxa"/>
          </w:tcPr>
          <w:p w14:paraId="1DEC576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NuoB interface</w:t>
            </w:r>
          </w:p>
        </w:tc>
        <w:tc>
          <w:tcPr>
            <w:tcW w:w="1440" w:type="dxa"/>
          </w:tcPr>
          <w:p w14:paraId="0EE13AB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71958E4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139%</w:t>
            </w:r>
          </w:p>
        </w:tc>
        <w:tc>
          <w:tcPr>
            <w:tcW w:w="1260" w:type="dxa"/>
          </w:tcPr>
          <w:p w14:paraId="1181702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120%</w:t>
            </w:r>
          </w:p>
        </w:tc>
        <w:tc>
          <w:tcPr>
            <w:tcW w:w="1080" w:type="dxa"/>
          </w:tcPr>
          <w:p w14:paraId="2DB7462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100%</w:t>
            </w:r>
          </w:p>
        </w:tc>
        <w:tc>
          <w:tcPr>
            <w:tcW w:w="1260" w:type="dxa"/>
          </w:tcPr>
          <w:p w14:paraId="6B0C2248" w14:textId="05C64993"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{"citationItems":[{"id":"ITEM-1","itemData":{"DOI":"10.1074/jbc.M111.329649","ISSN":"1083-351X (Electronic)","PMID":"22474289","abstract":"Bacterial proton-translocating NADH:quinone oxidoreductase (NDH-1) consists of a  peripheral and a membrane domain. The peripheral domain catalyzes the electron transfer from NADH to quinone through a chain of seven iron-sulfur (Fe/S) clusters. Subunit NuoI in the peripheral domain contains two [4Fe-4S] clusters (N6a and N6b) and plays a role in bridging the electron transfer from cluster N5 to the terminal cluster N2. We constructed mutants for eight individual Cys-coordinating Fe/S clusters. With the exception of C63S, all mutants had damaged architecture of NDH-1, suggesting that Cys-coordinating Fe/S clusters help maintain the NDH-1 structure. Studies of three mutants (C63S-coordinating N6a, P110A located near N6a, and P71A in the vicinity of N6b) were carried out using EPR measurement. These three mutations did not affect the EPR signals from [2Fe-2S] clusters and retained electron transfer activities. Signals at g(z) = 2.09 disappeared in C63S and P110A but not in P71A. Considering our data together with the available information, g(z,x) = 2.09, 1.88 signals are assigned to cluster N6a. It is of interest that, in terms of g(z,x) values, cluster N6a is similar to cluster N4. In addition, we investigated the residues (Ile-94 and Ile-100) that are predicted to serve as electron wires between N6a and N6b and between N6b and N2, respectively. Replacement of Ile-100 and Ile-94 with Ala/Gly did not affect the electron transfer activity significantly. It is concluded that conserved Ile-100 and Ile-94 are not essential for the electron transfer.","author":[{"dropping-particle":"","family":"Sinha","given":"Prem Kumar","non-dropping-particle":"","parse-names":false,"suffix":""},{"dropping-particle":"","family":"Nakamaru-Ogiso","given":"Eiko","non-dropping-particle":"","parse-names":false,"suffix":""},{"dropping-particle":"","family":"Torres-Bacete","given":"Jesus","non-dropping-particle":"","parse-names":false,"suffix":""},{"dropping-particle":"","family":"Sato","given":"Motoaki","non-dropping-particle":"","parse-names":false,"suffix":""},{"dropping-particle":"","family":"Castro-Guerrero","given":"Norma","non-dropping-particle":"","parse-names":false,"suffix":""},{"dropping-particle":"","family":"Ohnishi","given":"Tomoko","non-dropping-particle":"","parse-names":false,"suffix":""},{"dropping-particle":"","family":"Matsuno-Yagi","given":"Akemi","non-dropping-particle":"","parse-names":false,"suffix":""},{"dropping-particle":"","family":"Yagi","given":"Takao","non-dropping-particle":"","parse-names":false,"suffix":""}],"container-title":"The Journal of biological chemistry","id":"ITEM-1","issue":"21","issued":{"date-parts":[["2012","5"]]},"language":"eng","page":"17363-17373","title":"Electron transfer in subunit NuoI (TYKY) of Escherichia coli NADH:quinone  oxidoreductase (NDH-1).","type":"article-journal","volume":"287"},"uris":["http://www.mendeley.com/documents/?uuid=079e13fa-3233-4548-9d1d-e8fa3a9c75d3"]}],"mendeley":{"formattedCitation":"(Sinha &lt;i&gt;et al&lt;/i&gt;, 2012)","plainTextFormattedCitation":"(Sinha et al, 2012)","previouslyFormattedCitation":"(Sinha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795DFC56" w14:textId="77777777" w:rsidTr="002471A8">
        <w:trPr>
          <w:trHeight w:val="65"/>
        </w:trPr>
        <w:tc>
          <w:tcPr>
            <w:tcW w:w="1165" w:type="dxa"/>
          </w:tcPr>
          <w:p w14:paraId="59CBF5A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G46A</w:t>
            </w:r>
          </w:p>
        </w:tc>
        <w:tc>
          <w:tcPr>
            <w:tcW w:w="2610" w:type="dxa"/>
          </w:tcPr>
          <w:p w14:paraId="009B367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 xml:space="preserve">Close to N6b </w:t>
            </w:r>
          </w:p>
        </w:tc>
        <w:tc>
          <w:tcPr>
            <w:tcW w:w="1440" w:type="dxa"/>
          </w:tcPr>
          <w:p w14:paraId="5D84912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41C14190"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79%</w:t>
            </w:r>
          </w:p>
        </w:tc>
        <w:tc>
          <w:tcPr>
            <w:tcW w:w="1260" w:type="dxa"/>
          </w:tcPr>
          <w:p w14:paraId="2DFCFFB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78%</w:t>
            </w:r>
          </w:p>
        </w:tc>
        <w:tc>
          <w:tcPr>
            <w:tcW w:w="1080" w:type="dxa"/>
          </w:tcPr>
          <w:p w14:paraId="5DE9DCA0"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100%</w:t>
            </w:r>
          </w:p>
        </w:tc>
        <w:tc>
          <w:tcPr>
            <w:tcW w:w="1260" w:type="dxa"/>
          </w:tcPr>
          <w:p w14:paraId="6FC1D039" w14:textId="2CEB3C97"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{"citationItems":[{"id":"ITEM-1","itemData":{"DOI":"10.1074/jbc.M111.329649","ISSN":"1083-351X (Electronic)","PMID":"22474289","abstract":"Bacterial proton-translocating NADH:quinone oxidoreductase (NDH-1) consists of a  peripheral and a membrane domain. The peripheral domain catalyzes the electron transfer from NADH to quinone through a chain of seven iron-sulfur (Fe/S) clusters. Subunit NuoI in the peripheral domain contains two [4Fe-4S] clusters (N6a and N6b) and plays a role in bridging the electron transfer from cluster N5 to the terminal cluster N2. We constructed mutants for eight individual Cys-coordinating Fe/S clusters. With the exception of C63S, all mutants had damaged architecture of NDH-1, suggesting that Cys-coordinating Fe/S clusters help maintain the NDH-1 structure. Studies of three mutants (C63S-coordinating N6a, P110A located near N6a, and P71A in the vicinity of N6b) were carried out using EPR measurement. These three mutations did not affect the EPR signals from [2Fe-2S] clusters and retained electron transfer activities. Signals at g(z) = 2.09 disappeared in C63S and P110A but not in P71A. Considering our data together with the available information, g(z,x) = 2.09, 1.88 signals are assigned to cluster N6a. It is of interest that, in terms of g(z,x) values, cluster N6a is similar to cluster N4. In addition, we investigated the residues (Ile-94 and Ile-100) that are predicted to serve as electron wires between N6a and N6b and between N6b and N2, respectively. Replacement of Ile-100 and Ile-94 with Ala/Gly did not affect the electron transfer activity significantly. It is concluded that conserved Ile-100 and Ile-94 are not essential for the electron transfer.","author":[{"dropping-particle":"","family":"Sinha","given":"Prem Kumar","non-dropping-particle":"","parse-names":false,"suffix":""},{"dropping-particle":"","family":"Nakamaru-Ogiso","given":"Eiko","non-dropping-particle":"","parse-names":false,"suffix":""},{"dropping-particle":"","family":"Torres-Bacete","given":"Jesus","non-dropping-particle":"","parse-names":false,"suffix":""},{"dropping-particle":"","family":"Sato","given":"Motoaki","non-dropping-particle":"","parse-names":false,"suffix":""},{"dropping-particle":"","family":"Castro-Guerrero","given":"Norma","non-dropping-particle":"","parse-names":false,"suffix":""},{"dropping-particle":"","family":"Ohnishi","given":"Tomoko","non-dropping-particle":"","parse-names":false,"suffix":""},{"dropping-particle":"","family":"Matsuno-Yagi","given":"Akemi","non-dropping-particle":"","parse-names":false,"suffix":""},{"dropping-particle":"","family":"Yagi","given":"Takao","non-dropping-particle":"","parse-names":false,"suffix":""}],"container-title":"The Journal of biological chemistry","id":"ITEM-1","issue":"21","issued":{"date-parts":[["2012","5"]]},"language":"eng","page":"17363-17373","title":"Electron transfer in subunit NuoI (TYKY) of Escherichia coli NADH:quinone  oxidoreductase (NDH-1).","type":"article-journal","volume":"287"},"uris":["http://www.mendeley.com/documents/?uuid=079e13fa-3233-4548-9d1d-e8fa3a9c75d3"]}],"mendeley":{"formattedCitation":"(Sinha &lt;i&gt;et al&lt;/i&gt;, 2012)","plainTextFormattedCitation":"(Sinha et al, 2012)","previouslyFormattedCitation":"(Sinha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5983F548" w14:textId="77777777" w:rsidTr="002471A8">
        <w:trPr>
          <w:trHeight w:val="65"/>
        </w:trPr>
        <w:tc>
          <w:tcPr>
            <w:tcW w:w="1165" w:type="dxa"/>
          </w:tcPr>
          <w:p w14:paraId="25A6632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R52A</w:t>
            </w:r>
          </w:p>
        </w:tc>
        <w:tc>
          <w:tcPr>
            <w:tcW w:w="2610" w:type="dxa"/>
            <w:vMerge w:val="restart"/>
          </w:tcPr>
          <w:p w14:paraId="7B36CF5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Surface, part of N6a interacting loop</w:t>
            </w:r>
          </w:p>
        </w:tc>
        <w:tc>
          <w:tcPr>
            <w:tcW w:w="1440" w:type="dxa"/>
          </w:tcPr>
          <w:p w14:paraId="00BE4130"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1DD7819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84%</w:t>
            </w:r>
          </w:p>
        </w:tc>
        <w:tc>
          <w:tcPr>
            <w:tcW w:w="1260" w:type="dxa"/>
          </w:tcPr>
          <w:p w14:paraId="6F94403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64-75%</w:t>
            </w:r>
          </w:p>
        </w:tc>
        <w:tc>
          <w:tcPr>
            <w:tcW w:w="1080" w:type="dxa"/>
          </w:tcPr>
          <w:p w14:paraId="256FB38B"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100%</w:t>
            </w:r>
          </w:p>
        </w:tc>
        <w:tc>
          <w:tcPr>
            <w:tcW w:w="1260" w:type="dxa"/>
          </w:tcPr>
          <w:p w14:paraId="4947909F" w14:textId="5AA5B672"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{"citationItems":[{"id":"ITEM-1","itemData":{"DOI":"10.1074/jbc.M111.329649","ISSN":"1083-351X (Electronic)","PMID":"22474289","abstract":"Bacterial proton-translocating NADH:quinone oxidoreductase (NDH-1) consists of a  peripheral and a membrane domain. The peripheral domain catalyzes the electron transfer from NADH to quinone through a chain of seven iron-sulfur (Fe/S) clusters. Subunit NuoI in the peripheral domain contains two [4Fe-4S] clusters (N6a and N6b) and plays a role in bridging the electron transfer from cluster N5 to the terminal cluster N2. We constructed mutants for eight individual Cys-coordinating Fe/S clusters. With the exception of C63S, all mutants had damaged architecture of NDH-1, suggesting that Cys-coordinating Fe/S clusters help maintain the NDH-1 structure. Studies of three mutants (C63S-coordinating N6a, P110A located near N6a, and P71A in the vicinity of N6b) were carried out using EPR measurement. These three mutations did not affect the EPR signals from [2Fe-2S] clusters and retained electron transfer activities. Signals at g(z) = 2.09 disappeared in C63S and P110A but not in P71A. Considering our data together with the available information, g(z,x) = 2.09, 1.88 signals are assigned to cluster N6a. It is of interest that, in terms of g(z,x) values, cluster N6a is similar to cluster N4. In addition, we investigated the residues (Ile-94 and Ile-100) that are predicted to serve as electron wires between N6a and N6b and between N6b and N2, respectively. Replacement of Ile-100 and Ile-94 with Ala/Gly did not affect the electron transfer activity significantly. It is concluded that conserved Ile-100 and Ile-94 are not essential for the electron transfer.","author":[{"dropping-particle":"","family":"Sinha","given":"Prem Kumar","non-dropping-particle":"","parse-names":false,"suffix":""},{"dropping-particle":"","family":"Nakamaru-Ogiso","given":"Eiko","non-dropping-particle":"","parse-names":false,"suffix":""},{"dropping-particle":"","family":"Torres-Bacete","given":"Jesus","non-dropping-particle":"","parse-names":false,"suffix":""},{"dropping-particle":"","family":"Sato","given":"Motoaki","non-dropping-particle":"","parse-names":false,"suffix":""},{"dropping-particle":"","family":"Castro-Guerrero","given":"Norma","non-dropping-particle":"","parse-names":false,"suffix":""},{"dropping-particle":"","family":"Ohnishi","given":"Tomoko","non-dropping-particle":"","parse-names":false,"suffix":""},{"dropping-particle":"","family":"Matsuno-Yagi","given":"Akemi","non-dropping-particle":"","parse-names":false,"suffix":""},{"dropping-particle":"","family":"Yagi","given":"Takao","non-dropping-particle":"","parse-names":false,"suffix":""}],"container-title":"The Journal of biological chemistry","id":"ITEM-1","issue":"21","issued":{"date-parts":[["2012","5"]]},"language":"eng","page":"17363-17373","title":"Electron transfer in subunit NuoI (TYKY) of Escherichia coli NADH:quinone  oxidoreductase (NDH-1).","type":"article-journal","volume":"287"},"uris":["http://www.mendeley.com/documents/?uuid=079e13fa-3233-4548-9d1d-e8fa3a9c75d3"]}],"mendeley":{"formattedCitation":"(Sinha &lt;i&gt;et al&lt;/i&gt;, 2012)","plainTextFormattedCitation":"(Sinha et al, 2012)","previouslyFormattedCitation":"(Sinha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5EEA6616" w14:textId="77777777" w:rsidTr="002471A8">
        <w:trPr>
          <w:trHeight w:val="65"/>
        </w:trPr>
        <w:tc>
          <w:tcPr>
            <w:tcW w:w="1165" w:type="dxa"/>
          </w:tcPr>
          <w:p w14:paraId="3665BCF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P54A</w:t>
            </w:r>
          </w:p>
        </w:tc>
        <w:tc>
          <w:tcPr>
            <w:tcW w:w="2610" w:type="dxa"/>
            <w:vMerge/>
          </w:tcPr>
          <w:p w14:paraId="780F72EC" w14:textId="77777777" w:rsidR="002471A8" w:rsidRPr="00E97FC1" w:rsidRDefault="002471A8" w:rsidP="002471A8">
            <w:pPr>
              <w:rPr>
                <w:rFonts w:ascii="Helvetica" w:hAnsi="Helvetica" w:cs="Helvetica"/>
                <w:bCs/>
                <w:sz w:val="20"/>
                <w:szCs w:val="20"/>
                <w:lang w:val="en-GB"/>
              </w:rPr>
            </w:pPr>
          </w:p>
        </w:tc>
        <w:tc>
          <w:tcPr>
            <w:tcW w:w="1440" w:type="dxa"/>
          </w:tcPr>
          <w:p w14:paraId="03B8B91B"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60A1ED8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95%</w:t>
            </w:r>
          </w:p>
        </w:tc>
        <w:tc>
          <w:tcPr>
            <w:tcW w:w="1260" w:type="dxa"/>
          </w:tcPr>
          <w:p w14:paraId="3F22B1D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73-79%</w:t>
            </w:r>
          </w:p>
        </w:tc>
        <w:tc>
          <w:tcPr>
            <w:tcW w:w="1080" w:type="dxa"/>
          </w:tcPr>
          <w:p w14:paraId="310D050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100%</w:t>
            </w:r>
          </w:p>
        </w:tc>
        <w:tc>
          <w:tcPr>
            <w:tcW w:w="1260" w:type="dxa"/>
          </w:tcPr>
          <w:p w14:paraId="5B86D6C7" w14:textId="31CCC311"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{"citationItems":[{"id":"ITEM-1","itemData":{"DOI":"10.1074/jbc.M111.329649","ISSN":"1083-351X (Electronic)","PMID":"22474289","abstract":"Bacterial proton-translocating NADH:quinone oxidoreductase (NDH-1) consists of a  peripheral and a membrane domain. The peripheral domain catalyzes the electron transfer from NADH to quinone through a chain of seven iron-sulfur (Fe/S) clusters. Subunit NuoI in the peripheral domain contains two [4Fe-4S] clusters (N6a and N6b) and plays a role in bridging the electron transfer from cluster N5 to the terminal cluster N2. We constructed mutants for eight individual Cys-coordinating Fe/S clusters. With the exception of C63S, all mutants had damaged architecture of NDH-1, suggesting that Cys-coordinating Fe/S clusters help maintain the NDH-1 structure. Studies of three mutants (C63S-coordinating N6a, P110A located near N6a, and P71A in the vicinity of N6b) were carried out using EPR measurement. These three mutations did not affect the EPR signals from [2Fe-2S] clusters and retained electron transfer activities. Signals at g(z) = 2.09 disappeared in C63S and P110A but not in P71A. Considering our data together with the available information, g(z,x) = 2.09, 1.88 signals are assigned to cluster N6a. It is of interest that, in terms of g(z,x) values, cluster N6a is similar to cluster N4. In addition, we investigated the residues (Ile-94 and Ile-100) that are predicted to serve as electron wires between N6a and N6b and between N6b and N2, respectively. Replacement of Ile-100 and Ile-94 with Ala/Gly did not affect the electron transfer activity significantly. It is concluded that conserved Ile-100 and Ile-94 are not essential for the electron transfer.","author":[{"dropping-particle":"","family":"Sinha","given":"Prem Kumar","non-dropping-particle":"","parse-names":false,"suffix":""},{"dropping-particle":"","family":"Nakamaru-Ogiso","given":"Eiko","non-dropping-particle":"","parse-names":false,"suffix":""},{"dropping-particle":"","family":"Torres-Bacete","given":"Jesus","non-dropping-particle":"","parse-names":false,"suffix":""},{"dropping-particle":"","family":"Sato","given":"Motoaki","non-dropping-particle":"","parse-names":false,"suffix":""},{"dropping-particle":"","family":"Castro-Guerrero","given":"Norma","non-dropping-particle":"","parse-names":false,"suffix":""},{"dropping-particle":"","family":"Ohnishi","given":"Tomoko","non-dropping-particle":"","parse-names":false,"suffix":""},{"dropping-particle":"","family":"Matsuno-Yagi","given":"Akemi","non-dropping-particle":"","parse-names":false,"suffix":""},{"dropping-particle":"","family":"Yagi","given":"Takao","non-dropping-particle":"","parse-names":false,"suffix":""}],"container-title":"The Journal of biological chemistry","id":"ITEM-1","issue":"21","issued":{"date-parts":[["2012","5"]]},"language":"eng","page":"17363-17373","title":"Electron transfer in subunit NuoI (TYKY) of Escherichia coli NADH:quinone  oxidoreductase (NDH-1).","type":"article-journal","volume":"287"},"uris":["http://www.mendeley.com/documents/?uuid=079e13fa-3233-4548-9d1d-e8fa3a9c75d3"]}],"mendeley":{"formattedCitation":"(Sinha &lt;i&gt;et al&lt;/i&gt;, 2012)","plainTextFormattedCitation":"(Sinha et al, 2012)","previouslyFormattedCitation":"(Sinha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3DC1E8F9" w14:textId="77777777" w:rsidTr="002471A8">
        <w:trPr>
          <w:trHeight w:val="65"/>
        </w:trPr>
        <w:tc>
          <w:tcPr>
            <w:tcW w:w="1165" w:type="dxa"/>
          </w:tcPr>
          <w:p w14:paraId="615B330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G56A</w:t>
            </w:r>
          </w:p>
        </w:tc>
        <w:tc>
          <w:tcPr>
            <w:tcW w:w="2610" w:type="dxa"/>
            <w:vMerge/>
          </w:tcPr>
          <w:p w14:paraId="02C0A57A" w14:textId="77777777" w:rsidR="002471A8" w:rsidRPr="00E97FC1" w:rsidRDefault="002471A8" w:rsidP="002471A8">
            <w:pPr>
              <w:rPr>
                <w:rFonts w:ascii="Helvetica" w:hAnsi="Helvetica" w:cs="Helvetica"/>
                <w:bCs/>
                <w:sz w:val="20"/>
                <w:szCs w:val="20"/>
                <w:lang w:val="en-GB"/>
              </w:rPr>
            </w:pPr>
          </w:p>
        </w:tc>
        <w:tc>
          <w:tcPr>
            <w:tcW w:w="1440" w:type="dxa"/>
          </w:tcPr>
          <w:p w14:paraId="3398F351"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0DBB348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94%</w:t>
            </w:r>
          </w:p>
        </w:tc>
        <w:tc>
          <w:tcPr>
            <w:tcW w:w="1260" w:type="dxa"/>
          </w:tcPr>
          <w:p w14:paraId="61DB288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47-54%</w:t>
            </w:r>
          </w:p>
        </w:tc>
        <w:tc>
          <w:tcPr>
            <w:tcW w:w="1080" w:type="dxa"/>
          </w:tcPr>
          <w:p w14:paraId="2FAEF58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reduced</w:t>
            </w:r>
          </w:p>
        </w:tc>
        <w:tc>
          <w:tcPr>
            <w:tcW w:w="1260" w:type="dxa"/>
          </w:tcPr>
          <w:p w14:paraId="660DE2C7" w14:textId="3C42DECA"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{"citationItems":[{"id":"ITEM-1","itemData":{"DOI":"10.1074/jbc.M111.329649","ISSN":"1083-351X (Electronic)","PMID":"22474289","abstract":"Bacterial proton-translocating NADH:quinone oxidoreductase (NDH-1) consists of a  peripheral and a membrane domain. The peripheral domain catalyzes the electron transfer from NADH to quinone through a chain of seven iron-sulfur (Fe/S) clusters. Subunit NuoI in the peripheral domain contains two [4Fe-4S] clusters (N6a and N6b) and plays a role in bridging the electron transfer from cluster N5 to the terminal cluster N2. We constructed mutants for eight individual Cys-coordinating Fe/S clusters. With the exception of C63S, all mutants had damaged architecture of NDH-1, suggesting that Cys-coordinating Fe/S clusters help maintain the NDH-1 structure. Studies of three mutants (C63S-coordinating N6a, P110A located near N6a, and P71A in the vicinity of N6b) were carried out using EPR measurement. These three mutations did not affect the EPR signals from [2Fe-2S] clusters and retained electron transfer activities. Signals at g(z) = 2.09 disappeared in C63S and P110A but not in P71A. Considering our data together with the available information, g(z,x) = 2.09, 1.88 signals are assigned to cluster N6a. It is of interest that, in terms of g(z,x) values, cluster N6a is similar to cluster N4. In addition, we investigated the residues (Ile-94 and Ile-100) that are predicted to serve as electron wires between N6a and N6b and between N6b and N2, respectively. Replacement of Ile-100 and Ile-94 with Ala/Gly did not affect the electron transfer activity significantly. It is concluded that conserved Ile-100 and Ile-94 are not essential for the electron transfer.","author":[{"dropping-particle":"","family":"Sinha","given":"Prem Kumar","non-dropping-particle":"","parse-names":false,"suffix":""},{"dropping-particle":"","family":"Nakamaru-Ogiso","given":"Eiko","non-dropping-particle":"","parse-names":false,"suffix":""},{"dropping-particle":"","family":"Torres-Bacete","given":"Jesus","non-dropping-particle":"","parse-names":false,"suffix":""},{"dropping-particle":"","family":"Sato","given":"Motoaki","non-dropping-particle":"","parse-names":false,"suffix":""},{"dropping-particle":"","family":"Castro-Guerrero","given":"Norma","non-dropping-particle":"","parse-names":false,"suffix":""},{"dropping-particle":"","family":"Ohnishi","given":"Tomoko","non-dropping-particle":"","parse-names":false,"suffix":""},{"dropping-particle":"","family":"Matsuno-Yagi","given":"Akemi","non-dropping-particle":"","parse-names":false,"suffix":""},{"dropping-particle":"","family":"Yagi","given":"Takao","non-dropping-particle":"","parse-names":false,"suffix":""}],"container-title":"The Journal of biological chemistry","id":"ITEM-1","issue":"21","issued":{"date-parts":[["2012","5"]]},"language":"eng","page":"17363-17373","title":"Electron transfer in subunit NuoI (TYKY) of Escherichia coli NADH:quinone  oxidoreductase (NDH-1).","type":"article-journal","volume":"287"},"uris":["http://www.mendeley.com/documents/?uuid=079e13fa-3233-4548-9d1d-e8fa3a9c75d3"]}],"mendeley":{"formattedCitation":"(Sinha &lt;i&gt;et al&lt;/i&gt;, 2012)","plainTextFormattedCitation":"(Sinha et al, 2012)","previouslyFormattedCitation":"(Sinha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04A477CD" w14:textId="77777777" w:rsidTr="002471A8">
        <w:trPr>
          <w:trHeight w:val="65"/>
        </w:trPr>
        <w:tc>
          <w:tcPr>
            <w:tcW w:w="1165" w:type="dxa"/>
          </w:tcPr>
          <w:p w14:paraId="53137BE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E58A</w:t>
            </w:r>
          </w:p>
        </w:tc>
        <w:tc>
          <w:tcPr>
            <w:tcW w:w="2610" w:type="dxa"/>
            <w:vMerge/>
          </w:tcPr>
          <w:p w14:paraId="2D848EBB" w14:textId="77777777" w:rsidR="002471A8" w:rsidRPr="00E97FC1" w:rsidRDefault="002471A8" w:rsidP="002471A8">
            <w:pPr>
              <w:rPr>
                <w:rFonts w:ascii="Helvetica" w:hAnsi="Helvetica" w:cs="Helvetica"/>
                <w:bCs/>
                <w:sz w:val="20"/>
                <w:szCs w:val="20"/>
                <w:lang w:val="en-GB"/>
              </w:rPr>
            </w:pPr>
          </w:p>
        </w:tc>
        <w:tc>
          <w:tcPr>
            <w:tcW w:w="1440" w:type="dxa"/>
          </w:tcPr>
          <w:p w14:paraId="5164588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11A5F10B"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99%</w:t>
            </w:r>
          </w:p>
        </w:tc>
        <w:tc>
          <w:tcPr>
            <w:tcW w:w="1260" w:type="dxa"/>
          </w:tcPr>
          <w:p w14:paraId="261CE1FA"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64-85%</w:t>
            </w:r>
          </w:p>
        </w:tc>
        <w:tc>
          <w:tcPr>
            <w:tcW w:w="1080" w:type="dxa"/>
          </w:tcPr>
          <w:p w14:paraId="3D160964"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reduced</w:t>
            </w:r>
          </w:p>
        </w:tc>
        <w:tc>
          <w:tcPr>
            <w:tcW w:w="1260" w:type="dxa"/>
          </w:tcPr>
          <w:p w14:paraId="11730571" w14:textId="56B15FF8"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{"citationItems":[{"id":"ITEM-1","itemData":{"DOI":"10.1074/jbc.M111.329649","ISSN":"1083-351X (Electronic)","PMID":"22474289","abstract":"Bacterial proton-translocating NADH:quinone oxidoreductase (NDH-1) consists of a  peripheral and a membrane domain. The peripheral domain catalyzes the electron transfer from NADH to quinone through a chain of seven iron-sulfur (Fe/S) clusters. Subunit NuoI in the peripheral domain contains two [4Fe-4S] clusters (N6a and N6b) and plays a role in bridging the electron transfer from cluster N5 to the terminal cluster N2. We constructed mutants for eight individual Cys-coordinating Fe/S clusters. With the exception of C63S, all mutants had damaged architecture of NDH-1, suggesting that Cys-coordinating Fe/S clusters help maintain the NDH-1 structure. Studies of three mutants (C63S-coordinating N6a, P110A located near N6a, and P71A in the vicinity of N6b) were carried out using EPR measurement. These three mutations did not affect the EPR signals from [2Fe-2S] clusters and retained electron transfer activities. Signals at g(z) = 2.09 disappeared in C63S and P110A but not in P71A. Considering our data together with the available information, g(z,x) = 2.09, 1.88 signals are assigned to cluster N6a. It is of interest that, in terms of g(z,x) values, cluster N6a is similar to cluster N4. In addition, we investigated the residues (Ile-94 and Ile-100) that are predicted to serve as electron wires between N6a and N6b and between N6b and N2, respectively. Replacement of Ile-100 and Ile-94 with Ala/Gly did not affect the electron transfer activity significantly. It is concluded that conserved Ile-100 and Ile-94 are not essential for the electron transfer.","author":[{"dropping-particle":"","family":"Sinha","given":"Prem Kumar","non-dropping-particle":"","parse-names":false,"suffix":""},{"dropping-particle":"","family":"Nakamaru-Ogiso","given":"Eiko","non-dropping-particle":"","parse-names":false,"suffix":""},{"dropping-particle":"","family":"Torres-Bacete","given":"Jesus","non-dropping-particle":"","parse-names":false,"suffix":""},{"dropping-particle":"","family":"Sato","given":"Motoaki","non-dropping-particle":"","parse-names":false,"suffix":""},{"dropping-particle":"","family":"Castro-Guerrero","given":"Norma","non-dropping-particle":"","parse-names":false,"suffix":""},{"dropping-particle":"","family":"Ohnishi","given":"Tomoko","non-dropping-particle":"","parse-names":false,"suffix":""},{"dropping-particle":"","family":"Matsuno-Yagi","given":"Akemi","non-dropping-particle":"","parse-names":false,"suffix":""},{"dropping-particle":"","family":"Yagi","given":"Takao","non-dropping-particle":"","parse-names":false,"suffix":""}],"container-title":"The Journal of biological chemistry","id":"ITEM-1","issue":"21","issued":{"date-parts":[["2012","5"]]},"language":"eng","page":"17363-17373","title":"Electron transfer in subunit NuoI (TYKY) of Escherichia coli NADH:quinone  oxidoreductase (NDH-1).","type":"article-journal","volume":"287"},"uris":["http://www.mendeley.com/documents/?uuid=079e13fa-3233-4548-9d1d-e8fa3a9c75d3"]}],"mendeley":{"formattedCitation":"(Sinha &lt;i&gt;et al&lt;/i&gt;, 2012)","plainTextFormattedCitation":"(Sinha et al, 2012)","previouslyFormattedCitation":"(Sinha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78D5E8B1" w14:textId="77777777" w:rsidTr="002471A8">
        <w:trPr>
          <w:trHeight w:val="65"/>
        </w:trPr>
        <w:tc>
          <w:tcPr>
            <w:tcW w:w="1165" w:type="dxa"/>
          </w:tcPr>
          <w:p w14:paraId="3494AC5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V61A</w:t>
            </w:r>
          </w:p>
        </w:tc>
        <w:tc>
          <w:tcPr>
            <w:tcW w:w="2610" w:type="dxa"/>
            <w:vMerge/>
          </w:tcPr>
          <w:p w14:paraId="46A480A3" w14:textId="77777777" w:rsidR="002471A8" w:rsidRPr="00E97FC1" w:rsidRDefault="002471A8" w:rsidP="002471A8">
            <w:pPr>
              <w:rPr>
                <w:rFonts w:ascii="Helvetica" w:hAnsi="Helvetica" w:cs="Helvetica"/>
                <w:bCs/>
                <w:sz w:val="20"/>
                <w:szCs w:val="20"/>
                <w:lang w:val="en-GB"/>
              </w:rPr>
            </w:pPr>
          </w:p>
        </w:tc>
        <w:tc>
          <w:tcPr>
            <w:tcW w:w="1440" w:type="dxa"/>
          </w:tcPr>
          <w:p w14:paraId="2FE7D0C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6B41E4F1"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67%</w:t>
            </w:r>
          </w:p>
        </w:tc>
        <w:tc>
          <w:tcPr>
            <w:tcW w:w="1260" w:type="dxa"/>
          </w:tcPr>
          <w:p w14:paraId="59F8F2A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31-33%</w:t>
            </w:r>
          </w:p>
        </w:tc>
        <w:tc>
          <w:tcPr>
            <w:tcW w:w="1080" w:type="dxa"/>
          </w:tcPr>
          <w:p w14:paraId="3E81C94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reduced</w:t>
            </w:r>
          </w:p>
        </w:tc>
        <w:tc>
          <w:tcPr>
            <w:tcW w:w="1260" w:type="dxa"/>
          </w:tcPr>
          <w:p w14:paraId="1414B0F8" w14:textId="5B27DF3B"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{"citationItems":[{"id":"ITEM-1","itemData":{"DOI":"10.1074/jbc.M111.329649","ISSN":"1083-351X (Electronic)","PMID":"22474289","abstract":"Bacterial proton-translocating NADH:quinone oxidoreductase (NDH-1) consists of a  peripheral and a membrane domain. The peripheral domain catalyzes the electron transfer from NADH to quinone through a chain of seven iron-sulfur (Fe/S) clusters. Subunit NuoI in the peripheral domain contains two [4Fe-4S] clusters (N6a and N6b) and plays a role in bridging the electron transfer from cluster N5 to the terminal cluster N2. We constructed mutants for eight individual Cys-coordinating Fe/S clusters. With the exception of C63S, all mutants had damaged architecture of NDH-1, suggesting that Cys-coordinating Fe/S clusters help maintain the NDH-1 structure. Studies of three mutants (C63S-coordinating N6a, P110A located near N6a, and P71A in the vicinity of N6b) were carried out using EPR measurement. These three mutations did not affect the EPR signals from [2Fe-2S] clusters and retained electron transfer activities. Signals at g(z) = 2.09 disappeared in C63S and P110A but not in P71A. Considering our data together with the available information, g(z,x) = 2.09, 1.88 signals are assigned to cluster N6a. It is of interest that, in terms of g(z,x) values, cluster N6a is similar to cluster N4. In addition, we investigated the residues (Ile-94 and Ile-100) that are predicted to serve as electron wires between N6a and N6b and between N6b and N2, respectively. Replacement of Ile-100 and Ile-94 with Ala/Gly did not affect the electron transfer activity significantly. It is concluded that conserved Ile-100 and Ile-94 are not essential for the electron transfer.","author":[{"dropping-particle":"","family":"Sinha","given":"Prem Kumar","non-dropping-particle":"","parse-names":false,"suffix":""},{"dropping-particle":"","family":"Nakamaru-Ogiso","given":"Eiko","non-dropping-particle":"","parse-names":false,"suffix":""},{"dropping-particle":"","family":"Torres-Bacete","given":"Jesus","non-dropping-particle":"","parse-names":false,"suffix":""},{"dropping-particle":"","family":"Sato","given":"Motoaki","non-dropping-particle":"","parse-names":false,"suffix":""},{"dropping-particle":"","family":"Castro-Guerrero","given":"Norma","non-dropping-particle":"","parse-names":false,"suffix":""},{"dropping-particle":"","family":"Ohnishi","given":"Tomoko","non-dropping-particle":"","parse-names":false,"suffix":""},{"dropping-particle":"","family":"Matsuno-Yagi","given":"Akemi","non-dropping-particle":"","parse-names":false,"suffix":""},{"dropping-particle":"","family":"Yagi","given":"Takao","non-dropping-particle":"","parse-names":false,"suffix":""}],"container-title":"The Journal of biological chemistry","id":"ITEM-1","issue":"21","issued":{"date-parts":[["2012","5"]]},"language":"eng","page":"17363-17373","title":"Electron transfer in subunit NuoI (TYKY) of Escherichia coli NADH:quinone  oxidoreductase (NDH-1).","type":"article-journal","volume":"287"},"uris":["http://www.mendeley.com/documents/?uuid=079e13fa-3233-4548-9d1d-e8fa3a9c75d3"]}],"mendeley":{"formattedCitation":"(Sinha &lt;i&gt;et al&lt;/i&gt;, 2012)","plainTextFormattedCitation":"(Sinha et al, 2012)","previouslyFormattedCitation":"(Sinha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6B13300E" w14:textId="77777777" w:rsidTr="002471A8">
        <w:trPr>
          <w:trHeight w:val="65"/>
        </w:trPr>
        <w:tc>
          <w:tcPr>
            <w:tcW w:w="1165" w:type="dxa"/>
          </w:tcPr>
          <w:p w14:paraId="414CBCE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L65A</w:t>
            </w:r>
          </w:p>
        </w:tc>
        <w:tc>
          <w:tcPr>
            <w:tcW w:w="2610" w:type="dxa"/>
          </w:tcPr>
          <w:p w14:paraId="37F77AE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Close to N6a</w:t>
            </w:r>
          </w:p>
        </w:tc>
        <w:tc>
          <w:tcPr>
            <w:tcW w:w="1440" w:type="dxa"/>
          </w:tcPr>
          <w:p w14:paraId="2C33B8DB"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57476C7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74%</w:t>
            </w:r>
          </w:p>
        </w:tc>
        <w:tc>
          <w:tcPr>
            <w:tcW w:w="1260" w:type="dxa"/>
          </w:tcPr>
          <w:p w14:paraId="6A19194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67-72%</w:t>
            </w:r>
          </w:p>
        </w:tc>
        <w:tc>
          <w:tcPr>
            <w:tcW w:w="1080" w:type="dxa"/>
          </w:tcPr>
          <w:p w14:paraId="5FEC736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70%</w:t>
            </w:r>
          </w:p>
        </w:tc>
        <w:tc>
          <w:tcPr>
            <w:tcW w:w="1260" w:type="dxa"/>
          </w:tcPr>
          <w:p w14:paraId="0D149E8D" w14:textId="0C201EF3"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{"citationItems":[{"id":"ITEM-1","itemData":{"DOI":"10.1074/jbc.M111.329649","ISSN":"1083-351X (Electronic)","PMID":"22474289","abstract":"Bacterial proton-translocating NADH:quinone oxidoreductase (NDH-1) consists of a  peripheral and a membrane domain. The peripheral domain catalyzes the electron transfer from NADH to quinone through a chain of seven iron-sulfur (Fe/S) clusters. Subunit NuoI in the peripheral domain contains two [4Fe-4S] clusters (N6a and N6b) and plays a role in bridging the electron transfer from cluster N5 to the terminal cluster N2. We constructed mutants for eight individual Cys-coordinating Fe/S clusters. With the exception of C63S, all mutants had damaged architecture of NDH-1, suggesting that Cys-coordinating Fe/S clusters help maintain the NDH-1 structure. Studies of three mutants (C63S-coordinating N6a, P110A located near N6a, and P71A in the vicinity of N6b) were carried out using EPR measurement. These three mutations did not affect the EPR signals from [2Fe-2S] clusters and retained electron transfer activities. Signals at g(z) = 2.09 disappeared in C63S and P110A but not in P71A. Considering our data together with the available information, g(z,x) = 2.09, 1.88 signals are assigned to cluster N6a. It is of interest that, in terms of g(z,x) values, cluster N6a is similar to cluster N4. In addition, we investigated the residues (Ile-94 and Ile-100) that are predicted to serve as electron wires between N6a and N6b and between N6b and N2, respectively. Replacement of Ile-100 and Ile-94 with Ala/Gly did not affect the electron transfer activity significantly. It is concluded that conserved Ile-100 and Ile-94 are not essential for the electron transfer.","author":[{"dropping-particle":"","family":"Sinha","given":"Prem Kumar","non-dropping-particle":"","parse-names":false,"suffix":""},{"dropping-particle":"","family":"Nakamaru-Ogiso","given":"Eiko","non-dropping-particle":"","parse-names":false,"suffix":""},{"dropping-particle":"","family":"Torres-Bacete","given":"Jesus","non-dropping-particle":"","parse-names":false,"suffix":""},{"dropping-particle":"","family":"Sato","given":"Motoaki","non-dropping-particle":"","parse-names":false,"suffix":""},{"dropping-particle":"","family":"Castro-Guerrero","given":"Norma","non-dropping-particle":"","parse-names":false,"suffix":""},{"dropping-particle":"","family":"Ohnishi","given":"Tomoko","non-dropping-particle":"","parse-names":false,"suffix":""},{"dropping-particle":"","family":"Matsuno-Yagi","given":"Akemi","non-dropping-particle":"","parse-names":false,"suffix":""},{"dropping-particle":"","family":"Yagi","given":"Takao","non-dropping-particle":"","parse-names":false,"suffix":""}],"container-title":"The Journal of biological chemistry","id":"ITEM-1","issue":"21","issued":{"date-parts":[["2012","5"]]},"language":"eng","page":"17363-17373","title":"Electron transfer in subunit NuoI (TYKY) of Escherichia coli NADH:quinone  oxidoreductase (NDH-1).","type":"article-journal","volume":"287"},"uris":["http://www.mendeley.com/documents/?uuid=079e13fa-3233-4548-9d1d-e8fa3a9c75d3"]}],"mendeley":{"formattedCitation":"(Sinha &lt;i&gt;et al&lt;/i&gt;, 2012)","plainTextFormattedCitation":"(Sinha et al, 2012)","previouslyFormattedCitation":"(Sinha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105D3FB6" w14:textId="77777777" w:rsidTr="002471A8">
        <w:trPr>
          <w:trHeight w:val="65"/>
        </w:trPr>
        <w:tc>
          <w:tcPr>
            <w:tcW w:w="1165" w:type="dxa"/>
          </w:tcPr>
          <w:p w14:paraId="5A27891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P71A</w:t>
            </w:r>
          </w:p>
        </w:tc>
        <w:tc>
          <w:tcPr>
            <w:tcW w:w="2610" w:type="dxa"/>
            <w:vMerge w:val="restart"/>
          </w:tcPr>
          <w:p w14:paraId="39C20DF1"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N6b interface</w:t>
            </w:r>
          </w:p>
        </w:tc>
        <w:tc>
          <w:tcPr>
            <w:tcW w:w="1440" w:type="dxa"/>
          </w:tcPr>
          <w:p w14:paraId="649DBC4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124DC971"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75%</w:t>
            </w:r>
          </w:p>
        </w:tc>
        <w:tc>
          <w:tcPr>
            <w:tcW w:w="1260" w:type="dxa"/>
          </w:tcPr>
          <w:p w14:paraId="4D35A40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45-56%</w:t>
            </w:r>
          </w:p>
        </w:tc>
        <w:tc>
          <w:tcPr>
            <w:tcW w:w="1080" w:type="dxa"/>
          </w:tcPr>
          <w:p w14:paraId="1DE19DC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reduced</w:t>
            </w:r>
          </w:p>
        </w:tc>
        <w:tc>
          <w:tcPr>
            <w:tcW w:w="1260" w:type="dxa"/>
          </w:tcPr>
          <w:p w14:paraId="736F5002" w14:textId="57D5BD27"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{"citationItems":[{"id":"ITEM-1","itemData":{"DOI":"10.1074/jbc.M111.329649","ISSN":"1083-351X (Electronic)","PMID":"22474289","abstract":"Bacterial proton-translocating NADH:quinone oxidoreductase (NDH-1) consists of a  peripheral and a membrane domain. The peripheral domain catalyzes the electron transfer from NADH to quinone through a chain of seven iron-sulfur (Fe/S) clusters. Subunit NuoI in the peripheral domain contains two [4Fe-4S] clusters (N6a and N6b) and plays a role in bridging the electron transfer from cluster N5 to the terminal cluster N2. We constructed mutants for eight individual Cys-coordinating Fe/S clusters. With the exception of C63S, all mutants had damaged architecture of NDH-1, suggesting that Cys-coordinating Fe/S clusters help maintain the NDH-1 structure. Studies of three mutants (C63S-coordinating N6a, P110A located near N6a, and P71A in the vicinity of N6b) were carried out using EPR measurement. These three mutations did not affect the EPR signals from [2Fe-2S] clusters and retained electron transfer activities. Signals at g(z) = 2.09 disappeared in C63S and P110A but not in P71A. Considering our data together with the available information, g(z,x) = 2.09, 1.88 signals are assigned to cluster N6a. It is of interest that, in terms of g(z,x) values, cluster N6a is similar to cluster N4. In addition, we investigated the residues (Ile-94 and Ile-100) that are predicted to serve as electron wires between N6a and N6b and between N6b and N2, respectively. Replacement of Ile-100 and Ile-94 with Ala/Gly did not affect the electron transfer activity significantly. It is concluded that conserved Ile-100 and Ile-94 are not essential for the electron transfer.","author":[{"dropping-particle":"","family":"Sinha","given":"Prem Kumar","non-dropping-particle":"","parse-names":false,"suffix":""},{"dropping-particle":"","family":"Nakamaru-Ogiso","given":"Eiko","non-dropping-particle":"","parse-names":false,"suffix":""},{"dropping-particle":"","family":"Torres-Bacete","given":"Jesus","non-dropping-particle":"","parse-names":false,"suffix":""},{"dropping-particle":"","family":"Sato","given":"Motoaki","non-dropping-particle":"","parse-names":false,"suffix":""},{"dropping-particle":"","family":"Castro-Guerrero","given":"Norma","non-dropping-particle":"","parse-names":false,"suffix":""},{"dropping-particle":"","family":"Ohnishi","given":"Tomoko","non-dropping-particle":"","parse-names":false,"suffix":""},{"dropping-particle":"","family":"Matsuno-Yagi","given":"Akemi","non-dropping-particle":"","parse-names":false,"suffix":""},{"dropping-particle":"","family":"Yagi","given":"Takao","non-dropping-particle":"","parse-names":false,"suffix":""}],"container-title":"The Journal of biological chemistry","id":"ITEM-1","issue":"21","issued":{"date-parts":[["2012","5"]]},"language":"eng","page":"17363-17373","title":"Electron transfer in subunit NuoI (TYKY) of Escherichia coli NADH:quinone  oxidoreductase (NDH-1).","type":"article-journal","volume":"287"},"uris":["http://www.mendeley.com/documents/?uuid=079e13fa-3233-4548-9d1d-e8fa3a9c75d3"]}],"mendeley":{"formattedCitation":"(Sinha &lt;i&gt;et al&lt;/i&gt;, 2012)","plainTextFormattedCitation":"(Sinha et al, 2012)","previouslyFormattedCitation":"(Sinha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4D729DE0" w14:textId="77777777" w:rsidTr="002471A8">
        <w:trPr>
          <w:trHeight w:val="65"/>
        </w:trPr>
        <w:tc>
          <w:tcPr>
            <w:tcW w:w="1165" w:type="dxa"/>
          </w:tcPr>
          <w:p w14:paraId="6461DAA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I75A</w:t>
            </w:r>
          </w:p>
        </w:tc>
        <w:tc>
          <w:tcPr>
            <w:tcW w:w="2610" w:type="dxa"/>
            <w:vMerge/>
          </w:tcPr>
          <w:p w14:paraId="190DC841" w14:textId="77777777" w:rsidR="002471A8" w:rsidRPr="00E97FC1" w:rsidRDefault="002471A8" w:rsidP="002471A8">
            <w:pPr>
              <w:rPr>
                <w:rFonts w:ascii="Helvetica" w:hAnsi="Helvetica" w:cs="Helvetica"/>
                <w:bCs/>
                <w:sz w:val="20"/>
                <w:szCs w:val="20"/>
                <w:lang w:val="en-GB"/>
              </w:rPr>
            </w:pPr>
          </w:p>
        </w:tc>
        <w:tc>
          <w:tcPr>
            <w:tcW w:w="1440" w:type="dxa"/>
          </w:tcPr>
          <w:p w14:paraId="40C83710"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5BF5254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66%</w:t>
            </w:r>
          </w:p>
        </w:tc>
        <w:tc>
          <w:tcPr>
            <w:tcW w:w="1260" w:type="dxa"/>
          </w:tcPr>
          <w:p w14:paraId="66A4AF3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28-40%</w:t>
            </w:r>
          </w:p>
        </w:tc>
        <w:tc>
          <w:tcPr>
            <w:tcW w:w="1080" w:type="dxa"/>
          </w:tcPr>
          <w:p w14:paraId="56E2022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reduced</w:t>
            </w:r>
          </w:p>
        </w:tc>
        <w:tc>
          <w:tcPr>
            <w:tcW w:w="1260" w:type="dxa"/>
          </w:tcPr>
          <w:p w14:paraId="37798F13" w14:textId="4EE7F819"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{"citationItems":[{"id":"ITEM-1","itemData":{"DOI":"10.1074/jbc.M111.329649","ISSN":"1083-351X (Electronic)","PMID":"22474289","abstract":"Bacterial proton-translocating NADH:quinone oxidoreductase (NDH-1) consists of a  peripheral and a membrane domain. The peripheral domain catalyzes the electron transfer from NADH to quinone through a chain of seven iron-sulfur (Fe/S) clusters. Subunit NuoI in the peripheral domain contains two [4Fe-4S] clusters (N6a and N6b) and plays a role in bridging the electron transfer from cluster N5 to the terminal cluster N2. We constructed mutants for eight individual Cys-coordinating Fe/S clusters. With the exception of C63S, all mutants had damaged architecture of NDH-1, suggesting that Cys-coordinating Fe/S clusters help maintain the NDH-1 structure. Studies of three mutants (C63S-coordinating N6a, P110A located near N6a, and P71A in the vicinity of N6b) were carried out using EPR measurement. These three mutations did not affect the EPR signals from [2Fe-2S] clusters and retained electron transfer activities. Signals at g(z) = 2.09 disappeared in C63S and P110A but not in P71A. Considering our data together with the available information, g(z,x) = 2.09, 1.88 signals are assigned to cluster N6a. It is of interest that, in terms of g(z,x) values, cluster N6a is similar to cluster N4. In addition, we investigated the residues (Ile-94 and Ile-100) that are predicted to serve as electron wires between N6a and N6b and between N6b and N2, respectively. Replacement of Ile-100 and Ile-94 with Ala/Gly did not affect the electron transfer activity significantly. It is concluded that conserved Ile-100 and Ile-94 are not essential for the electron transfer.","author":[{"dropping-particle":"","family":"Sinha","given":"Prem Kumar","non-dropping-particle":"","parse-names":false,"suffix":""},{"dropping-particle":"","family":"Nakamaru-Ogiso","given":"Eiko","non-dropping-particle":"","parse-names":false,"suffix":""},{"dropping-particle":"","family":"Torres-Bacete","given":"Jesus","non-dropping-particle":"","parse-names":false,"suffix":""},{"dropping-particle":"","family":"Sato","given":"Motoaki","non-dropping-particle":"","parse-names":false,"suffix":""},{"dropping-particle":"","family":"Castro-Guerrero","given":"Norma","non-dropping-particle":"","parse-names":false,"suffix":""},{"dropping-particle":"","family":"Ohnishi","given":"Tomoko","non-dropping-particle":"","parse-names":false,"suffix":""},{"dropping-particle":"","family":"Matsuno-Yagi","given":"Akemi","non-dropping-particle":"","parse-names":false,"suffix":""},{"dropping-particle":"","family":"Yagi","given":"Takao","non-dropping-particle":"","parse-names":false,"suffix":""}],"container-title":"The Journal of biological chemistry","id":"ITEM-1","issue":"21","issued":{"date-parts":[["2012","5"]]},"language":"eng","page":"17363-17373","title":"Electron transfer in subunit NuoI (TYKY) of Escherichia coli NADH:quinone  oxidoreductase (NDH-1).","type":"article-journal","volume":"287"},"uris":["http://www.mendeley.com/documents/?uuid=079e13fa-3233-4548-9d1d-e8fa3a9c75d3"]}],"mendeley":{"formattedCitation":"(Sinha &lt;i&gt;et al&lt;/i&gt;, 2012)","plainTextFormattedCitation":"(Sinha et al, 2012)","previouslyFormattedCitation":"(Sinha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0894C763" w14:textId="77777777" w:rsidTr="002471A8">
        <w:trPr>
          <w:trHeight w:val="65"/>
        </w:trPr>
        <w:tc>
          <w:tcPr>
            <w:tcW w:w="1165" w:type="dxa"/>
          </w:tcPr>
          <w:p w14:paraId="411F694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G85A</w:t>
            </w:r>
          </w:p>
        </w:tc>
        <w:tc>
          <w:tcPr>
            <w:tcW w:w="2610" w:type="dxa"/>
          </w:tcPr>
          <w:p w14:paraId="6D16868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surface</w:t>
            </w:r>
          </w:p>
        </w:tc>
        <w:tc>
          <w:tcPr>
            <w:tcW w:w="1440" w:type="dxa"/>
          </w:tcPr>
          <w:p w14:paraId="1434030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2A64BB2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106%</w:t>
            </w:r>
          </w:p>
        </w:tc>
        <w:tc>
          <w:tcPr>
            <w:tcW w:w="1260" w:type="dxa"/>
          </w:tcPr>
          <w:p w14:paraId="756C5C9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88-116%</w:t>
            </w:r>
          </w:p>
        </w:tc>
        <w:tc>
          <w:tcPr>
            <w:tcW w:w="1080" w:type="dxa"/>
          </w:tcPr>
          <w:p w14:paraId="5929317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100%</w:t>
            </w:r>
          </w:p>
        </w:tc>
        <w:tc>
          <w:tcPr>
            <w:tcW w:w="1260" w:type="dxa"/>
          </w:tcPr>
          <w:p w14:paraId="1C5BCB59" w14:textId="729DB4CB"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{"citationItems":[{"id":"ITEM-1","itemData":{"DOI":"10.1074/jbc.M111.329649","ISSN":"1083-351X (Electronic)","PMID":"22474289","abstract":"Bacterial proton-translocating NADH:quinone oxidoreductase (NDH-1) consists of a  peripheral and a membrane domain. The peripheral domain catalyzes the electron transfer from NADH to quinone through a chain of seven iron-sulfur (Fe/S) clusters. Subunit NuoI in the peripheral domain contains two [4Fe-4S] clusters (N6a and N6b) and plays a role in bridging the electron transfer from cluster N5 to the terminal cluster N2. We constructed mutants for eight individual Cys-coordinating Fe/S clusters. With the exception of C63S, all mutants had damaged architecture of NDH-1, suggesting that Cys-coordinating Fe/S clusters help maintain the NDH-1 structure. Studies of three mutants (C63S-coordinating N6a, P110A located near N6a, and P71A in the vicinity of N6b) were carried out using EPR measurement. These three mutations did not affect the EPR signals from [2Fe-2S] clusters and retained electron transfer activities. Signals at g(z) = 2.09 disappeared in C63S and P110A but not in P71A. Considering our data together with the available information, g(z,x) = 2.09, 1.88 signals are assigned to cluster N6a. It is of interest that, in terms of g(z,x) values, cluster N6a is similar to cluster N4. In addition, we investigated the residues (Ile-94 and Ile-100) that are predicted to serve as electron wires between N6a and N6b and between N6b and N2, respectively. Replacement of Ile-100 and Ile-94 with Ala/Gly did not affect the electron transfer activity significantly. It is concluded that conserved Ile-100 and Ile-94 are not essential for the electron transfer.","author":[{"dropping-particle":"","family":"Sinha","given":"Prem Kumar","non-dropping-particle":"","parse-names":false,"suffix":""},{"dropping-particle":"","family":"Nakamaru-Ogiso","given":"Eiko","non-dropping-particle":"","parse-names":false,"suffix":""},{"dropping-particle":"","family":"Torres-Bacete","given":"Jesus","non-dropping-particle":"","parse-names":false,"suffix":""},{"dropping-particle":"","family":"Sato","given":"Motoaki","non-dropping-particle":"","parse-names":false,"suffix":""},{"dropping-particle":"","family":"Castro-Guerrero","given":"Norma","non-dropping-particle":"","parse-names":false,"suffix":""},{"dropping-particle":"","family":"Ohnishi","given":"Tomoko","non-dropping-particle":"","parse-names":false,"suffix":""},{"dropping-particle":"","family":"Matsuno-Yagi","given":"Akemi","non-dropping-particle":"","parse-names":false,"suffix":""},{"dropping-particle":"","family":"Yagi","given":"Takao","non-dropping-particle":"","parse-names":false,"suffix":""}],"container-title":"The Journal of biological chemistry","id":"ITEM-1","issue":"21","issued":{"date-parts":[["2012","5"]]},"language":"eng","page":"17363-17373","title":"Electron transfer in subunit NuoI (TYKY) of Escherichia coli NADH:quinone  oxidoreductase (NDH-1).","type":"article-journal","volume":"287"},"uris":["http://www.mendeley.com/documents/?uuid=079e13fa-3233-4548-9d1d-e8fa3a9c75d3"]}],"mendeley":{"formattedCitation":"(Sinha &lt;i&gt;et al&lt;/i&gt;, 2012)","plainTextFormattedCitation":"(Sinha et al, 2012)","previouslyFormattedCitation":"(Sinha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6F1DA872" w14:textId="77777777" w:rsidTr="002471A8">
        <w:trPr>
          <w:trHeight w:val="65"/>
        </w:trPr>
        <w:tc>
          <w:tcPr>
            <w:tcW w:w="1165" w:type="dxa"/>
          </w:tcPr>
          <w:p w14:paraId="4EB1E15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F92A</w:t>
            </w:r>
          </w:p>
        </w:tc>
        <w:tc>
          <w:tcPr>
            <w:tcW w:w="2610" w:type="dxa"/>
          </w:tcPr>
          <w:p w14:paraId="191E2E7B"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N6a interface</w:t>
            </w:r>
          </w:p>
        </w:tc>
        <w:tc>
          <w:tcPr>
            <w:tcW w:w="1440" w:type="dxa"/>
          </w:tcPr>
          <w:p w14:paraId="35E9EBCB"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6A078CA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79%</w:t>
            </w:r>
          </w:p>
        </w:tc>
        <w:tc>
          <w:tcPr>
            <w:tcW w:w="1260" w:type="dxa"/>
          </w:tcPr>
          <w:p w14:paraId="3EACE96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76-81%</w:t>
            </w:r>
          </w:p>
        </w:tc>
        <w:tc>
          <w:tcPr>
            <w:tcW w:w="1080" w:type="dxa"/>
          </w:tcPr>
          <w:p w14:paraId="0A83918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100%</w:t>
            </w:r>
          </w:p>
        </w:tc>
        <w:tc>
          <w:tcPr>
            <w:tcW w:w="1260" w:type="dxa"/>
          </w:tcPr>
          <w:p w14:paraId="7472B1D8" w14:textId="63467DB7"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{"citationItems":[{"id":"ITEM-1","itemData":{"DOI":"10.1074/jbc.M111.329649","ISSN":"1083-351X (Electronic)","PMID":"22474289","abstract":"Bacterial proton-translocating NADH:quinone oxidoreductase (NDH-1) consists of a  peripheral and a membrane domain. The peripheral domain catalyzes the electron transfer from NADH to quinone through a chain of seven iron-sulfur (Fe/S) clusters. Subunit NuoI in the peripheral domain contains two [4Fe-4S] clusters (N6a and N6b) and plays a role in bridging the electron transfer from cluster N5 to the terminal cluster N2. We constructed mutants for eight individual Cys-coordinating Fe/S clusters. With the exception of C63S, all mutants had damaged architecture of NDH-1, suggesting that Cys-coordinating Fe/S clusters help maintain the NDH-1 structure. Studies of three mutants (C63S-coordinating N6a, P110A located near N6a, and P71A in the vicinity of N6b) were carried out using EPR measurement. These three mutations did not affect the EPR signals from [2Fe-2S] clusters and retained electron transfer activities. Signals at g(z) = 2.09 disappeared in C63S and P110A but not in P71A. Considering our data together with the available information, g(z,x) = 2.09, 1.88 signals are assigned to cluster N6a. It is of interest that, in terms of g(z,x) values, cluster N6a is similar to cluster N4. In addition, we investigated the residues (Ile-94 and Ile-100) that are predicted to serve as electron wires between N6a and N6b and between N6b and N2, respectively. Replacement of Ile-100 and Ile-94 with Ala/Gly did not affect the electron transfer activity significantly. It is concluded that conserved Ile-100 and Ile-94 are not essential for the electron transfer.","author":[{"dropping-particle":"","family":"Sinha","given":"Prem Kumar","non-dropping-particle":"","parse-names":false,"suffix":""},{"dropping-particle":"","family":"Nakamaru-Ogiso","given":"Eiko","non-dropping-particle":"","parse-names":false,"suffix":""},{"dropping-particle":"","family":"Torres-Bacete","given":"Jesus","non-dropping-particle":"","parse-names":false,"suffix":""},{"dropping-particle":"","family":"Sato","given":"Motoaki","non-dropping-particle":"","parse-names":false,"suffix":""},{"dropping-particle":"","family":"Castro-Guerrero","given":"Norma","non-dropping-particle":"","parse-names":false,"suffix":""},{"dropping-particle":"","family":"Ohnishi","given":"Tomoko","non-dropping-particle":"","parse-names":false,"suffix":""},{"dropping-particle":"","family":"Matsuno-Yagi","given":"Akemi","non-dropping-particle":"","parse-names":false,"suffix":""},{"dropping-particle":"","family":"Yagi","given":"Takao","non-dropping-particle":"","parse-names":false,"suffix":""}],"container-title":"The Journal of biological chemistry","id":"ITEM-1","issue":"21","issued":{"date-parts":[["2012","5"]]},"language":"eng","page":"17363-17373","title":"Electron transfer in subunit NuoI (TYKY) of Escherichia coli NADH:quinone  oxidoreductase (NDH-1).","type":"article-journal","volume":"287"},"uris":["http://www.mendeley.com/documents/?uuid=079e13fa-3233-4548-9d1d-e8fa3a9c75d3"]}],"mendeley":{"formattedCitation":"(Sinha &lt;i&gt;et al&lt;/i&gt;, 2012)","plainTextFormattedCitation":"(Sinha et al, 2012)","previouslyFormattedCitation":"(Sinha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3ED30272" w14:textId="77777777" w:rsidTr="002471A8">
        <w:trPr>
          <w:trHeight w:val="65"/>
        </w:trPr>
        <w:tc>
          <w:tcPr>
            <w:tcW w:w="1165" w:type="dxa"/>
          </w:tcPr>
          <w:p w14:paraId="5FD41CB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R93A</w:t>
            </w:r>
          </w:p>
        </w:tc>
        <w:tc>
          <w:tcPr>
            <w:tcW w:w="2610" w:type="dxa"/>
          </w:tcPr>
          <w:p w14:paraId="675E89B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surface</w:t>
            </w:r>
          </w:p>
        </w:tc>
        <w:tc>
          <w:tcPr>
            <w:tcW w:w="1440" w:type="dxa"/>
          </w:tcPr>
          <w:p w14:paraId="30D55D1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0461E72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101%</w:t>
            </w:r>
          </w:p>
        </w:tc>
        <w:tc>
          <w:tcPr>
            <w:tcW w:w="1260" w:type="dxa"/>
          </w:tcPr>
          <w:p w14:paraId="3AED467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92-101%</w:t>
            </w:r>
          </w:p>
        </w:tc>
        <w:tc>
          <w:tcPr>
            <w:tcW w:w="1080" w:type="dxa"/>
          </w:tcPr>
          <w:p w14:paraId="3BB51CC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100%</w:t>
            </w:r>
          </w:p>
        </w:tc>
        <w:tc>
          <w:tcPr>
            <w:tcW w:w="1260" w:type="dxa"/>
          </w:tcPr>
          <w:p w14:paraId="2E1D8DBB" w14:textId="256FCC0A"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{"citationItems":[{"id":"ITEM-1","itemData":{"DOI":"10.1074/jbc.M111.329649","ISSN":"1083-351X (Electronic)","PMID":"22474289","abstract":"Bacterial proton-translocating NADH:quinone oxidoreductase (NDH-1) consists of a  peripheral and a membrane domain. The peripheral domain catalyzes the electron transfer from NADH to quinone through a chain of seven iron-sulfur (Fe/S) clusters. Subunit NuoI in the peripheral domain contains two [4Fe-4S] clusters (N6a and N6b) and plays a role in bridging the electron transfer from cluster N5 to the terminal cluster N2. We constructed mutants for eight individual Cys-coordinating Fe/S clusters. With the exception of C63S, all mutants had damaged architecture of NDH-1, suggesting that Cys-coordinating Fe/S clusters help maintain the NDH-1 structure. Studies of three mutants (C63S-coordinating N6a, P110A located near N6a, and P71A in the vicinity of N6b) were carried out using EPR measurement. These three mutations did not affect the EPR signals from [2Fe-2S] clusters and retained electron transfer activities. Signals at g(z) = 2.09 disappeared in C63S and P110A but not in P71A. Considering our data together with the available information, g(z,x) = 2.09, 1.88 signals are assigned to cluster N6a. It is of interest that, in terms of g(z,x) values, cluster N6a is similar to cluster N4. In addition, we investigated the residues (Ile-94 and Ile-100) that are predicted to serve as electron wires between N6a and N6b and between N6b and N2, respectively. Replacement of Ile-100 and Ile-94 with Ala/Gly did not affect the electron transfer activity significantly. It is concluded that conserved Ile-100 and Ile-94 are not essential for the electron transfer.","author":[{"dropping-particle":"","family":"Sinha","given":"Prem Kumar","non-dropping-particle":"","parse-names":false,"suffix":""},{"dropping-particle":"","family":"Nakamaru-Ogiso","given":"Eiko","non-dropping-particle":"","parse-names":false,"suffix":""},{"dropping-particle":"","family":"Torres-Bacete","given":"Jesus","non-dropping-particle":"","parse-names":false,"suffix":""},{"dropping-particle":"","family":"Sato","given":"Motoaki","non-dropping-particle":"","parse-names":false,"suffix":""},{"dropping-particle":"","family":"Castro-Guerrero","given":"Norma","non-dropping-particle":"","parse-names":false,"suffix":""},{"dropping-particle":"","family":"Ohnishi","given":"Tomoko","non-dropping-particle":"","parse-names":false,"suffix":""},{"dropping-particle":"","family":"Matsuno-Yagi","given":"Akemi","non-dropping-particle":"","parse-names":false,"suffix":""},{"dropping-particle":"","family":"Yagi","given":"Takao","non-dropping-particle":"","parse-names":false,"suffix":""}],"container-title":"The Journal of biological chemistry","id":"ITEM-1","issue":"21","issued":{"date-parts":[["2012","5"]]},"language":"eng","page":"17363-17373","title":"Electron transfer in subunit NuoI (TYKY) of Escherichia coli NADH:quinone  oxidoreductase (NDH-1).","type":"article-journal","volume":"287"},"uris":["http://www.mendeley.com/documents/?uuid=079e13fa-3233-4548-9d1d-e8fa3a9c75d3"]}],"mendeley":{"formattedCitation":"(Sinha &lt;i&gt;et al&lt;/i&gt;, 2012)","plainTextFormattedCitation":"(Sinha et al, 2012)","previouslyFormattedCitation":"(Sinha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55A897EF" w14:textId="77777777" w:rsidTr="002471A8">
        <w:trPr>
          <w:trHeight w:val="65"/>
        </w:trPr>
        <w:tc>
          <w:tcPr>
            <w:tcW w:w="1165" w:type="dxa"/>
          </w:tcPr>
          <w:p w14:paraId="40119C2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I94A</w:t>
            </w:r>
          </w:p>
        </w:tc>
        <w:tc>
          <w:tcPr>
            <w:tcW w:w="2610" w:type="dxa"/>
            <w:vMerge w:val="restart"/>
          </w:tcPr>
          <w:p w14:paraId="7E9FEAE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Nba interface</w:t>
            </w:r>
          </w:p>
        </w:tc>
        <w:tc>
          <w:tcPr>
            <w:tcW w:w="1440" w:type="dxa"/>
          </w:tcPr>
          <w:p w14:paraId="58040B0B"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2E287E8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108%</w:t>
            </w:r>
          </w:p>
        </w:tc>
        <w:tc>
          <w:tcPr>
            <w:tcW w:w="1260" w:type="dxa"/>
          </w:tcPr>
          <w:p w14:paraId="628B29E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92-99%</w:t>
            </w:r>
          </w:p>
        </w:tc>
        <w:tc>
          <w:tcPr>
            <w:tcW w:w="1080" w:type="dxa"/>
          </w:tcPr>
          <w:p w14:paraId="0FD4795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100%</w:t>
            </w:r>
          </w:p>
        </w:tc>
        <w:tc>
          <w:tcPr>
            <w:tcW w:w="1260" w:type="dxa"/>
          </w:tcPr>
          <w:p w14:paraId="653FA4F8" w14:textId="03F93EDE"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{"citationItems":[{"id":"ITEM-1","itemData":{"DOI":"10.1074/jbc.M111.329649","ISSN":"1083-351X (Electronic)","PMID":"22474289","abstract":"Bacterial proton-translocating NADH:quinone oxidoreductase (NDH-1) consists of a  peripheral and a membrane domain. The peripheral domain catalyzes the electron transfer from NADH to quinone through a chain of seven iron-sulfur (Fe/S) clusters. Subunit NuoI in the peripheral domain contains two [4Fe-4S] clusters (N6a and N6b) and plays a role in bridging the electron transfer from cluster N5 to the terminal cluster N2. We constructed mutants for eight individual Cys-coordinating Fe/S clusters. With the exception of C63S, all mutants had damaged architecture of NDH-1, suggesting that Cys-coordinating Fe/S clusters help maintain the NDH-1 structure. Studies of three mutants (C63S-coordinating N6a, P110A located near N6a, and P71A in the vicinity of N6b) were carried out using EPR measurement. These three mutations did not affect the EPR signals from [2Fe-2S] clusters and retained electron transfer activities. Signals at g(z) = 2.09 disappeared in C63S and P110A but not in P71A. Considering our data together with the available information, g(z,x) = 2.09, 1.88 signals are assigned to cluster N6a. It is of interest that, in terms of g(z,x) values, cluster N6a is similar to cluster N4. In addition, we investigated the residues (Ile-94 and Ile-100) that are predicted to serve as electron wires between N6a and N6b and between N6b and N2, respectively. Replacement of Ile-100 and Ile-94 with Ala/Gly did not affect the electron transfer activity significantly. It is concluded that conserved Ile-100 and Ile-94 are not essential for the electron transfer.","author":[{"dropping-particle":"","family":"Sinha","given":"Prem Kumar","non-dropping-particle":"","parse-names":false,"suffix":""},{"dropping-particle":"","family":"Nakamaru-Ogiso","given":"Eiko","non-dropping-particle":"","parse-names":false,"suffix":""},{"dropping-particle":"","family":"Torres-Bacete","given":"Jesus","non-dropping-particle":"","parse-names":false,"suffix":""},{"dropping-particle":"","family":"Sato","given":"Motoaki","non-dropping-particle":"","parse-names":false,"suffix":""},{"dropping-particle":"","family":"Castro-Guerrero","given":"Norma","non-dropping-particle":"","parse-names":false,"suffix":""},{"dropping-particle":"","family":"Ohnishi","given":"Tomoko","non-dropping-particle":"","parse-names":false,"suffix":""},{"dropping-particle":"","family":"Matsuno-Yagi","given":"Akemi","non-dropping-particle":"","parse-names":false,"suffix":""},{"dropping-particle":"","family":"Yagi","given":"Takao","non-dropping-particle":"","parse-names":false,"suffix":""}],"container-title":"The Journal of biological chemistry","id":"ITEM-1","issue":"21","issued":{"date-parts":[["2012","5"]]},"language":"eng","page":"17363-17373","title":"Electron transfer in subunit NuoI (TYKY) of Escherichia coli NADH:quinone  oxidoreductase (NDH-1).","type":"article-journal","volume":"287"},"uris":["http://www.mendeley.com/documents/?uuid=079e13fa-3233-4548-9d1d-e8fa3a9c75d3"]}],"mendeley":{"formattedCitation":"(Sinha &lt;i&gt;et al&lt;/i&gt;, 2012)","plainTextFormattedCitation":"(Sinha et al, 2012)","previouslyFormattedCitation":"(Sinha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505DD99A" w14:textId="77777777" w:rsidTr="002471A8">
        <w:trPr>
          <w:trHeight w:val="65"/>
        </w:trPr>
        <w:tc>
          <w:tcPr>
            <w:tcW w:w="1165" w:type="dxa"/>
          </w:tcPr>
          <w:p w14:paraId="3FD97D7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lastRenderedPageBreak/>
              <w:t>I94G</w:t>
            </w:r>
          </w:p>
        </w:tc>
        <w:tc>
          <w:tcPr>
            <w:tcW w:w="2610" w:type="dxa"/>
            <w:vMerge/>
          </w:tcPr>
          <w:p w14:paraId="15B04A87" w14:textId="77777777" w:rsidR="002471A8" w:rsidRPr="00E97FC1" w:rsidRDefault="002471A8" w:rsidP="002471A8">
            <w:pPr>
              <w:rPr>
                <w:rFonts w:ascii="Helvetica" w:hAnsi="Helvetica" w:cs="Helvetica"/>
                <w:bCs/>
                <w:sz w:val="20"/>
                <w:szCs w:val="20"/>
                <w:lang w:val="en-GB"/>
              </w:rPr>
            </w:pPr>
          </w:p>
        </w:tc>
        <w:tc>
          <w:tcPr>
            <w:tcW w:w="1440" w:type="dxa"/>
          </w:tcPr>
          <w:p w14:paraId="2727EB4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417981D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92%</w:t>
            </w:r>
          </w:p>
        </w:tc>
        <w:tc>
          <w:tcPr>
            <w:tcW w:w="1260" w:type="dxa"/>
          </w:tcPr>
          <w:p w14:paraId="6D76214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93-119%</w:t>
            </w:r>
          </w:p>
        </w:tc>
        <w:tc>
          <w:tcPr>
            <w:tcW w:w="1080" w:type="dxa"/>
          </w:tcPr>
          <w:p w14:paraId="67E70E9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26276517" w14:textId="6EE8E9FE"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{"citationItems":[{"id":"ITEM-1","itemData":{"DOI":"10.1074/jbc.M111.329649","ISSN":"1083-351X (Electronic)","PMID":"22474289","abstract":"Bacterial proton-translocating NADH:quinone oxidoreductase (NDH-1) consists of a  peripheral and a membrane domain. The peripheral domain catalyzes the electron transfer from NADH to quinone through a chain of seven iron-sulfur (Fe/S) clusters. Subunit NuoI in the peripheral domain contains two [4Fe-4S] clusters (N6a and N6b) and plays a role in bridging the electron transfer from cluster N5 to the terminal cluster N2. We constructed mutants for eight individual Cys-coordinating Fe/S clusters. With the exception of C63S, all mutants had damaged architecture of NDH-1, suggesting that Cys-coordinating Fe/S clusters help maintain the NDH-1 structure. Studies of three mutants (C63S-coordinating N6a, P110A located near N6a, and P71A in the vicinity of N6b) were carried out using EPR measurement. These three mutations did not affect the EPR signals from [2Fe-2S] clusters and retained electron transfer activities. Signals at g(z) = 2.09 disappeared in C63S and P110A but not in P71A. Considering our data together with the available information, g(z,x) = 2.09, 1.88 signals are assigned to cluster N6a. It is of interest that, in terms of g(z,x) values, cluster N6a is similar to cluster N4. In addition, we investigated the residues (Ile-94 and Ile-100) that are predicted to serve as electron wires between N6a and N6b and between N6b and N2, respectively. Replacement of Ile-100 and Ile-94 with Ala/Gly did not affect the electron transfer activity significantly. It is concluded that conserved Ile-100 and Ile-94 are not essential for the electron transfer.","author":[{"dropping-particle":"","family":"Sinha","given":"Prem Kumar","non-dropping-particle":"","parse-names":false,"suffix":""},{"dropping-particle":"","family":"Nakamaru-Ogiso","given":"Eiko","non-dropping-particle":"","parse-names":false,"suffix":""},{"dropping-particle":"","family":"Torres-Bacete","given":"Jesus","non-dropping-particle":"","parse-names":false,"suffix":""},{"dropping-particle":"","family":"Sato","given":"Motoaki","non-dropping-particle":"","parse-names":false,"suffix":""},{"dropping-particle":"","family":"Castro-Guerrero","given":"Norma","non-dropping-particle":"","parse-names":false,"suffix":""},{"dropping-particle":"","family":"Ohnishi","given":"Tomoko","non-dropping-particle":"","parse-names":false,"suffix":""},{"dropping-particle":"","family":"Matsuno-Yagi","given":"Akemi","non-dropping-particle":"","parse-names":false,"suffix":""},{"dropping-particle":"","family":"Yagi","given":"Takao","non-dropping-particle":"","parse-names":false,"suffix":""}],"container-title":"The Journal of biological chemistry","id":"ITEM-1","issue":"21","issued":{"date-parts":[["2012","5"]]},"language":"eng","page":"17363-17373","title":"Electron transfer in subunit NuoI (TYKY) of Escherichia coli NADH:quinone  oxidoreductase (NDH-1).","type":"article-journal","volume":"287"},"uris":["http://www.mendeley.com/documents/?uuid=079e13fa-3233-4548-9d1d-e8fa3a9c75d3"]}],"mendeley":{"formattedCitation":"(Sinha &lt;i&gt;et al&lt;/i&gt;, 2012)","plainTextFormattedCitation":"(Sinha et al, 2012)","previouslyFormattedCitation":"(Sinha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26CCCEE7" w14:textId="77777777" w:rsidTr="002471A8">
        <w:trPr>
          <w:trHeight w:val="65"/>
        </w:trPr>
        <w:tc>
          <w:tcPr>
            <w:tcW w:w="1165" w:type="dxa"/>
          </w:tcPr>
          <w:p w14:paraId="3B71D64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lastRenderedPageBreak/>
              <w:t>R98A</w:t>
            </w:r>
          </w:p>
        </w:tc>
        <w:tc>
          <w:tcPr>
            <w:tcW w:w="2610" w:type="dxa"/>
            <w:vMerge w:val="restart"/>
          </w:tcPr>
          <w:p w14:paraId="1935C91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 xml:space="preserve">Intersubunit interface, near </w:t>
            </w:r>
            <w:r w:rsidRPr="00E97FC1">
              <w:rPr>
                <w:rFonts w:ascii="Helvetica" w:hAnsi="Helvetica" w:cs="Helvetica"/>
                <w:bCs/>
                <w:sz w:val="20"/>
                <w:szCs w:val="20"/>
                <w:vertAlign w:val="subscript"/>
                <w:lang w:val="en-GB"/>
              </w:rPr>
              <w:t>B</w:t>
            </w:r>
            <w:r w:rsidRPr="00E97FC1">
              <w:rPr>
                <w:rFonts w:ascii="Helvetica" w:hAnsi="Helvetica" w:cs="Helvetica"/>
                <w:bCs/>
                <w:sz w:val="20"/>
                <w:szCs w:val="20"/>
                <w:lang w:val="en-GB"/>
              </w:rPr>
              <w:t>C99</w:t>
            </w:r>
          </w:p>
        </w:tc>
        <w:tc>
          <w:tcPr>
            <w:tcW w:w="1440" w:type="dxa"/>
          </w:tcPr>
          <w:p w14:paraId="3F6F6D4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30BF863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53%</w:t>
            </w:r>
          </w:p>
        </w:tc>
        <w:tc>
          <w:tcPr>
            <w:tcW w:w="1260" w:type="dxa"/>
          </w:tcPr>
          <w:p w14:paraId="3E8DEFB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9-18%</w:t>
            </w:r>
          </w:p>
        </w:tc>
        <w:tc>
          <w:tcPr>
            <w:tcW w:w="1080" w:type="dxa"/>
          </w:tcPr>
          <w:p w14:paraId="6632D8C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20%</w:t>
            </w:r>
          </w:p>
        </w:tc>
        <w:tc>
          <w:tcPr>
            <w:tcW w:w="1260" w:type="dxa"/>
          </w:tcPr>
          <w:p w14:paraId="47B28608" w14:textId="2390CAFE"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{"citationItems":[{"id":"ITEM-1","itemData":{"DOI":"10.1074/jbc.M111.329649","ISSN":"1083-351X (Electronic)","PMID":"22474289","abstract":"Bacterial proton-translocating NADH:quinone oxidoreductase (NDH-1) consists of a  peripheral and a membrane domain. The peripheral domain catalyzes the electron transfer from NADH to quinone through a chain of seven iron-sulfur (Fe/S) clusters. Subunit NuoI in the peripheral domain contains two [4Fe-4S] clusters (N6a and N6b) and plays a role in bridging the electron transfer from cluster N5 to the terminal cluster N2. We constructed mutants for eight individual Cys-coordinating Fe/S clusters. With the exception of C63S, all mutants had damaged architecture of NDH-1, suggesting that Cys-coordinating Fe/S clusters help maintain the NDH-1 structure. Studies of three mutants (C63S-coordinating N6a, P110A located near N6a, and P71A in the vicinity of N6b) were carried out using EPR measurement. These three mutations did not affect the EPR signals from [2Fe-2S] clusters and retained electron transfer activities. Signals at g(z) = 2.09 disappeared in C63S and P110A but not in P71A. Considering our data together with the available information, g(z,x) = 2.09, 1.88 signals are assigned to cluster N6a. It is of interest that, in terms of g(z,x) values, cluster N6a is similar to cluster N4. In addition, we investigated the residues (Ile-94 and Ile-100) that are predicted to serve as electron wires between N6a and N6b and between N6b and N2, respectively. Replacement of Ile-100 and Ile-94 with Ala/Gly did not affect the electron transfer activity significantly. It is concluded that conserved Ile-100 and Ile-94 are not essential for the electron transfer.","author":[{"dropping-particle":"","family":"Sinha","given":"Prem Kumar","non-dropping-particle":"","parse-names":false,"suffix":""},{"dropping-particle":"","family":"Nakamaru-Ogiso","given":"Eiko","non-dropping-particle":"","parse-names":false,"suffix":""},{"dropping-particle":"","family":"Torres-Bacete","given":"Jesus","non-dropping-particle":"","parse-names":false,"suffix":""},{"dropping-particle":"","family":"Sato","given":"Motoaki","non-dropping-particle":"","parse-names":false,"suffix":""},{"dropping-particle":"","family":"Castro-Guerrero","given":"Norma","non-dropping-particle":"","parse-names":false,"suffix":""},{"dropping-particle":"","family":"Ohnishi","given":"Tomoko","non-dropping-particle":"","parse-names":false,"suffix":""},{"dropping-particle":"","family":"Matsuno-Yagi","given":"Akemi","non-dropping-particle":"","parse-names":false,"suffix":""},{"dropping-particle":"","family":"Yagi","given":"Takao","non-dropping-particle":"","parse-names":false,"suffix":""}],"container-title":"The Journal of biological chemistry","id":"ITEM-1","issue":"21","issued":{"date-parts":[["2012","5"]]},"language":"eng","page":"17363-17373","title":"Electron transfer in subunit NuoI (TYKY) of Escherichia coli NADH:quinone  oxidoreductase (NDH-1).","type":"article-journal","volume":"287"},"uris":["http://www.mendeley.com/documents/?uuid=079e13fa-3233-4548-9d1d-e8fa3a9c75d3"]}],"mendeley":{"formattedCitation":"(Sinha &lt;i&gt;et al&lt;/i&gt;, 2012)","plainTextFormattedCitation":"(Sinha et al, 2012)","previouslyFormattedCitation":"(Sinha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3961D629" w14:textId="77777777" w:rsidTr="002471A8">
        <w:trPr>
          <w:trHeight w:val="65"/>
        </w:trPr>
        <w:tc>
          <w:tcPr>
            <w:tcW w:w="1165" w:type="dxa"/>
          </w:tcPr>
          <w:p w14:paraId="1A2A404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I100A</w:t>
            </w:r>
          </w:p>
        </w:tc>
        <w:tc>
          <w:tcPr>
            <w:tcW w:w="2610" w:type="dxa"/>
            <w:vMerge/>
          </w:tcPr>
          <w:p w14:paraId="61F0746D" w14:textId="77777777" w:rsidR="002471A8" w:rsidRPr="00E97FC1" w:rsidRDefault="002471A8" w:rsidP="002471A8">
            <w:pPr>
              <w:rPr>
                <w:rFonts w:ascii="Helvetica" w:hAnsi="Helvetica" w:cs="Helvetica"/>
                <w:bCs/>
                <w:sz w:val="20"/>
                <w:szCs w:val="20"/>
                <w:lang w:val="en-GB"/>
              </w:rPr>
            </w:pPr>
          </w:p>
        </w:tc>
        <w:tc>
          <w:tcPr>
            <w:tcW w:w="1440" w:type="dxa"/>
          </w:tcPr>
          <w:p w14:paraId="60AF5FE0"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42FDEBE4"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101%</w:t>
            </w:r>
          </w:p>
        </w:tc>
        <w:tc>
          <w:tcPr>
            <w:tcW w:w="1260" w:type="dxa"/>
          </w:tcPr>
          <w:p w14:paraId="224F69AA"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85-86%</w:t>
            </w:r>
          </w:p>
        </w:tc>
        <w:tc>
          <w:tcPr>
            <w:tcW w:w="1080" w:type="dxa"/>
          </w:tcPr>
          <w:p w14:paraId="5B955E7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0C552464" w14:textId="5AD654A4"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{"citationItems":[{"id":"ITEM-1","itemData":{"DOI":"10.1074/jbc.M111.329649","ISSN":"1083-351X (Electronic)","PMID":"22474289","abstract":"Bacterial proton-translocating NADH:quinone oxidoreductase (NDH-1) consists of a  peripheral and a membrane domain. The peripheral domain catalyzes the electron transfer from NADH to quinone through a chain of seven iron-sulfur (Fe/S) clusters. Subunit NuoI in the peripheral domain contains two [4Fe-4S] clusters (N6a and N6b) and plays a role in bridging the electron transfer from cluster N5 to the terminal cluster N2. We constructed mutants for eight individual Cys-coordinating Fe/S clusters. With the exception of C63S, all mutants had damaged architecture of NDH-1, suggesting that Cys-coordinating Fe/S clusters help maintain the NDH-1 structure. Studies of three mutants (C63S-coordinating N6a, P110A located near N6a, and P71A in the vicinity of N6b) were carried out using EPR measurement. These three mutations did not affect the EPR signals from [2Fe-2S] clusters and retained electron transfer activities. Signals at g(z) = 2.09 disappeared in C63S and P110A but not in P71A. Considering our data together with the available information, g(z,x) = 2.09, 1.88 signals are assigned to cluster N6a. It is of interest that, in terms of g(z,x) values, cluster N6a is similar to cluster N4. In addition, we investigated the residues (Ile-94 and Ile-100) that are predicted to serve as electron wires between N6a and N6b and between N6b and N2, respectively. Replacement of Ile-100 and Ile-94 with Ala/Gly did not affect the electron transfer activity significantly. It is concluded that conserved Ile-100 and Ile-94 are not essential for the electron transfer.","author":[{"dropping-particle":"","family":"Sinha","given":"Prem Kumar","non-dropping-particle":"","parse-names":false,"suffix":""},{"dropping-particle":"","family":"Nakamaru-Ogiso","given":"Eiko","non-dropping-particle":"","parse-names":false,"suffix":""},{"dropping-particle":"","family":"Torres-Bacete","given":"Jesus","non-dropping-particle":"","parse-names":false,"suffix":""},{"dropping-particle":"","family":"Sato","given":"Motoaki","non-dropping-particle":"","parse-names":false,"suffix":""},{"dropping-particle":"","family":"Castro-Guerrero","given":"Norma","non-dropping-particle":"","parse-names":false,"suffix":""},{"dropping-particle":"","family":"Ohnishi","given":"Tomoko","non-dropping-particle":"","parse-names":false,"suffix":""},{"dropping-particle":"","family":"Matsuno-Yagi","given":"Akemi","non-dropping-particle":"","parse-names":false,"suffix":""},{"dropping-particle":"","family":"Yagi","given":"Takao","non-dropping-particle":"","parse-names":false,"suffix":""}],"container-title":"The Journal of biological chemistry","id":"ITEM-1","issue":"21","issued":{"date-parts":[["2012","5"]]},"language":"eng","page":"17363-17373","title":"Electron transfer in subunit NuoI (TYKY) of Escherichia coli NADH:quinone  oxidoreductase (NDH-1).","type":"article-journal","volume":"287"},"uris":["http://www.mendeley.com/documents/?uuid=079e13fa-3233-4548-9d1d-e8fa3a9c75d3"]}],"mendeley":{"formattedCitation":"(Sinha &lt;i&gt;et al&lt;/i&gt;, 2012)","plainTextFormattedCitation":"(Sinha et al, 2012)","previouslyFormattedCitation":"(Sinha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680F2B42" w14:textId="77777777" w:rsidTr="002471A8">
        <w:trPr>
          <w:trHeight w:val="65"/>
        </w:trPr>
        <w:tc>
          <w:tcPr>
            <w:tcW w:w="1165" w:type="dxa"/>
          </w:tcPr>
          <w:p w14:paraId="7961C7D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I100G</w:t>
            </w:r>
          </w:p>
        </w:tc>
        <w:tc>
          <w:tcPr>
            <w:tcW w:w="2610" w:type="dxa"/>
            <w:vMerge/>
          </w:tcPr>
          <w:p w14:paraId="373BB6D4" w14:textId="77777777" w:rsidR="002471A8" w:rsidRPr="00E97FC1" w:rsidRDefault="002471A8" w:rsidP="002471A8">
            <w:pPr>
              <w:rPr>
                <w:rFonts w:ascii="Helvetica" w:hAnsi="Helvetica" w:cs="Helvetica"/>
                <w:bCs/>
                <w:sz w:val="20"/>
                <w:szCs w:val="20"/>
                <w:lang w:val="en-GB"/>
              </w:rPr>
            </w:pPr>
          </w:p>
        </w:tc>
        <w:tc>
          <w:tcPr>
            <w:tcW w:w="1440" w:type="dxa"/>
          </w:tcPr>
          <w:p w14:paraId="08E1C074"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57A0E90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86%</w:t>
            </w:r>
          </w:p>
        </w:tc>
        <w:tc>
          <w:tcPr>
            <w:tcW w:w="1260" w:type="dxa"/>
          </w:tcPr>
          <w:p w14:paraId="53185E9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61-85%</w:t>
            </w:r>
          </w:p>
        </w:tc>
        <w:tc>
          <w:tcPr>
            <w:tcW w:w="1080" w:type="dxa"/>
          </w:tcPr>
          <w:p w14:paraId="68F10D9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02A3FC35" w14:textId="1ED9AEE4"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{"citationItems":[{"id":"ITEM-1","itemData":{"DOI":"10.1074/jbc.M111.329649","ISSN":"1083-351X (Electronic)","PMID":"22474289","abstract":"Bacterial proton-translocating NADH:quinone oxidoreductase (NDH-1) consists of a  peripheral and a membrane domain. The peripheral domain catalyzes the electron transfer from NADH to quinone through a chain of seven iron-sulfur (Fe/S) clusters. Subunit NuoI in the peripheral domain contains two [4Fe-4S] clusters (N6a and N6b) and plays a role in bridging the electron transfer from cluster N5 to the terminal cluster N2. We constructed mutants for eight individual Cys-coordinating Fe/S clusters. With the exception of C63S, all mutants had damaged architecture of NDH-1, suggesting that Cys-coordinating Fe/S clusters help maintain the NDH-1 structure. Studies of three mutants (C63S-coordinating N6a, P110A located near N6a, and P71A in the vicinity of N6b) were carried out using EPR measurement. These three mutations did not affect the EPR signals from [2Fe-2S] clusters and retained electron transfer activities. Signals at g(z) = 2.09 disappeared in C63S and P110A but not in P71A. Considering our data together with the available information, g(z,x) = 2.09, 1.88 signals are assigned to cluster N6a. It is of interest that, in terms of g(z,x) values, cluster N6a is similar to cluster N4. In addition, we investigated the residues (Ile-94 and Ile-100) that are predicted to serve as electron wires between N6a and N6b and between N6b and N2, respectively. Replacement of Ile-100 and Ile-94 with Ala/Gly did not affect the electron transfer activity significantly. It is concluded that conserved Ile-100 and Ile-94 are not essential for the electron transfer.","author":[{"dropping-particle":"","family":"Sinha","given":"Prem Kumar","non-dropping-particle":"","parse-names":false,"suffix":""},{"dropping-particle":"","family":"Nakamaru-Ogiso","given":"Eiko","non-dropping-particle":"","parse-names":false,"suffix":""},{"dropping-particle":"","family":"Torres-Bacete","given":"Jesus","non-dropping-particle":"","parse-names":false,"suffix":""},{"dropping-particle":"","family":"Sato","given":"Motoaki","non-dropping-particle":"","parse-names":false,"suffix":""},{"dropping-particle":"","family":"Castro-Guerrero","given":"Norma","non-dropping-particle":"","parse-names":false,"suffix":""},{"dropping-particle":"","family":"Ohnishi","given":"Tomoko","non-dropping-particle":"","parse-names":false,"suffix":""},{"dropping-particle":"","family":"Matsuno-Yagi","given":"Akemi","non-dropping-particle":"","parse-names":false,"suffix":""},{"dropping-particle":"","family":"Yagi","given":"Takao","non-dropping-particle":"","parse-names":false,"suffix":""}],"container-title":"The Journal of biological chemistry","id":"ITEM-1","issue":"21","issued":{"date-parts":[["2012","5"]]},"language":"eng","page":"17363-17373","title":"Electron transfer in subunit NuoI (TYKY) of Escherichia coli NADH:quinone  oxidoreductase (NDH-1).","type":"article-journal","volume":"287"},"uris":["http://www.mendeley.com/documents/?uuid=079e13fa-3233-4548-9d1d-e8fa3a9c75d3"]}],"mendeley":{"formattedCitation":"(Sinha &lt;i&gt;et al&lt;/i&gt;, 2012)","plainTextFormattedCitation":"(Sinha et al, 2012)","previouslyFormattedCitation":"(Sinha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6E1E1A34" w14:textId="77777777" w:rsidTr="002471A8">
        <w:trPr>
          <w:trHeight w:val="65"/>
        </w:trPr>
        <w:tc>
          <w:tcPr>
            <w:tcW w:w="1165" w:type="dxa"/>
          </w:tcPr>
          <w:p w14:paraId="28FB710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G103A</w:t>
            </w:r>
          </w:p>
        </w:tc>
        <w:tc>
          <w:tcPr>
            <w:tcW w:w="2610" w:type="dxa"/>
          </w:tcPr>
          <w:p w14:paraId="512CC3A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near N6b</w:t>
            </w:r>
          </w:p>
        </w:tc>
        <w:tc>
          <w:tcPr>
            <w:tcW w:w="1440" w:type="dxa"/>
          </w:tcPr>
          <w:p w14:paraId="3D5BE0B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08C9E6D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88%</w:t>
            </w:r>
          </w:p>
        </w:tc>
        <w:tc>
          <w:tcPr>
            <w:tcW w:w="1260" w:type="dxa"/>
          </w:tcPr>
          <w:p w14:paraId="44AA803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80-100%</w:t>
            </w:r>
          </w:p>
        </w:tc>
        <w:tc>
          <w:tcPr>
            <w:tcW w:w="1080" w:type="dxa"/>
          </w:tcPr>
          <w:p w14:paraId="5C05358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100%</w:t>
            </w:r>
          </w:p>
        </w:tc>
        <w:tc>
          <w:tcPr>
            <w:tcW w:w="1260" w:type="dxa"/>
          </w:tcPr>
          <w:p w14:paraId="4EE2CEA3" w14:textId="23DAAA6F"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{"citationItems":[{"id":"ITEM-1","itemData":{"DOI":"10.1074/jbc.M111.329649","ISSN":"1083-351X (Electronic)","PMID":"22474289","abstract":"Bacterial proton-translocating NADH:quinone oxidoreductase (NDH-1) consists of a  peripheral and a membrane domain. The peripheral domain catalyzes the electron transfer from NADH to quinone through a chain of seven iron-sulfur (Fe/S) clusters. Subunit NuoI in the peripheral domain contains two [4Fe-4S] clusters (N6a and N6b) and plays a role in bridging the electron transfer from cluster N5 to the terminal cluster N2. We constructed mutants for eight individual Cys-coordinating Fe/S clusters. With the exception of C63S, all mutants had damaged architecture of NDH-1, suggesting that Cys-coordinating Fe/S clusters help maintain the NDH-1 structure. Studies of three mutants (C63S-coordinating N6a, P110A located near N6a, and P71A in the vicinity of N6b) were carried out using EPR measurement. These three mutations did not affect the EPR signals from [2Fe-2S] clusters and retained electron transfer activities. Signals at g(z) = 2.09 disappeared in C63S and P110A but not in P71A. Considering our data together with the available information, g(z,x) = 2.09, 1.88 signals are assigned to cluster N6a. It is of interest that, in terms of g(z,x) values, cluster N6a is similar to cluster N4. In addition, we investigated the residues (Ile-94 and Ile-100) that are predicted to serve as electron wires between N6a and N6b and between N6b and N2, respectively. Replacement of Ile-100 and Ile-94 with Ala/Gly did not affect the electron transfer activity significantly. It is concluded that conserved Ile-100 and Ile-94 are not essential for the electron transfer.","author":[{"dropping-particle":"","family":"Sinha","given":"Prem Kumar","non-dropping-particle":"","parse-names":false,"suffix":""},{"dropping-particle":"","family":"Nakamaru-Ogiso","given":"Eiko","non-dropping-particle":"","parse-names":false,"suffix":""},{"dropping-particle":"","family":"Torres-Bacete","given":"Jesus","non-dropping-particle":"","parse-names":false,"suffix":""},{"dropping-particle":"","family":"Sato","given":"Motoaki","non-dropping-particle":"","parse-names":false,"suffix":""},{"dropping-particle":"","family":"Castro-Guerrero","given":"Norma","non-dropping-particle":"","parse-names":false,"suffix":""},{"dropping-particle":"","family":"Ohnishi","given":"Tomoko","non-dropping-particle":"","parse-names":false,"suffix":""},{"dropping-particle":"","family":"Matsuno-Yagi","given":"Akemi","non-dropping-particle":"","parse-names":false,"suffix":""},{"dropping-particle":"","family":"Yagi","given":"Takao","non-dropping-particle":"","parse-names":false,"suffix":""}],"container-title":"The Journal of biological chemistry","id":"ITEM-1","issue":"21","issued":{"date-parts":[["2012","5"]]},"language":"eng","page":"17363-17373","title":"Electron transfer in subunit NuoI (TYKY) of Escherichia coli NADH:quinone  oxidoreductase (NDH-1).","type":"article-journal","volume":"287"},"uris":["http://www.mendeley.com/documents/?uuid=079e13fa-3233-4548-9d1d-e8fa3a9c75d3"]}],"mendeley":{"formattedCitation":"(Sinha &lt;i&gt;et al&lt;/i&gt;, 2012)","plainTextFormattedCitation":"(Sinha et al, 2012)","previouslyFormattedCitation":"(Sinha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45959DC8" w14:textId="77777777" w:rsidTr="002471A8">
        <w:trPr>
          <w:trHeight w:val="65"/>
        </w:trPr>
        <w:tc>
          <w:tcPr>
            <w:tcW w:w="1165" w:type="dxa"/>
          </w:tcPr>
          <w:p w14:paraId="13E038A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E107A</w:t>
            </w:r>
          </w:p>
        </w:tc>
        <w:tc>
          <w:tcPr>
            <w:tcW w:w="2610" w:type="dxa"/>
          </w:tcPr>
          <w:p w14:paraId="1BEAFB0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NuoCD interface,</w:t>
            </w:r>
          </w:p>
        </w:tc>
        <w:tc>
          <w:tcPr>
            <w:tcW w:w="1440" w:type="dxa"/>
          </w:tcPr>
          <w:p w14:paraId="20ACD52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217AB11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67%</w:t>
            </w:r>
          </w:p>
        </w:tc>
        <w:tc>
          <w:tcPr>
            <w:tcW w:w="1260" w:type="dxa"/>
          </w:tcPr>
          <w:p w14:paraId="7AE9348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58-71%</w:t>
            </w:r>
          </w:p>
        </w:tc>
        <w:tc>
          <w:tcPr>
            <w:tcW w:w="1080" w:type="dxa"/>
          </w:tcPr>
          <w:p w14:paraId="5F90B8B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reduced</w:t>
            </w:r>
          </w:p>
        </w:tc>
        <w:tc>
          <w:tcPr>
            <w:tcW w:w="1260" w:type="dxa"/>
          </w:tcPr>
          <w:p w14:paraId="4E0C368D" w14:textId="0CF6480E"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{"citationItems":[{"id":"ITEM-1","itemData":{"DOI":"10.1074/jbc.M111.329649","ISSN":"1083-351X (Electronic)","PMID":"22474289","abstract":"Bacterial proton-translocating NADH:quinone oxidoreductase (NDH-1) consists of a  peripheral and a membrane domain. The peripheral domain catalyzes the electron transfer from NADH to quinone through a chain of seven iron-sulfur (Fe/S) clusters. Subunit NuoI in the peripheral domain contains two [4Fe-4S] clusters (N6a and N6b) and plays a role in bridging the electron transfer from cluster N5 to the terminal cluster N2. We constructed mutants for eight individual Cys-coordinating Fe/S clusters. With the exception of C63S, all mutants had damaged architecture of NDH-1, suggesting that Cys-coordinating Fe/S clusters help maintain the NDH-1 structure. Studies of three mutants (C63S-coordinating N6a, P110A located near N6a, and P71A in the vicinity of N6b) were carried out using EPR measurement. These three mutations did not affect the EPR signals from [2Fe-2S] clusters and retained electron transfer activities. Signals at g(z) = 2.09 disappeared in C63S and P110A but not in P71A. Considering our data together with the available information, g(z,x) = 2.09, 1.88 signals are assigned to cluster N6a. It is of interest that, in terms of g(z,x) values, cluster N6a is similar to cluster N4. In addition, we investigated the residues (Ile-94 and Ile-100) that are predicted to serve as electron wires between N6a and N6b and between N6b and N2, respectively. Replacement of Ile-100 and Ile-94 with Ala/Gly did not affect the electron transfer activity significantly. It is concluded that conserved Ile-100 and Ile-94 are not essential for the electron transfer.","author":[{"dropping-particle":"","family":"Sinha","given":"Prem Kumar","non-dropping-particle":"","parse-names":false,"suffix":""},{"dropping-particle":"","family":"Nakamaru-Ogiso","given":"Eiko","non-dropping-particle":"","parse-names":false,"suffix":""},{"dropping-particle":"","family":"Torres-Bacete","given":"Jesus","non-dropping-particle":"","parse-names":false,"suffix":""},{"dropping-particle":"","family":"Sato","given":"Motoaki","non-dropping-particle":"","parse-names":false,"suffix":""},{"dropping-particle":"","family":"Castro-Guerrero","given":"Norma","non-dropping-particle":"","parse-names":false,"suffix":""},{"dropping-particle":"","family":"Ohnishi","given":"Tomoko","non-dropping-particle":"","parse-names":false,"suffix":""},{"dropping-particle":"","family":"Matsuno-Yagi","given":"Akemi","non-dropping-particle":"","parse-names":false,"suffix":""},{"dropping-particle":"","family":"Yagi","given":"Takao","non-dropping-particle":"","parse-names":false,"suffix":""}],"container-title":"The Journal of biological chemistry","id":"ITEM-1","issue":"21","issued":{"date-parts":[["2012","5"]]},"language":"eng","page":"17363-17373","title":"Electron transfer in subunit NuoI (TYKY) of Escherichia coli NADH:quinone  oxidoreductase (NDH-1).","type":"article-journal","volume":"287"},"uris":["http://www.mendeley.com/documents/?uuid=079e13fa-3233-4548-9d1d-e8fa3a9c75d3"]}],"mendeley":{"formattedCitation":"(Sinha &lt;i&gt;et al&lt;/i&gt;, 2012)","plainTextFormattedCitation":"(Sinha et al, 2012)","previouslyFormattedCitation":"(Sinha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7DF87EA3" w14:textId="77777777" w:rsidTr="002471A8">
        <w:trPr>
          <w:trHeight w:val="65"/>
        </w:trPr>
        <w:tc>
          <w:tcPr>
            <w:tcW w:w="1165" w:type="dxa"/>
          </w:tcPr>
          <w:p w14:paraId="17D2E45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P110A</w:t>
            </w:r>
          </w:p>
        </w:tc>
        <w:tc>
          <w:tcPr>
            <w:tcW w:w="2610" w:type="dxa"/>
          </w:tcPr>
          <w:p w14:paraId="108E998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N6a interface</w:t>
            </w:r>
          </w:p>
        </w:tc>
        <w:tc>
          <w:tcPr>
            <w:tcW w:w="1440" w:type="dxa"/>
          </w:tcPr>
          <w:p w14:paraId="49A575B0"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6BA0B501"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78%</w:t>
            </w:r>
          </w:p>
        </w:tc>
        <w:tc>
          <w:tcPr>
            <w:tcW w:w="1260" w:type="dxa"/>
          </w:tcPr>
          <w:p w14:paraId="0F4CDFE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9-19%</w:t>
            </w:r>
          </w:p>
        </w:tc>
        <w:tc>
          <w:tcPr>
            <w:tcW w:w="1080" w:type="dxa"/>
          </w:tcPr>
          <w:p w14:paraId="1337449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reduced</w:t>
            </w:r>
          </w:p>
        </w:tc>
        <w:tc>
          <w:tcPr>
            <w:tcW w:w="1260" w:type="dxa"/>
          </w:tcPr>
          <w:p w14:paraId="4A5019BF" w14:textId="54FB4061"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{"citationItems":[{"id":"ITEM-1","itemData":{"DOI":"10.1074/jbc.M111.329649","ISSN":"1083-351X (Electronic)","PMID":"22474289","abstract":"Bacterial proton-translocating NADH:quinone oxidoreductase (NDH-1) consists of a  peripheral and a membrane domain. The peripheral domain catalyzes the electron transfer from NADH to quinone through a chain of seven iron-sulfur (Fe/S) clusters. Subunit NuoI in the peripheral domain contains two [4Fe-4S] clusters (N6a and N6b) and plays a role in bridging the electron transfer from cluster N5 to the terminal cluster N2. We constructed mutants for eight individual Cys-coordinating Fe/S clusters. With the exception of C63S, all mutants had damaged architecture of NDH-1, suggesting that Cys-coordinating Fe/S clusters help maintain the NDH-1 structure. Studies of three mutants (C63S-coordinating N6a, P110A located near N6a, and P71A in the vicinity of N6b) were carried out using EPR measurement. These three mutations did not affect the EPR signals from [2Fe-2S] clusters and retained electron transfer activities. Signals at g(z) = 2.09 disappeared in C63S and P110A but not in P71A. Considering our data together with the available information, g(z,x) = 2.09, 1.88 signals are assigned to cluster N6a. It is of interest that, in terms of g(z,x) values, cluster N6a is similar to cluster N4. In addition, we investigated the residues (Ile-94 and Ile-100) that are predicted to serve as electron wires between N6a and N6b and between N6b and N2, respectively. Replacement of Ile-100 and Ile-94 with Ala/Gly did not affect the electron transfer activity significantly. It is concluded that conserved Ile-100 and Ile-94 are not essential for the electron transfer.","author":[{"dropping-particle":"","family":"Sinha","given":"Prem Kumar","non-dropping-particle":"","parse-names":false,"suffix":""},{"dropping-particle":"","family":"Nakamaru-Ogiso","given":"Eiko","non-dropping-particle":"","parse-names":false,"suffix":""},{"dropping-particle":"","family":"Torres-Bacete","given":"Jesus","non-dropping-particle":"","parse-names":false,"suffix":""},{"dropping-particle":"","family":"Sato","given":"Motoaki","non-dropping-particle":"","parse-names":false,"suffix":""},{"dropping-particle":"","family":"Castro-Guerrero","given":"Norma","non-dropping-particle":"","parse-names":false,"suffix":""},{"dropping-particle":"","family":"Ohnishi","given":"Tomoko","non-dropping-particle":"","parse-names":false,"suffix":""},{"dropping-particle":"","family":"Matsuno-Yagi","given":"Akemi","non-dropping-particle":"","parse-names":false,"suffix":""},{"dropping-particle":"","family":"Yagi","given":"Takao","non-dropping-particle":"","parse-names":false,"suffix":""}],"container-title":"The Journal of biological chemistry","id":"ITEM-1","issue":"21","issued":{"date-parts":[["2012","5"]]},"language":"eng","page":"17363-17373","title":"Electron transfer in subunit NuoI (TYKY) of Escherichia coli NADH:quinone  oxidoreductase (NDH-1).","type":"article-journal","volume":"287"},"uris":["http://www.mendeley.com/documents/?uuid=079e13fa-3233-4548-9d1d-e8fa3a9c75d3"]}],"mendeley":{"formattedCitation":"(Sinha &lt;i&gt;et al&lt;/i&gt;, 2012)","plainTextFormattedCitation":"(Sinha et al, 2012)","previouslyFormattedCitation":"(Sinha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0235F144" w14:textId="77777777" w:rsidTr="002471A8">
        <w:trPr>
          <w:trHeight w:val="65"/>
        </w:trPr>
        <w:tc>
          <w:tcPr>
            <w:tcW w:w="1165" w:type="dxa"/>
          </w:tcPr>
          <w:p w14:paraId="411F33A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I114A</w:t>
            </w:r>
          </w:p>
        </w:tc>
        <w:tc>
          <w:tcPr>
            <w:tcW w:w="2610" w:type="dxa"/>
          </w:tcPr>
          <w:p w14:paraId="650D014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near N6a and N6b</w:t>
            </w:r>
          </w:p>
        </w:tc>
        <w:tc>
          <w:tcPr>
            <w:tcW w:w="1440" w:type="dxa"/>
          </w:tcPr>
          <w:p w14:paraId="3EF7E84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47979914"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94%</w:t>
            </w:r>
          </w:p>
        </w:tc>
        <w:tc>
          <w:tcPr>
            <w:tcW w:w="1260" w:type="dxa"/>
          </w:tcPr>
          <w:p w14:paraId="1DD87C9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107-121%</w:t>
            </w:r>
          </w:p>
        </w:tc>
        <w:tc>
          <w:tcPr>
            <w:tcW w:w="1080" w:type="dxa"/>
          </w:tcPr>
          <w:p w14:paraId="152F9A8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100%</w:t>
            </w:r>
          </w:p>
        </w:tc>
        <w:tc>
          <w:tcPr>
            <w:tcW w:w="1260" w:type="dxa"/>
          </w:tcPr>
          <w:p w14:paraId="5E47C3F8" w14:textId="3E9821C2"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{"citationItems":[{"id":"ITEM-1","itemData":{"DOI":"10.1074/jbc.M111.329649","ISSN":"1083-351X (Electronic)","PMID":"22474289","abstract":"Bacterial proton-translocating NADH:quinone oxidoreductase (NDH-1) consists of a  peripheral and a membrane domain. The peripheral domain catalyzes the electron transfer from NADH to quinone through a chain of seven iron-sulfur (Fe/S) clusters. Subunit NuoI in the peripheral domain contains two [4Fe-4S] clusters (N6a and N6b) and plays a role in bridging the electron transfer from cluster N5 to the terminal cluster N2. We constructed mutants for eight individual Cys-coordinating Fe/S clusters. With the exception of C63S, all mutants had damaged architecture of NDH-1, suggesting that Cys-coordinating Fe/S clusters help maintain the NDH-1 structure. Studies of three mutants (C63S-coordinating N6a, P110A located near N6a, and P71A in the vicinity of N6b) were carried out using EPR measurement. These three mutations did not affect the EPR signals from [2Fe-2S] clusters and retained electron transfer activities. Signals at g(z) = 2.09 disappeared in C63S and P110A but not in P71A. Considering our data together with the available information, g(z,x) = 2.09, 1.88 signals are assigned to cluster N6a. It is of interest that, in terms of g(z,x) values, cluster N6a is similar to cluster N4. In addition, we investigated the residues (Ile-94 and Ile-100) that are predicted to serve as electron wires between N6a and N6b and between N6b and N2, respectively. Replacement of Ile-100 and Ile-94 with Ala/Gly did not affect the electron transfer activity significantly. It is concluded that conserved Ile-100 and Ile-94 are not essential for the electron transfer.","author":[{"dropping-particle":"","family":"Sinha","given":"Prem Kumar","non-dropping-particle":"","parse-names":false,"suffix":""},{"dropping-particle":"","family":"Nakamaru-Ogiso","given":"Eiko","non-dropping-particle":"","parse-names":false,"suffix":""},{"dropping-particle":"","family":"Torres-Bacete","given":"Jesus","non-dropping-particle":"","parse-names":false,"suffix":""},{"dropping-particle":"","family":"Sato","given":"Motoaki","non-dropping-particle":"","parse-names":false,"suffix":""},{"dropping-particle":"","family":"Castro-Guerrero","given":"Norma","non-dropping-particle":"","parse-names":false,"suffix":""},{"dropping-particle":"","family":"Ohnishi","given":"Tomoko","non-dropping-particle":"","parse-names":false,"suffix":""},{"dropping-particle":"","family":"Matsuno-Yagi","given":"Akemi","non-dropping-particle":"","parse-names":false,"suffix":""},{"dropping-particle":"","family":"Yagi","given":"Takao","non-dropping-particle":"","parse-names":false,"suffix":""}],"container-title":"The Journal of biological chemistry","id":"ITEM-1","issue":"21","issued":{"date-parts":[["2012","5"]]},"language":"eng","page":"17363-17373","title":"Electron transfer in subunit NuoI (TYKY) of Escherichia coli NADH:quinone  oxidoreductase (NDH-1).","type":"article-journal","volume":"287"},"uris":["http://www.mendeley.com/documents/?uuid=079e13fa-3233-4548-9d1d-e8fa3a9c75d3"]}],"mendeley":{"formattedCitation":"(Sinha &lt;i&gt;et al&lt;/i&gt;, 2012)","plainTextFormattedCitation":"(Sinha et al, 2012)","previouslyFormattedCitation":"(Sinha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7F859880" w14:textId="77777777" w:rsidTr="002471A8">
        <w:trPr>
          <w:trHeight w:val="65"/>
        </w:trPr>
        <w:tc>
          <w:tcPr>
            <w:tcW w:w="1165" w:type="dxa"/>
          </w:tcPr>
          <w:p w14:paraId="6A756DF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E121A</w:t>
            </w:r>
          </w:p>
        </w:tc>
        <w:tc>
          <w:tcPr>
            <w:tcW w:w="2610" w:type="dxa"/>
          </w:tcPr>
          <w:p w14:paraId="360828F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surface</w:t>
            </w:r>
          </w:p>
        </w:tc>
        <w:tc>
          <w:tcPr>
            <w:tcW w:w="1440" w:type="dxa"/>
          </w:tcPr>
          <w:p w14:paraId="7217ADB1"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116F6114"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99%</w:t>
            </w:r>
          </w:p>
        </w:tc>
        <w:tc>
          <w:tcPr>
            <w:tcW w:w="1260" w:type="dxa"/>
          </w:tcPr>
          <w:p w14:paraId="78EC06D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74-85%</w:t>
            </w:r>
          </w:p>
        </w:tc>
        <w:tc>
          <w:tcPr>
            <w:tcW w:w="1080" w:type="dxa"/>
          </w:tcPr>
          <w:p w14:paraId="11CE75D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80%</w:t>
            </w:r>
          </w:p>
        </w:tc>
        <w:tc>
          <w:tcPr>
            <w:tcW w:w="1260" w:type="dxa"/>
          </w:tcPr>
          <w:p w14:paraId="388C7587" w14:textId="57FB35D2"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{"citationItems":[{"id":"ITEM-1","itemData":{"DOI":"10.1074/jbc.M111.329649","ISSN":"1083-351X (Electronic)","PMID":"22474289","abstract":"Bacterial proton-translocating NADH:quinone oxidoreductase (NDH-1) consists of a  peripheral and a membrane domain. The peripheral domain catalyzes the electron transfer from NADH to quinone through a chain of seven iron-sulfur (Fe/S) clusters. Subunit NuoI in the peripheral domain contains two [4Fe-4S] clusters (N6a and N6b) and plays a role in bridging the electron transfer from cluster N5 to the terminal cluster N2. We constructed mutants for eight individual Cys-coordinating Fe/S clusters. With the exception of C63S, all mutants had damaged architecture of NDH-1, suggesting that Cys-coordinating Fe/S clusters help maintain the NDH-1 structure. Studies of three mutants (C63S-coordinating N6a, P110A located near N6a, and P71A in the vicinity of N6b) were carried out using EPR measurement. These three mutations did not affect the EPR signals from [2Fe-2S] clusters and retained electron transfer activities. Signals at g(z) = 2.09 disappeared in C63S and P110A but not in P71A. Considering our data together with the available information, g(z,x) = 2.09, 1.88 signals are assigned to cluster N6a. It is of interest that, in terms of g(z,x) values, cluster N6a is similar to cluster N4. In addition, we investigated the residues (Ile-94 and Ile-100) that are predicted to serve as electron wires between N6a and N6b and between N6b and N2, respectively. Replacement of Ile-100 and Ile-94 with Ala/Gly did not affect the electron transfer activity significantly. It is concluded that conserved Ile-100 and Ile-94 are not essential for the electron transfer.","author":[{"dropping-particle":"","family":"Sinha","given":"Prem Kumar","non-dropping-particle":"","parse-names":false,"suffix":""},{"dropping-particle":"","family":"Nakamaru-Ogiso","given":"Eiko","non-dropping-particle":"","parse-names":false,"suffix":""},{"dropping-particle":"","family":"Torres-Bacete","given":"Jesus","non-dropping-particle":"","parse-names":false,"suffix":""},{"dropping-particle":"","family":"Sato","given":"Motoaki","non-dropping-particle":"","parse-names":false,"suffix":""},{"dropping-particle":"","family":"Castro-Guerrero","given":"Norma","non-dropping-particle":"","parse-names":false,"suffix":""},{"dropping-particle":"","family":"Ohnishi","given":"Tomoko","non-dropping-particle":"","parse-names":false,"suffix":""},{"dropping-particle":"","family":"Matsuno-Yagi","given":"Akemi","non-dropping-particle":"","parse-names":false,"suffix":""},{"dropping-particle":"","family":"Yagi","given":"Takao","non-dropping-particle":"","parse-names":false,"suffix":""}],"container-title":"The Journal of biological chemistry","id":"ITEM-1","issue":"21","issued":{"date-parts":[["2012","5"]]},"language":"eng","page":"17363-17373","title":"Electron transfer in subunit NuoI (TYKY) of Escherichia coli NADH:quinone  oxidoreductase (NDH-1).","type":"article-journal","volume":"287"},"uris":["http://www.mendeley.com/documents/?uuid=079e13fa-3233-4548-9d1d-e8fa3a9c75d3"]}],"mendeley":{"formattedCitation":"(Sinha &lt;i&gt;et al&lt;/i&gt;, 2012)","plainTextFormattedCitation":"(Sinha et al, 2012)","previouslyFormattedCitation":"(Sinha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20DEE2A3" w14:textId="77777777" w:rsidTr="002471A8">
        <w:trPr>
          <w:trHeight w:val="65"/>
        </w:trPr>
        <w:tc>
          <w:tcPr>
            <w:tcW w:w="1165" w:type="dxa"/>
          </w:tcPr>
          <w:p w14:paraId="43386C3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Y132A</w:t>
            </w:r>
          </w:p>
        </w:tc>
        <w:tc>
          <w:tcPr>
            <w:tcW w:w="2610" w:type="dxa"/>
          </w:tcPr>
          <w:p w14:paraId="669D8F91"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surface</w:t>
            </w:r>
          </w:p>
        </w:tc>
        <w:tc>
          <w:tcPr>
            <w:tcW w:w="1440" w:type="dxa"/>
          </w:tcPr>
          <w:p w14:paraId="45998FFB"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2F35760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123%</w:t>
            </w:r>
          </w:p>
        </w:tc>
        <w:tc>
          <w:tcPr>
            <w:tcW w:w="1260" w:type="dxa"/>
          </w:tcPr>
          <w:p w14:paraId="30FD252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84-105%</w:t>
            </w:r>
          </w:p>
        </w:tc>
        <w:tc>
          <w:tcPr>
            <w:tcW w:w="1080" w:type="dxa"/>
          </w:tcPr>
          <w:p w14:paraId="7A87681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100%</w:t>
            </w:r>
          </w:p>
        </w:tc>
        <w:tc>
          <w:tcPr>
            <w:tcW w:w="1260" w:type="dxa"/>
          </w:tcPr>
          <w:p w14:paraId="37B11E29" w14:textId="39188505"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{"citationItems":[{"id":"ITEM-1","itemData":{"DOI":"10.1074/jbc.M111.329649","ISSN":"1083-351X (Electronic)","PMID":"22474289","abstract":"Bacterial proton-translocating NADH:quinone oxidoreductase (NDH-1) consists of a  peripheral and a membrane domain. The peripheral domain catalyzes the electron transfer from NADH to quinone through a chain of seven iron-sulfur (Fe/S) clusters. Subunit NuoI in the peripheral domain contains two [4Fe-4S] clusters (N6a and N6b) and plays a role in bridging the electron transfer from cluster N5 to the terminal cluster N2. We constructed mutants for eight individual Cys-coordinating Fe/S clusters. With the exception of C63S, all mutants had damaged architecture of NDH-1, suggesting that Cys-coordinating Fe/S clusters help maintain the NDH-1 structure. Studies of three mutants (C63S-coordinating N6a, P110A located near N6a, and P71A in the vicinity of N6b) were carried out using EPR measurement. These three mutations did not affect the EPR signals from [2Fe-2S] clusters and retained electron transfer activities. Signals at g(z) = 2.09 disappeared in C63S and P110A but not in P71A. Considering our data together with the available information, g(z,x) = 2.09, 1.88 signals are assigned to cluster N6a. It is of interest that, in terms of g(z,x) values, cluster N6a is similar to cluster N4. In addition, we investigated the residues (Ile-94 and Ile-100) that are predicted to serve as electron wires between N6a and N6b and between N6b and N2, respectively. Replacement of Ile-100 and Ile-94 with Ala/Gly did not affect the electron transfer activity significantly. It is concluded that conserved Ile-100 and Ile-94 are not essential for the electron transfer.","author":[{"dropping-particle":"","family":"Sinha","given":"Prem Kumar","non-dropping-particle":"","parse-names":false,"suffix":""},{"dropping-particle":"","family":"Nakamaru-Ogiso","given":"Eiko","non-dropping-particle":"","parse-names":false,"suffix":""},{"dropping-particle":"","family":"Torres-Bacete","given":"Jesus","non-dropping-particle":"","parse-names":false,"suffix":""},{"dropping-particle":"","family":"Sato","given":"Motoaki","non-dropping-particle":"","parse-names":false,"suffix":""},{"dropping-particle":"","family":"Castro-Guerrero","given":"Norma","non-dropping-particle":"","parse-names":false,"suffix":""},{"dropping-particle":"","family":"Ohnishi","given":"Tomoko","non-dropping-particle":"","parse-names":false,"suffix":""},{"dropping-particle":"","family":"Matsuno-Yagi","given":"Akemi","non-dropping-particle":"","parse-names":false,"suffix":""},{"dropping-particle":"","family":"Yagi","given":"Takao","non-dropping-particle":"","parse-names":false,"suffix":""}],"container-title":"The Journal of biological chemistry","id":"ITEM-1","issue":"21","issued":{"date-parts":[["2012","5"]]},"language":"eng","page":"17363-17373","title":"Electron transfer in subunit NuoI (TYKY) of Escherichia coli NADH:quinone  oxidoreductase (NDH-1).","type":"article-journal","volume":"287"},"uris":["http://www.mendeley.com/documents/?uuid=079e13fa-3233-4548-9d1d-e8fa3a9c75d3"]}],"mendeley":{"formattedCitation":"(Sinha &lt;i&gt;et al&lt;/i&gt;, 2012)","plainTextFormattedCitation":"(Sinha et al, 2012)","previouslyFormattedCitation":"(Sinha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bl>
    <w:p w14:paraId="003D21DB" w14:textId="77777777" w:rsidR="002471A8" w:rsidRPr="00E97FC1" w:rsidRDefault="002471A8" w:rsidP="002471A8">
      <w:pPr>
        <w:rPr>
          <w:rFonts w:ascii="Helvetica" w:hAnsi="Helvetica" w:cs="Helvetica"/>
          <w:b/>
          <w:lang w:val="en-GB"/>
        </w:rPr>
      </w:pPr>
    </w:p>
    <w:p w14:paraId="444875AC" w14:textId="77777777" w:rsidR="002471A8" w:rsidRPr="00E97FC1" w:rsidRDefault="002471A8" w:rsidP="002471A8">
      <w:pPr>
        <w:pStyle w:val="ListParagraph"/>
        <w:numPr>
          <w:ilvl w:val="0"/>
          <w:numId w:val="43"/>
        </w:numPr>
        <w:jc w:val="left"/>
        <w:rPr>
          <w:rFonts w:ascii="Helvetica" w:hAnsi="Helvetica" w:cs="Helvetica"/>
          <w:b/>
        </w:rPr>
      </w:pPr>
      <w:r w:rsidRPr="00E97FC1">
        <w:rPr>
          <w:rFonts w:ascii="Helvetica" w:hAnsi="Helvetica" w:cs="Helvetica"/>
          <w:b/>
        </w:rPr>
        <w:t>Mutations in the membrane arm</w:t>
      </w:r>
    </w:p>
    <w:p w14:paraId="2AD71A49" w14:textId="77777777" w:rsidR="002471A8" w:rsidRPr="00E97FC1" w:rsidRDefault="002471A8" w:rsidP="002471A8">
      <w:pPr>
        <w:rPr>
          <w:rFonts w:ascii="Helvetica" w:hAnsi="Helvetica" w:cs="Helvetica"/>
          <w:lang w:val="en-GB"/>
        </w:rPr>
      </w:pPr>
    </w:p>
    <w:tbl>
      <w:tblPr>
        <w:tblW w:w="10075" w:type="dxa"/>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0A0" w:firstRow="1" w:lastRow="0" w:firstColumn="1" w:lastColumn="0" w:noHBand="0" w:noVBand="0"/>
      </w:tblPr>
      <w:tblGrid>
        <w:gridCol w:w="1075"/>
        <w:gridCol w:w="2790"/>
        <w:gridCol w:w="1440"/>
        <w:gridCol w:w="1170"/>
        <w:gridCol w:w="1260"/>
        <w:gridCol w:w="1080"/>
        <w:gridCol w:w="1260"/>
      </w:tblGrid>
      <w:tr w:rsidR="002471A8" w:rsidRPr="00E97FC1" w14:paraId="351B58DF" w14:textId="77777777" w:rsidTr="002471A8">
        <w:tc>
          <w:tcPr>
            <w:tcW w:w="1075" w:type="dxa"/>
            <w:vMerge w:val="restart"/>
          </w:tcPr>
          <w:p w14:paraId="1918195F" w14:textId="77777777" w:rsidR="002471A8" w:rsidRPr="00E97FC1" w:rsidRDefault="002471A8" w:rsidP="002471A8">
            <w:pPr>
              <w:rPr>
                <w:rFonts w:ascii="Helvetica" w:hAnsi="Helvetica" w:cs="Helvetica"/>
                <w:sz w:val="22"/>
                <w:lang w:val="en-GB"/>
              </w:rPr>
            </w:pPr>
            <w:r w:rsidRPr="00E97FC1">
              <w:rPr>
                <w:rFonts w:ascii="Helvetica" w:hAnsi="Helvetica" w:cs="Helvetica"/>
                <w:sz w:val="22"/>
                <w:lang w:val="en-GB"/>
              </w:rPr>
              <w:t>Mutation</w:t>
            </w:r>
          </w:p>
        </w:tc>
        <w:tc>
          <w:tcPr>
            <w:tcW w:w="2790" w:type="dxa"/>
            <w:vMerge w:val="restart"/>
          </w:tcPr>
          <w:p w14:paraId="4C92037D"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Amino acid location</w:t>
            </w:r>
          </w:p>
        </w:tc>
        <w:tc>
          <w:tcPr>
            <w:tcW w:w="1440" w:type="dxa"/>
            <w:vMerge w:val="restart"/>
          </w:tcPr>
          <w:p w14:paraId="189CB22C"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Expression/assembly</w:t>
            </w:r>
          </w:p>
        </w:tc>
        <w:tc>
          <w:tcPr>
            <w:tcW w:w="3510" w:type="dxa"/>
            <w:gridSpan w:val="3"/>
          </w:tcPr>
          <w:p w14:paraId="4E6BFAB4"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Effect</w:t>
            </w:r>
          </w:p>
        </w:tc>
        <w:tc>
          <w:tcPr>
            <w:tcW w:w="1260" w:type="dxa"/>
            <w:vMerge w:val="restart"/>
          </w:tcPr>
          <w:p w14:paraId="1F7DB87D"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Reference and comments</w:t>
            </w:r>
          </w:p>
        </w:tc>
      </w:tr>
      <w:tr w:rsidR="002471A8" w:rsidRPr="00E97FC1" w14:paraId="28AC2BC5" w14:textId="77777777" w:rsidTr="002471A8">
        <w:tc>
          <w:tcPr>
            <w:tcW w:w="1075" w:type="dxa"/>
            <w:vMerge/>
          </w:tcPr>
          <w:p w14:paraId="752D2518" w14:textId="77777777" w:rsidR="002471A8" w:rsidRPr="00E97FC1" w:rsidRDefault="002471A8" w:rsidP="002471A8">
            <w:pPr>
              <w:jc w:val="center"/>
              <w:rPr>
                <w:rFonts w:ascii="Helvetica" w:hAnsi="Helvetica" w:cs="Helvetica"/>
                <w:sz w:val="22"/>
                <w:lang w:val="en-GB"/>
              </w:rPr>
            </w:pPr>
          </w:p>
        </w:tc>
        <w:tc>
          <w:tcPr>
            <w:tcW w:w="2790" w:type="dxa"/>
            <w:vMerge/>
          </w:tcPr>
          <w:p w14:paraId="5FF511DD" w14:textId="77777777" w:rsidR="002471A8" w:rsidRPr="00E97FC1" w:rsidRDefault="002471A8" w:rsidP="002471A8">
            <w:pPr>
              <w:jc w:val="center"/>
              <w:rPr>
                <w:rFonts w:ascii="Helvetica" w:hAnsi="Helvetica" w:cs="Helvetica"/>
                <w:sz w:val="22"/>
                <w:lang w:val="en-GB"/>
              </w:rPr>
            </w:pPr>
          </w:p>
        </w:tc>
        <w:tc>
          <w:tcPr>
            <w:tcW w:w="1440" w:type="dxa"/>
            <w:vMerge/>
          </w:tcPr>
          <w:p w14:paraId="57BB26C5" w14:textId="77777777" w:rsidR="002471A8" w:rsidRPr="00E97FC1" w:rsidRDefault="002471A8" w:rsidP="002471A8">
            <w:pPr>
              <w:jc w:val="center"/>
              <w:rPr>
                <w:rFonts w:ascii="Helvetica" w:hAnsi="Helvetica" w:cs="Helvetica"/>
                <w:sz w:val="22"/>
                <w:lang w:val="en-GB"/>
              </w:rPr>
            </w:pPr>
          </w:p>
        </w:tc>
        <w:tc>
          <w:tcPr>
            <w:tcW w:w="1170" w:type="dxa"/>
          </w:tcPr>
          <w:p w14:paraId="41CB4B74"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FMN-site</w:t>
            </w:r>
          </w:p>
          <w:p w14:paraId="2F1A6C98"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activity</w:t>
            </w:r>
          </w:p>
        </w:tc>
        <w:tc>
          <w:tcPr>
            <w:tcW w:w="1260" w:type="dxa"/>
          </w:tcPr>
          <w:p w14:paraId="23C4D9B0"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 xml:space="preserve">Oxido-reductase activity </w:t>
            </w:r>
          </w:p>
        </w:tc>
        <w:tc>
          <w:tcPr>
            <w:tcW w:w="1080" w:type="dxa"/>
          </w:tcPr>
          <w:p w14:paraId="51DFFFF1"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Proton pumping activity</w:t>
            </w:r>
          </w:p>
        </w:tc>
        <w:tc>
          <w:tcPr>
            <w:tcW w:w="1260" w:type="dxa"/>
            <w:vMerge/>
          </w:tcPr>
          <w:p w14:paraId="196A9393" w14:textId="77777777" w:rsidR="002471A8" w:rsidRPr="00E97FC1" w:rsidRDefault="002471A8" w:rsidP="002471A8">
            <w:pPr>
              <w:jc w:val="center"/>
              <w:rPr>
                <w:rFonts w:ascii="Helvetica" w:hAnsi="Helvetica" w:cs="Helvetica"/>
                <w:sz w:val="22"/>
                <w:lang w:val="en-GB"/>
              </w:rPr>
            </w:pPr>
          </w:p>
        </w:tc>
      </w:tr>
      <w:tr w:rsidR="002471A8" w:rsidRPr="00E97FC1" w14:paraId="622BDD1A" w14:textId="77777777" w:rsidTr="002471A8">
        <w:trPr>
          <w:trHeight w:val="65"/>
        </w:trPr>
        <w:tc>
          <w:tcPr>
            <w:tcW w:w="10075" w:type="dxa"/>
            <w:gridSpan w:val="7"/>
          </w:tcPr>
          <w:p w14:paraId="7017F556" w14:textId="77777777" w:rsidR="002471A8" w:rsidRPr="00E97FC1" w:rsidRDefault="002471A8" w:rsidP="002471A8">
            <w:pPr>
              <w:rPr>
                <w:rFonts w:ascii="Helvetica" w:hAnsi="Helvetica" w:cs="Helvetica"/>
                <w:noProof/>
                <w:sz w:val="22"/>
                <w:lang w:val="en-GB"/>
              </w:rPr>
            </w:pPr>
            <w:r w:rsidRPr="00E97FC1">
              <w:rPr>
                <w:rFonts w:ascii="Helvetica" w:hAnsi="Helvetica" w:cs="Helvetica"/>
                <w:b/>
                <w:bCs/>
                <w:sz w:val="28"/>
                <w:lang w:val="en-GB"/>
              </w:rPr>
              <w:t>NuoL</w:t>
            </w:r>
          </w:p>
        </w:tc>
      </w:tr>
      <w:tr w:rsidR="002471A8" w:rsidRPr="00E97FC1" w14:paraId="65876BDB" w14:textId="77777777" w:rsidTr="002471A8">
        <w:trPr>
          <w:trHeight w:val="65"/>
        </w:trPr>
        <w:tc>
          <w:tcPr>
            <w:tcW w:w="1075" w:type="dxa"/>
          </w:tcPr>
          <w:p w14:paraId="47CE07D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D82A</w:t>
            </w:r>
          </w:p>
        </w:tc>
        <w:tc>
          <w:tcPr>
            <w:tcW w:w="2790" w:type="dxa"/>
            <w:vMerge w:val="restart"/>
          </w:tcPr>
          <w:p w14:paraId="460F6AF8"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β-hairpin - TM8 SB</w:t>
            </w:r>
          </w:p>
        </w:tc>
        <w:tc>
          <w:tcPr>
            <w:tcW w:w="1440" w:type="dxa"/>
          </w:tcPr>
          <w:p w14:paraId="588777D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600D8BC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90%</w:t>
            </w:r>
          </w:p>
        </w:tc>
        <w:tc>
          <w:tcPr>
            <w:tcW w:w="1260" w:type="dxa"/>
          </w:tcPr>
          <w:p w14:paraId="02B9651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90%</w:t>
            </w:r>
          </w:p>
        </w:tc>
        <w:tc>
          <w:tcPr>
            <w:tcW w:w="1080" w:type="dxa"/>
          </w:tcPr>
          <w:p w14:paraId="1D67AB27"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80%</w:t>
            </w:r>
          </w:p>
        </w:tc>
        <w:tc>
          <w:tcPr>
            <w:tcW w:w="1260" w:type="dxa"/>
          </w:tcPr>
          <w:p w14:paraId="2D1DA674" w14:textId="51CBA914"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{"citationItems":[{"id":"ITEM-1","itemData":{"DOI":"10.1074/jbc.M110.157826","ISSN":"1083-351X (Electronic)","PMID":"20826797","abstract":"Complex I pumps protons across the membrane by using downhill redox energy. Here, to  investigate the proton pumping mechanism by complex I, we focused on the largest transmembrane subunit NuoL (Escherichia coli ND5 homolog). NuoL/ND5 is believed to have H(+) translocation site(s), because of a high sequence similarity to multi-subunit Na(+)/H(+) antiporters. We mutated thirteen highly conserved residues between NuoL/ND5 and MrpA of Na(+)/H(+) antiporters in the chromosomal nuoL gene. The dNADH oxidase activities in mutant membranes were mostly at the control level or modestly reduced, except mutants of Glu-144, Lys-229, and Lys-399. In contrast, the peripheral dNADH-K(3)Fe(CN)(6) reductase activities basically remained unchanged in all the NuoL mutants, suggesting that the peripheral arm of complex I was not affected by point mutations in NuoL. The proton pumping efficiency (the ratio of H(+)/e(-)), however, was decreased in most NuoL mutants by 30-50%, while the IC(50) values for asimicin (a potent complex I inhibitor) remained unchanged. This suggests that the H(+)/e(-) stoichiometry has changed from 4H(+)/2e(-) to 3H(+) or 2H(+)/2e(-) without affecting the direct coupling site. Furthermore, 50 μm of 5-(N-ethyl-N-isopropyl)-amiloride (EIPA), a specific inhibitor for Na(+)/H(+) antiporters, caused a 38 ± 5% decrease in the initial H(+) pump activity in the wild type, while no change was observed in D178N, D303A, and D400A mutants where the H(+) pumping efficiency had already been significantly decreased. The electron transfer activities were basically unaffected by EIPA in both control and mutants. Taken together, our data strongly indicate that the NuoL subunit is involved in the indirect coupling mechanism.","author":[{"dropping-particle":"","family":"Nakamaru-Ogiso","given":"Eiko","non-dropping-particle":"","parse-names":false,"suffix":""},{"dropping-particle":"","family":"Kao","given":"Mou-Chieh","non-dropping-particle":"","parse-names":false,"suffix":""},{"dropping-particle":"","family":"Chen","given":"Han","non-dropping-particle":"","parse-names":false,"suffix":""},{"dropping-particle":"","family":"Sinha","given":"Subhash C","non-dropping-particle":"","parse-names":false,"suffix":""},{"dropping-particle":"","family":"Yagi","given":"Takao","non-dropping-particle":"","parse-names":false,"suffix":""},{"dropping-particle":"","family":"Ohnishi","given":"Tomoko","non-dropping-particle":"","parse-names":false,"suffix":""}],"container-title":"The Journal of biological chemistry","id":"ITEM-1","issue":"50","issued":{"date-parts":[["2010","12"]]},"language":"eng","page":"39070-39078","title":"The membrane subunit NuoL(ND5) is involved in the indirect proton pumping mechanism  of Escherichia coli complex I.","type":"article-journal","volume":"285"},"uris":["http://www.mendeley.com/documents/?uuid=02cbb064-fe61-4eb3-9c40-ad25376d574e"]}],"mendeley":{"formattedCitation":"(Nakamaru-Ogiso &lt;i&gt;et al&lt;/i&gt;, 2010)","plainTextFormattedCitation":"(Nakamaru-Ogiso et al, 2010)","previouslyFormattedCitation":"(Nakamaru-Ogiso &lt;i&gt;et al&lt;/i&gt;, 2010)"},"properties":{"noteIndex":0},"schema":"https://github.com/citation-style-language/schema/raw/master/csl-citation.json"}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(Nakamaru-Ogiso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2010)</w:t>
            </w:r>
            <w:r w:rsidRPr="00E97FC1">
              <w:rPr>
                <w:rFonts w:ascii="Helvetica" w:hAnsi="Helvetica" w:cs="Helvetica"/>
                <w:b/>
                <w:bCs/>
                <w:sz w:val="16"/>
                <w:szCs w:val="16"/>
                <w:lang w:val="en-GB"/>
              </w:rPr>
              <w:fldChar w:fldCharType="end"/>
            </w:r>
          </w:p>
        </w:tc>
      </w:tr>
      <w:tr w:rsidR="002471A8" w:rsidRPr="00E97FC1" w14:paraId="4016788E" w14:textId="77777777" w:rsidTr="002471A8">
        <w:trPr>
          <w:trHeight w:val="65"/>
        </w:trPr>
        <w:tc>
          <w:tcPr>
            <w:tcW w:w="1075" w:type="dxa"/>
          </w:tcPr>
          <w:p w14:paraId="1741A7D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D82N</w:t>
            </w:r>
          </w:p>
        </w:tc>
        <w:tc>
          <w:tcPr>
            <w:tcW w:w="2790" w:type="dxa"/>
            <w:vMerge/>
          </w:tcPr>
          <w:p w14:paraId="4CD0E9E7" w14:textId="77777777" w:rsidR="002471A8" w:rsidRPr="00E97FC1" w:rsidRDefault="002471A8" w:rsidP="002471A8">
            <w:pPr>
              <w:rPr>
                <w:rFonts w:ascii="Helvetica" w:hAnsi="Helvetica" w:cs="Helvetica"/>
                <w:bCs/>
                <w:sz w:val="20"/>
                <w:lang w:val="en-GB"/>
              </w:rPr>
            </w:pPr>
          </w:p>
        </w:tc>
        <w:tc>
          <w:tcPr>
            <w:tcW w:w="1440" w:type="dxa"/>
          </w:tcPr>
          <w:p w14:paraId="05AA13F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68CDBF47"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90%</w:t>
            </w:r>
          </w:p>
        </w:tc>
        <w:tc>
          <w:tcPr>
            <w:tcW w:w="1260" w:type="dxa"/>
          </w:tcPr>
          <w:p w14:paraId="382FF5F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75%</w:t>
            </w:r>
          </w:p>
        </w:tc>
        <w:tc>
          <w:tcPr>
            <w:tcW w:w="1080" w:type="dxa"/>
          </w:tcPr>
          <w:p w14:paraId="22FCB3AB"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80%</w:t>
            </w:r>
          </w:p>
        </w:tc>
        <w:tc>
          <w:tcPr>
            <w:tcW w:w="1260" w:type="dxa"/>
          </w:tcPr>
          <w:p w14:paraId="538568E8" w14:textId="18A4A02C"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{"citationItems":[{"id":"ITEM-1","itemData":{"DOI":"10.1074/jbc.M110.157826","ISSN":"1083-351X (Electronic)","PMID":"20826797","abstract":"Complex I pumps protons across the membrane by using downhill redox energy. Here, to  investigate the proton pumping mechanism by complex I, we focused on the largest transmembrane subunit NuoL (Escherichia coli ND5 homolog). NuoL/ND5 is believed to have H(+) translocation site(s), because of a high sequence similarity to multi-subunit Na(+)/H(+) antiporters. We mutated thirteen highly conserved residues between NuoL/ND5 and MrpA of Na(+)/H(+) antiporters in the chromosomal nuoL gene. The dNADH oxidase activities in mutant membranes were mostly at the control level or modestly reduced, except mutants of Glu-144, Lys-229, and Lys-399. In contrast, the peripheral dNADH-K(3)Fe(CN)(6) reductase activities basically remained unchanged in all the NuoL mutants, suggesting that the peripheral arm of complex I was not affected by point mutations in NuoL. The proton pumping efficiency (the ratio of H(+)/e(-)), however, was decreased in most NuoL mutants by 30-50%, while the IC(50) values for asimicin (a potent complex I inhibitor) remained unchanged. This suggests that the H(+)/e(-) stoichiometry has changed from 4H(+)/2e(-) to 3H(+) or 2H(+)/2e(-) without affecting the direct coupling site. Furthermore, 50 μm of 5-(N-ethyl-N-isopropyl)-amiloride (EIPA), a specific inhibitor for Na(+)/H(+) antiporters, caused a 38 ± 5% decrease in the initial H(+) pump activity in the wild type, while no change was observed in D178N, D303A, and D400A mutants where the H(+) pumping efficiency had already been significantly decreased. The electron transfer activities were basically unaffected by EIPA in both control and mutants. Taken together, our data strongly indicate that the NuoL subunit is involved in the indirect coupling mechanism.","author":[{"dropping-particle":"","family":"Nakamaru-Ogiso","given":"Eiko","non-dropping-particle":"","parse-names":false,"suffix":""},{"dropping-particle":"","family":"Kao","given":"Mou-Chieh","non-dropping-particle":"","parse-names":false,"suffix":""},{"dropping-particle":"","family":"Chen","given":"Han","non-dropping-particle":"","parse-names":false,"suffix":""},{"dropping-particle":"","family":"Sinha","given":"Subhash C","non-dropping-particle":"","parse-names":false,"suffix":""},{"dropping-particle":"","family":"Yagi","given":"Takao","non-dropping-particle":"","parse-names":false,"suffix":""},{"dropping-particle":"","family":"Ohnishi","given":"Tomoko","non-dropping-particle":"","parse-names":false,"suffix":""}],"container-title":"The Journal of biological chemistry","id":"ITEM-1","issue":"50","issued":{"date-parts":[["2010","12"]]},"language":"eng","page":"39070-39078","title":"The membrane subunit NuoL(ND5) is involved in the indirect proton pumping mechanism  of Escherichia coli complex I.","type":"article-journal","volume":"285"},"uris":["http://www.mendeley.com/documents/?uuid=02cbb064-fe61-4eb3-9c40-ad25376d574e"]}],"mendeley":{"formattedCitation":"(Nakamaru-Ogiso &lt;i&gt;et al&lt;/i&gt;, 2010)","plainTextFormattedCitation":"(Nakamaru-Ogiso et al, 2010)","previouslyFormattedCitation":"(Nakamaru-Ogiso &lt;i&gt;et al&lt;/i&gt;, 2010)"},"properties":{"noteIndex":0},"schema":"https://github.com/citation-style-language/schema/raw/master/csl-citation.json"}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(Nakamaru-Ogiso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2010)</w:t>
            </w:r>
            <w:r w:rsidRPr="00E97FC1">
              <w:rPr>
                <w:rFonts w:ascii="Helvetica" w:hAnsi="Helvetica" w:cs="Helvetica"/>
                <w:b/>
                <w:bCs/>
                <w:sz w:val="16"/>
                <w:szCs w:val="16"/>
                <w:lang w:val="en-GB"/>
              </w:rPr>
              <w:fldChar w:fldCharType="end"/>
            </w:r>
          </w:p>
        </w:tc>
      </w:tr>
      <w:tr w:rsidR="002471A8" w:rsidRPr="00E97FC1" w14:paraId="5A9B86CB" w14:textId="77777777" w:rsidTr="002471A8">
        <w:trPr>
          <w:trHeight w:val="65"/>
        </w:trPr>
        <w:tc>
          <w:tcPr>
            <w:tcW w:w="1075" w:type="dxa"/>
          </w:tcPr>
          <w:p w14:paraId="391BA51F"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D134N</w:t>
            </w:r>
          </w:p>
        </w:tc>
        <w:tc>
          <w:tcPr>
            <w:tcW w:w="2790" w:type="dxa"/>
          </w:tcPr>
          <w:p w14:paraId="749A5F50" w14:textId="77777777" w:rsidR="002471A8" w:rsidRPr="00E97FC1" w:rsidRDefault="002471A8" w:rsidP="002471A8">
            <w:pPr>
              <w:rPr>
                <w:rFonts w:ascii="Helvetica" w:hAnsi="Helvetica" w:cs="Helvetica"/>
                <w:iCs/>
                <w:sz w:val="20"/>
                <w:lang w:val="en-GB"/>
              </w:rPr>
            </w:pPr>
            <w:r w:rsidRPr="00E97FC1">
              <w:rPr>
                <w:rFonts w:ascii="Helvetica" w:hAnsi="Helvetica" w:cs="Helvetica"/>
                <w:iCs/>
                <w:sz w:val="20"/>
                <w:lang w:val="en-GB"/>
              </w:rPr>
              <w:t>surface, interacts with</w:t>
            </w:r>
            <w:r w:rsidRPr="00E97FC1">
              <w:rPr>
                <w:rFonts w:ascii="Helvetica" w:hAnsi="Helvetica" w:cs="Helvetica"/>
                <w:bCs/>
                <w:sz w:val="20"/>
                <w:lang w:val="en-GB"/>
              </w:rPr>
              <w:t xml:space="preserve"> β</w:t>
            </w:r>
            <w:r w:rsidRPr="00E97FC1">
              <w:rPr>
                <w:rFonts w:ascii="Helvetica" w:hAnsi="Helvetica" w:cs="Helvetica"/>
                <w:iCs/>
                <w:sz w:val="20"/>
                <w:lang w:val="en-GB"/>
              </w:rPr>
              <w:t xml:space="preserve">-hairpin </w:t>
            </w:r>
          </w:p>
        </w:tc>
        <w:tc>
          <w:tcPr>
            <w:tcW w:w="1440" w:type="dxa"/>
          </w:tcPr>
          <w:p w14:paraId="61478416"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normal</w:t>
            </w:r>
          </w:p>
        </w:tc>
        <w:tc>
          <w:tcPr>
            <w:tcW w:w="1170" w:type="dxa"/>
          </w:tcPr>
          <w:p w14:paraId="0FA31BE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110%</w:t>
            </w:r>
          </w:p>
        </w:tc>
        <w:tc>
          <w:tcPr>
            <w:tcW w:w="1260" w:type="dxa"/>
          </w:tcPr>
          <w:p w14:paraId="7F734E6D"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110%</w:t>
            </w:r>
          </w:p>
        </w:tc>
        <w:tc>
          <w:tcPr>
            <w:tcW w:w="1080" w:type="dxa"/>
          </w:tcPr>
          <w:p w14:paraId="0594AB0E"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70%</w:t>
            </w:r>
          </w:p>
        </w:tc>
        <w:tc>
          <w:tcPr>
            <w:tcW w:w="1260" w:type="dxa"/>
          </w:tcPr>
          <w:p w14:paraId="3372EA84" w14:textId="78173693"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{"citationItems":[{"id":"ITEM-1","itemData":{"DOI":"10.1074/jbc.M110.157826","ISSN":"1083-351X (Electronic)","PMID":"20826797","abstract":"Complex I pumps protons across the membrane by using downhill redox energy. Here, to  investigate the proton pumping mechanism by complex I, we focused on the largest transmembrane subunit NuoL (Escherichia coli ND5 homolog). NuoL/ND5 is believed to have H(+) translocation site(s), because of a high sequence similarity to multi-subunit Na(+)/H(+) antiporters. We mutated thirteen highly conserved residues between NuoL/ND5 and MrpA of Na(+)/H(+) antiporters in the chromosomal nuoL gene. The dNADH oxidase activities in mutant membranes were mostly at the control level or modestly reduced, except mutants of Glu-144, Lys-229, and Lys-399. In contrast, the peripheral dNADH-K(3)Fe(CN)(6) reductase activities basically remained unchanged in all the NuoL mutants, suggesting that the peripheral arm of complex I was not affected by point mutations in NuoL. The proton pumping efficiency (the ratio of H(+)/e(-)), however, was decreased in most NuoL mutants by 30-50%, while the IC(50) values for asimicin (a potent complex I inhibitor) remained unchanged. This suggests that the H(+)/e(-) stoichiometry has changed from 4H(+)/2e(-) to 3H(+) or 2H(+)/2e(-) without affecting the direct coupling site. Furthermore, 50 μm of 5-(N-ethyl-N-isopropyl)-amiloride (EIPA), a specific inhibitor for Na(+)/H(+) antiporters, caused a 38 ± 5% decrease in the initial H(+) pump activity in the wild type, while no change was observed in D178N, D303A, and D400A mutants where the H(+) pumping efficiency had already been significantly decreased. The electron transfer activities were basically unaffected by EIPA in both control and mutants. Taken together, our data strongly indicate that the NuoL subunit is involved in the indirect coupling mechanism.","author":[{"dropping-particle":"","family":"Nakamaru-Ogiso","given":"Eiko","non-dropping-particle":"","parse-names":false,"suffix":""},{"dropping-particle":"","family":"Kao","given":"Mou-Chieh","non-dropping-particle":"","parse-names":false,"suffix":""},{"dropping-particle":"","family":"Chen","given":"Han","non-dropping-particle":"","parse-names":false,"suffix":""},{"dropping-particle":"","family":"Sinha","given":"Subhash C","non-dropping-particle":"","parse-names":false,"suffix":""},{"dropping-particle":"","family":"Yagi","given":"Takao","non-dropping-particle":"","parse-names":false,"suffix":""},{"dropping-particle":"","family":"Ohnishi","given":"Tomoko","non-dropping-particle":"","parse-names":false,"suffix":""}],"container-title":"The Journal of biological chemistry","id":"ITEM-1","issue":"50","issued":{"date-parts":[["2010","12"]]},"language":"eng","page":"39070-39078","title":"The membrane subunit NuoL(ND5) is involved in the indirect proton pumping mechanism  of Escherichia coli complex I.","type":"article-journal","volume":"285"},"uris":["http://www.mendeley.com/documents/?uuid=02cbb064-fe61-4eb3-9c40-ad25376d574e"]}],"mendeley":{"formattedCitation":"(Nakamaru-Ogiso &lt;i&gt;et al&lt;/i&gt;, 2010)","plainTextFormattedCitation":"(Nakamaru-Ogiso et al, 2010)","previouslyFormattedCitation":"(Nakamaru-Ogiso &lt;i&gt;et al&lt;/i&gt;, 2010)"},"properties":{"noteIndex":0},"schema":"https://github.com/citation-style-language/schema/raw/master/csl-citation.json"}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(Nakamaru-Ogiso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2010)</w:t>
            </w:r>
            <w:r w:rsidRPr="00E97FC1">
              <w:rPr>
                <w:rFonts w:ascii="Helvetica" w:hAnsi="Helvetica" w:cs="Helvetica"/>
                <w:b/>
                <w:bCs/>
                <w:sz w:val="16"/>
                <w:szCs w:val="16"/>
                <w:lang w:val="en-GB"/>
              </w:rPr>
              <w:fldChar w:fldCharType="end"/>
            </w:r>
          </w:p>
        </w:tc>
      </w:tr>
      <w:tr w:rsidR="002471A8" w:rsidRPr="00E97FC1" w14:paraId="6E496B12" w14:textId="77777777" w:rsidTr="002471A8">
        <w:trPr>
          <w:trHeight w:val="65"/>
        </w:trPr>
        <w:tc>
          <w:tcPr>
            <w:tcW w:w="1075" w:type="dxa"/>
          </w:tcPr>
          <w:p w14:paraId="1B8F067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E144A</w:t>
            </w:r>
          </w:p>
        </w:tc>
        <w:tc>
          <w:tcPr>
            <w:tcW w:w="2790" w:type="dxa"/>
            <w:vMerge w:val="restart"/>
          </w:tcPr>
          <w:p w14:paraId="58F7F293"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TM5, central axe, interface with NuoM</w:t>
            </w:r>
          </w:p>
        </w:tc>
        <w:tc>
          <w:tcPr>
            <w:tcW w:w="1440" w:type="dxa"/>
          </w:tcPr>
          <w:p w14:paraId="3B21C81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reduced</w:t>
            </w:r>
          </w:p>
        </w:tc>
        <w:tc>
          <w:tcPr>
            <w:tcW w:w="1170" w:type="dxa"/>
          </w:tcPr>
          <w:p w14:paraId="1A0620A1"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90%</w:t>
            </w:r>
          </w:p>
        </w:tc>
        <w:tc>
          <w:tcPr>
            <w:tcW w:w="1260" w:type="dxa"/>
          </w:tcPr>
          <w:p w14:paraId="781E8724"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20%</w:t>
            </w:r>
          </w:p>
        </w:tc>
        <w:tc>
          <w:tcPr>
            <w:tcW w:w="1080" w:type="dxa"/>
          </w:tcPr>
          <w:p w14:paraId="46337B4B"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30%</w:t>
            </w:r>
          </w:p>
        </w:tc>
        <w:tc>
          <w:tcPr>
            <w:tcW w:w="1260" w:type="dxa"/>
          </w:tcPr>
          <w:p w14:paraId="400DD8F8" w14:textId="3941DA8A"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{"citationItems":[{"id":"ITEM-1","itemData":{"DOI":"10.1074/jbc.M110.157826","ISSN":"1083-351X (Electronic)","PMID":"20826797","abstract":"Complex I pumps protons across the membrane by using downhill redox energy. Here, to  investigate the proton pumping mechanism by complex I, we focused on the largest transmembrane subunit NuoL (Escherichia coli ND5 homolog). NuoL/ND5 is believed to have H(+) translocation site(s), because of a high sequence similarity to multi-subunit Na(+)/H(+) antiporters. We mutated thirteen highly conserved residues between NuoL/ND5 and MrpA of Na(+)/H(+) antiporters in the chromosomal nuoL gene. The dNADH oxidase activities in mutant membranes were mostly at the control level or modestly reduced, except mutants of Glu-144, Lys-229, and Lys-399. In contrast, the peripheral dNADH-K(3)Fe(CN)(6) reductase activities basically remained unchanged in all the NuoL mutants, suggesting that the peripheral arm of complex I was not affected by point mutations in NuoL. The proton pumping efficiency (the ratio of H(+)/e(-)), however, was decreased in most NuoL mutants by 30-50%, while the IC(50) values for asimicin (a potent complex I inhibitor) remained unchanged. This suggests that the H(+)/e(-) stoichiometry has changed from 4H(+)/2e(-) to 3H(+) or 2H(+)/2e(-) without affecting the direct coupling site. Furthermore, 50 μm of 5-(N-ethyl-N-isopropyl)-amiloride (EIPA), a specific inhibitor for Na(+)/H(+) antiporters, caused a 38 ± 5% decrease in the initial H(+) pump activity in the wild type, while no change was observed in D178N, D303A, and D400A mutants where the H(+) pumping efficiency had already been significantly decreased. The electron transfer activities were basically unaffected by EIPA in both control and mutants. Taken together, our data strongly indicate that the NuoL subunit is involved in the indirect coupling mechanism.","author":[{"dropping-particle":"","family":"Nakamaru-Ogiso","given":"Eiko","non-dropping-particle":"","parse-names":false,"suffix":""},{"dropping-particle":"","family":"Kao","given":"Mou-Chieh","non-dropping-particle":"","parse-names":false,"suffix":""},{"dropping-particle":"","family":"Chen","given":"Han","non-dropping-particle":"","parse-names":false,"suffix":""},{"dropping-particle":"","family":"Sinha","given":"Subhash C","non-dropping-particle":"","parse-names":false,"suffix":""},{"dropping-particle":"","family":"Yagi","given":"Takao","non-dropping-particle":"","parse-names":false,"suffix":""},{"dropping-particle":"","family":"Ohnishi","given":"Tomoko","non-dropping-particle":"","parse-names":false,"suffix":""}],"container-title":"The Journal of biological chemistry","id":"ITEM-1","issue":"50","issued":{"date-parts":[["2010","12"]]},"language":"eng","page":"39070-39078","title":"The membrane subunit NuoL(ND5) is involved in the indirect proton pumping mechanism  of Escherichia coli complex I.","type":"article-journal","volume":"285"},"uris":["http://www.mendeley.com/documents/?uuid=02cbb064-fe61-4eb3-9c40-ad25376d574e"]}],"mendeley":{"formattedCitation":"(Nakamaru-Ogiso &lt;i&gt;et al&lt;/i&gt;, 2010)","plainTextFormattedCitation":"(Nakamaru-Ogiso et al, 2010)","previouslyFormattedCitation":"(Nakamaru-Ogiso &lt;i&gt;et al&lt;/i&gt;, 2010)"},"properties":{"noteIndex":0},"schema":"https://github.com/citation-style-language/schema/raw/master/csl-citation.json"}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(Nakamaru-Ogiso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2010)</w:t>
            </w:r>
            <w:r w:rsidRPr="00E97FC1">
              <w:rPr>
                <w:rFonts w:ascii="Helvetica" w:hAnsi="Helvetica" w:cs="Helvetica"/>
                <w:b/>
                <w:bCs/>
                <w:sz w:val="16"/>
                <w:szCs w:val="16"/>
                <w:lang w:val="en-GB"/>
              </w:rPr>
              <w:fldChar w:fldCharType="end"/>
            </w:r>
          </w:p>
        </w:tc>
      </w:tr>
      <w:tr w:rsidR="002471A8" w:rsidRPr="00E97FC1" w14:paraId="63592560" w14:textId="77777777" w:rsidTr="002471A8">
        <w:trPr>
          <w:trHeight w:val="65"/>
        </w:trPr>
        <w:tc>
          <w:tcPr>
            <w:tcW w:w="1075" w:type="dxa"/>
          </w:tcPr>
          <w:p w14:paraId="119D8E9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E144Q</w:t>
            </w:r>
          </w:p>
        </w:tc>
        <w:tc>
          <w:tcPr>
            <w:tcW w:w="2790" w:type="dxa"/>
            <w:vMerge/>
          </w:tcPr>
          <w:p w14:paraId="64743D33" w14:textId="77777777" w:rsidR="002471A8" w:rsidRPr="00E97FC1" w:rsidRDefault="002471A8" w:rsidP="002471A8">
            <w:pPr>
              <w:rPr>
                <w:rFonts w:ascii="Helvetica" w:hAnsi="Helvetica" w:cs="Helvetica"/>
                <w:bCs/>
                <w:sz w:val="20"/>
                <w:lang w:val="en-GB"/>
              </w:rPr>
            </w:pPr>
          </w:p>
        </w:tc>
        <w:tc>
          <w:tcPr>
            <w:tcW w:w="1440" w:type="dxa"/>
          </w:tcPr>
          <w:p w14:paraId="5A5CC184"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3378C5B0"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105%</w:t>
            </w:r>
          </w:p>
        </w:tc>
        <w:tc>
          <w:tcPr>
            <w:tcW w:w="1260" w:type="dxa"/>
          </w:tcPr>
          <w:p w14:paraId="3B44B78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15%</w:t>
            </w:r>
          </w:p>
        </w:tc>
        <w:tc>
          <w:tcPr>
            <w:tcW w:w="1080" w:type="dxa"/>
          </w:tcPr>
          <w:p w14:paraId="5641473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w:t>
            </w:r>
          </w:p>
        </w:tc>
        <w:tc>
          <w:tcPr>
            <w:tcW w:w="1260" w:type="dxa"/>
          </w:tcPr>
          <w:p w14:paraId="21556039" w14:textId="4312A715"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{"citationItems":[{"id":"ITEM-1","itemData":{"DOI":"10.1074/jbc.M110.157826","ISSN":"1083-351X (Electronic)","PMID":"20826797","abstract":"Complex I pumps protons across the membrane by using downhill redox energy. Here, to  investigate the proton pumping mechanism by complex I, we focused on the largest transmembrane subunit NuoL (Escherichia coli ND5 homolog). NuoL/ND5 is believed to have H(+) translocation site(s), because of a high sequence similarity to multi-subunit Na(+)/H(+) antiporters. We mutated thirteen highly conserved residues between NuoL/ND5 and MrpA of Na(+)/H(+) antiporters in the chromosomal nuoL gene. The dNADH oxidase activities in mutant membranes were mostly at the control level or modestly reduced, except mutants of Glu-144, Lys-229, and Lys-399. In contrast, the peripheral dNADH-K(3)Fe(CN)(6) reductase activities basically remained unchanged in all the NuoL mutants, suggesting that the peripheral arm of complex I was not affected by point mutations in NuoL. The proton pumping efficiency (the ratio of H(+)/e(-)), however, was decreased in most NuoL mutants by 30-50%, while the IC(50) values for asimicin (a potent complex I inhibitor) remained unchanged. This suggests that the H(+)/e(-) stoichiometry has changed from 4H(+)/2e(-) to 3H(+) or 2H(+)/2e(-) without affecting the direct coupling site. Furthermore, 50 μm of 5-(N-ethyl-N-isopropyl)-amiloride (EIPA), a specific inhibitor for Na(+)/H(+) antiporters, caused a 38 ± 5% decrease in the initial H(+) pump activity in the wild type, while no change was observed in D178N, D303A, and D400A mutants where the H(+) pumping efficiency had already been significantly decreased. The electron transfer activities were basically unaffected by EIPA in both control and mutants. Taken together, our data strongly indicate that the NuoL subunit is involved in the indirect coupling mechanism.","author":[{"dropping-particle":"","family":"Nakamaru-Ogiso","given":"Eiko","non-dropping-particle":"","parse-names":false,"suffix":""},{"dropping-particle":"","family":"Kao","given":"Mou-Chieh","non-dropping-particle":"","parse-names":false,"suffix":""},{"dropping-particle":"","family":"Chen","given":"Han","non-dropping-particle":"","parse-names":false,"suffix":""},{"dropping-particle":"","family":"Sinha","given":"Subhash C","non-dropping-particle":"","parse-names":false,"suffix":""},{"dropping-particle":"","family":"Yagi","given":"Takao","non-dropping-particle":"","parse-names":false,"suffix":""},{"dropping-particle":"","family":"Ohnishi","given":"Tomoko","non-dropping-particle":"","parse-names":false,"suffix":""}],"container-title":"The Journal of biological chemistry","id":"ITEM-1","issue":"50","issued":{"date-parts":[["2010","12"]]},"language":"eng","page":"39070-39078","title":"The membrane subunit NuoL(ND5) is involved in the indirect proton pumping mechanism  of Escherichia coli complex I.","type":"article-journal","volume":"285"},"uris":["http://www.mendeley.com/documents/?uuid=02cbb064-fe61-4eb3-9c40-ad25376d574e"]}],"mendeley":{"formattedCitation":"(Nakamaru-Ogiso &lt;i&gt;et al&lt;/i&gt;, 2010)","plainTextFormattedCitation":"(Nakamaru-Ogiso et al, 2010)","previouslyFormattedCitation":"(Nakamaru-Ogiso &lt;i&gt;et al&lt;/i&gt;, 2010)"},"properties":{"noteIndex":0},"schema":"https://github.com/citation-style-language/schema/raw/master/csl-citation.json"}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(Nakamaru-Ogiso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2010)</w:t>
            </w:r>
            <w:r w:rsidRPr="00E97FC1">
              <w:rPr>
                <w:rFonts w:ascii="Helvetica" w:hAnsi="Helvetica" w:cs="Helvetica"/>
                <w:b/>
                <w:bCs/>
                <w:sz w:val="16"/>
                <w:szCs w:val="16"/>
                <w:lang w:val="en-GB"/>
              </w:rPr>
              <w:fldChar w:fldCharType="end"/>
            </w:r>
          </w:p>
        </w:tc>
      </w:tr>
      <w:tr w:rsidR="002471A8" w:rsidRPr="00E97FC1" w14:paraId="3BC2AEDA" w14:textId="77777777" w:rsidTr="002471A8">
        <w:trPr>
          <w:trHeight w:val="65"/>
        </w:trPr>
        <w:tc>
          <w:tcPr>
            <w:tcW w:w="1075" w:type="dxa"/>
          </w:tcPr>
          <w:p w14:paraId="6DFBB654"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K169C</w:t>
            </w:r>
          </w:p>
        </w:tc>
        <w:tc>
          <w:tcPr>
            <w:tcW w:w="2790" w:type="dxa"/>
            <w:vMerge w:val="restart"/>
          </w:tcPr>
          <w:p w14:paraId="6C8EA847"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TM6 – HL SB</w:t>
            </w:r>
          </w:p>
        </w:tc>
        <w:tc>
          <w:tcPr>
            <w:tcW w:w="1440" w:type="dxa"/>
          </w:tcPr>
          <w:p w14:paraId="37DA9E0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58EE7F70"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87%</w:t>
            </w:r>
          </w:p>
        </w:tc>
        <w:tc>
          <w:tcPr>
            <w:tcW w:w="1260" w:type="dxa"/>
          </w:tcPr>
          <w:p w14:paraId="509BCB4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65%</w:t>
            </w:r>
          </w:p>
        </w:tc>
        <w:tc>
          <w:tcPr>
            <w:tcW w:w="1080" w:type="dxa"/>
          </w:tcPr>
          <w:p w14:paraId="03D2F3C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reduced</w:t>
            </w:r>
          </w:p>
        </w:tc>
        <w:tc>
          <w:tcPr>
            <w:tcW w:w="1260" w:type="dxa"/>
          </w:tcPr>
          <w:p w14:paraId="4EDE2873" w14:textId="00CFFF39"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{"citationItems":[{"id":"ITEM-1","itemData":{"DOI":"10.1371/journal.pone.0017420","ISSN":"1932-6203 (Electronic)","PMID":"21387012","abstract":"BACKGROUND: The membrane arm of Complex I (NADH:ubiquinone oxidoreductase) contains  three large, and closely related subunits, which are called L, M, and N in E. coli. These subunits are homologous to components of multi-subunit Na(+)/H(+) antiporters, and so are implicated in proton translocation. METHODOLOGY/PRINCIPAL FINDINGS: Nineteen site-specific mutations were constructed at two corresponding positions in each of the three subunits. Two positions were selected in each subunit: L_K169, M_K173, N_K158 and L_Q236, M_H241, N_H224. Membrane vesicles were prepared from all of the resulting mutant strains, and were assayed for deamino-NADH oxidase activity, proton translocation, ferricyanide reductase activity, and sensitivity to capsaicin. Corresponding mutations in the three subunits were found to have very similar effects on all activities measured. In addition, the effect of adding exogenous decylubiquinone on these activities was tested. 50 µM decylubiquinone stimulated both deamino-NADH oxidase activity and proton translocation by wild type membrane vesicles, but was inhibitory towards the same activities by membrane vesicles bearing the lysine substitution at the L236/M241/N224 positions. CONCLUSIONS/SIGNIFICANCE: The results show a close correlation with reduced activity among the corresponding mutations, and provide evidence that the L, M, and N subunits have a common role in Complex I.","author":[{"dropping-particle":"","family":"Michel","given":"Jose","non-dropping-particle":"","parse-names":false,"suffix":""},{"dropping-particle":"","family":"DeLeon-Rangel","given":"Jessica","non-dropping-particle":"","parse-names":false,"suffix":""},{"dropping-particle":"","family":"Zhu","given":"Shaotong","non-dropping-particle":"","parse-names":false,"suffix":""},{"dropping-particle":"","family":"Ree","given":"Kalie","non-dropping-particle":"Van","parse-names":false,"suffix":""},{"dropping-particle":"","family":"Vik","given":"Steven B","non-dropping-particle":"","parse-names":false,"suffix":""}],"container-title":"PloS one","id":"ITEM-1","issue":"2","issued":{"date-parts":[["2011","2"]]},"language":"eng","page":"e17420","title":"Mutagenesis of the L, M, and N subunits of Complex I from Escherichia coli indicates  a common role in function.","type":"article-journal","volume":"6"},"uris":["http://www.mendeley.com/documents/?uuid=c0aa016f-3662-48d1-a31e-f06d6ca21965"]}],"mendeley":{"formattedCitation":"(Michel &lt;i&gt;et al&lt;/i&gt;, 2011)","plainTextFormattedCitation":"(Michel et al, 2011)","previouslyFormattedCitation":"(Michel &lt;i&gt;et al&lt;/i&gt;, 2011)"},"properties":{"noteIndex":0},"schema":"https://github.com/citation-style-language/schema/raw/master/csl-citation.json"}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(Michel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2011)</w:t>
            </w:r>
            <w:r w:rsidRPr="00E97FC1">
              <w:rPr>
                <w:rFonts w:ascii="Helvetica" w:hAnsi="Helvetica" w:cs="Helvetica"/>
                <w:b/>
                <w:bCs/>
                <w:sz w:val="16"/>
                <w:szCs w:val="16"/>
                <w:lang w:val="en-GB"/>
              </w:rPr>
              <w:fldChar w:fldCharType="end"/>
            </w:r>
          </w:p>
        </w:tc>
      </w:tr>
      <w:tr w:rsidR="002471A8" w:rsidRPr="00E97FC1" w14:paraId="09D1AA4C" w14:textId="77777777" w:rsidTr="002471A8">
        <w:trPr>
          <w:trHeight w:val="65"/>
        </w:trPr>
        <w:tc>
          <w:tcPr>
            <w:tcW w:w="1075" w:type="dxa"/>
          </w:tcPr>
          <w:p w14:paraId="36BAAA54"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lastRenderedPageBreak/>
              <w:t>K169E</w:t>
            </w:r>
          </w:p>
        </w:tc>
        <w:tc>
          <w:tcPr>
            <w:tcW w:w="2790" w:type="dxa"/>
            <w:vMerge/>
          </w:tcPr>
          <w:p w14:paraId="322516C8" w14:textId="77777777" w:rsidR="002471A8" w:rsidRPr="00E97FC1" w:rsidRDefault="002471A8" w:rsidP="002471A8">
            <w:pPr>
              <w:rPr>
                <w:rFonts w:ascii="Helvetica" w:hAnsi="Helvetica" w:cs="Helvetica"/>
                <w:bCs/>
                <w:sz w:val="20"/>
                <w:lang w:val="en-GB"/>
              </w:rPr>
            </w:pPr>
          </w:p>
        </w:tc>
        <w:tc>
          <w:tcPr>
            <w:tcW w:w="1440" w:type="dxa"/>
          </w:tcPr>
          <w:p w14:paraId="53E7CE5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7EE30D8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117%</w:t>
            </w:r>
          </w:p>
        </w:tc>
        <w:tc>
          <w:tcPr>
            <w:tcW w:w="1260" w:type="dxa"/>
          </w:tcPr>
          <w:p w14:paraId="678C04C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67%</w:t>
            </w:r>
          </w:p>
        </w:tc>
        <w:tc>
          <w:tcPr>
            <w:tcW w:w="1080" w:type="dxa"/>
          </w:tcPr>
          <w:p w14:paraId="019F7034"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reduced</w:t>
            </w:r>
          </w:p>
        </w:tc>
        <w:tc>
          <w:tcPr>
            <w:tcW w:w="1260" w:type="dxa"/>
          </w:tcPr>
          <w:p w14:paraId="5CA039AE" w14:textId="1A4357A3"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{"citationItems":[{"id":"ITEM-1","itemData":{"DOI":"10.1371/journal.pone.0017420","ISSN":"1932-6203 (Electronic)","PMID":"21387012","abstract":"BACKGROUND: The membrane arm of Complex I (NADH:ubiquinone oxidoreductase) contains  three large, and closely related subunits, which are called L, M, and N in E. coli. These subunits are homologous to components of multi-subunit Na(+)/H(+) antiporters, and so are implicated in proton translocation. METHODOLOGY/PRINCIPAL FINDINGS: Nineteen site-specific mutations were constructed at two corresponding positions in each of the three subunits. Two positions were selected in each subunit: L_K169, M_K173, N_K158 and L_Q236, M_H241, N_H224. Membrane vesicles were prepared from all of the resulting mutant strains, and were assayed for deamino-NADH oxidase activity, proton translocation, ferricyanide reductase activity, and sensitivity to capsaicin. Corresponding mutations in the three subunits were found to have very similar effects on all activities measured. In addition, the effect of adding exogenous decylubiquinone on these activities was tested. 50 µM decylubiquinone stimulated both deamino-NADH oxidase activity and proton translocation by wild type membrane vesicles, but was inhibitory towards the same activities by membrane vesicles bearing the lysine substitution at the L236/M241/N224 positions. CONCLUSIONS/SIGNIFICANCE: The results show a close correlation with reduced activity among the corresponding mutations, and provide evidence that the L, M, and N subunits have a common role in Complex I.","author":[{"dropping-particle":"","family":"Michel","given":"Jose","non-dropping-particle":"","parse-names":false,"suffix":""},{"dropping-particle":"","family":"DeLeon-Rangel","given":"Jessica","non-dropping-particle":"","parse-names":false,"suffix":""},{"dropping-particle":"","family":"Zhu","given":"Shaotong","non-dropping-particle":"","parse-names":false,"suffix":""},{"dropping-particle":"","family":"Ree","given":"Kalie","non-dropping-particle":"Van","parse-names":false,"suffix":""},{"dropping-particle":"","family":"Vik","given":"Steven B","non-dropping-particle":"","parse-names":false,"suffix":""}],"container-title":"PloS one","id":"ITEM-1","issue":"2","issued":{"date-parts":[["2011","2"]]},"language":"eng","page":"e17420","title":"Mutagenesis of the L, M, and N subunits of Complex I from Escherichia coli indicates  a common role in function.","type":"article-journal","volume":"6"},"uris":["http://www.mendeley.com/documents/?uuid=c0aa016f-3662-48d1-a31e-f06d6ca21965"]}],"mendeley":{"formattedCitation":"(Michel &lt;i&gt;et al&lt;/i&gt;, 2011)","plainTextFormattedCitation":"(Michel et al, 2011)","previouslyFormattedCitation":"(Michel &lt;i&gt;et al&lt;/i&gt;, 2011)"},"properties":{"noteIndex":0},"schema":"https://github.com/citation-style-language/schema/raw/master/csl-citation.json"}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(Michel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2011)</w:t>
            </w:r>
            <w:r w:rsidRPr="00E97FC1">
              <w:rPr>
                <w:rFonts w:ascii="Helvetica" w:hAnsi="Helvetica" w:cs="Helvetica"/>
                <w:b/>
                <w:bCs/>
                <w:sz w:val="16"/>
                <w:szCs w:val="16"/>
                <w:lang w:val="en-GB"/>
              </w:rPr>
              <w:fldChar w:fldCharType="end"/>
            </w:r>
          </w:p>
        </w:tc>
      </w:tr>
      <w:tr w:rsidR="002471A8" w:rsidRPr="00E97FC1" w14:paraId="396ABD99" w14:textId="77777777" w:rsidTr="002471A8">
        <w:trPr>
          <w:trHeight w:val="65"/>
        </w:trPr>
        <w:tc>
          <w:tcPr>
            <w:tcW w:w="1075" w:type="dxa"/>
          </w:tcPr>
          <w:p w14:paraId="4B7EDBA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lastRenderedPageBreak/>
              <w:t>K169R</w:t>
            </w:r>
          </w:p>
        </w:tc>
        <w:tc>
          <w:tcPr>
            <w:tcW w:w="2790" w:type="dxa"/>
            <w:vMerge/>
          </w:tcPr>
          <w:p w14:paraId="5CBCAE44" w14:textId="77777777" w:rsidR="002471A8" w:rsidRPr="00E97FC1" w:rsidRDefault="002471A8" w:rsidP="002471A8">
            <w:pPr>
              <w:rPr>
                <w:rFonts w:ascii="Helvetica" w:hAnsi="Helvetica" w:cs="Helvetica"/>
                <w:bCs/>
                <w:sz w:val="20"/>
                <w:lang w:val="en-GB"/>
              </w:rPr>
            </w:pPr>
          </w:p>
        </w:tc>
        <w:tc>
          <w:tcPr>
            <w:tcW w:w="1440" w:type="dxa"/>
          </w:tcPr>
          <w:p w14:paraId="4D764D6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4E854FE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118%</w:t>
            </w:r>
          </w:p>
        </w:tc>
        <w:tc>
          <w:tcPr>
            <w:tcW w:w="1260" w:type="dxa"/>
          </w:tcPr>
          <w:p w14:paraId="6B57FE34"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94%</w:t>
            </w:r>
          </w:p>
        </w:tc>
        <w:tc>
          <w:tcPr>
            <w:tcW w:w="1080" w:type="dxa"/>
          </w:tcPr>
          <w:p w14:paraId="29BFF931"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reduced</w:t>
            </w:r>
          </w:p>
        </w:tc>
        <w:tc>
          <w:tcPr>
            <w:tcW w:w="1260" w:type="dxa"/>
          </w:tcPr>
          <w:p w14:paraId="44C7A0A5" w14:textId="28A91A32"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{"citationItems":[{"id":"ITEM-1","itemData":{"DOI":"10.1371/journal.pone.0017420","ISSN":"1932-6203 (Electronic)","PMID":"21387012","abstract":"BACKGROUND: The membrane arm of Complex I (NADH:ubiquinone oxidoreductase) contains  three large, and closely related subunits, which are called L, M, and N in E. coli. These subunits are homologous to components of multi-subunit Na(+)/H(+) antiporters, and so are implicated in proton translocation. METHODOLOGY/PRINCIPAL FINDINGS: Nineteen site-specific mutations were constructed at two corresponding positions in each of the three subunits. Two positions were selected in each subunit: L_K169, M_K173, N_K158 and L_Q236, M_H241, N_H224. Membrane vesicles were prepared from all of the resulting mutant strains, and were assayed for deamino-NADH oxidase activity, proton translocation, ferricyanide reductase activity, and sensitivity to capsaicin. Corresponding mutations in the three subunits were found to have very similar effects on all activities measured. In addition, the effect of adding exogenous decylubiquinone on these activities was tested. 50 µM decylubiquinone stimulated both deamino-NADH oxidase activity and proton translocation by wild type membrane vesicles, but was inhibitory towards the same activities by membrane vesicles bearing the lysine substitution at the L236/M241/N224 positions. CONCLUSIONS/SIGNIFICANCE: The results show a close correlation with reduced activity among the corresponding mutations, and provide evidence that the L, M, and N subunits have a common role in Complex I.","author":[{"dropping-particle":"","family":"Michel","given":"Jose","non-dropping-particle":"","parse-names":false,"suffix":""},{"dropping-particle":"","family":"DeLeon-Rangel","given":"Jessica","non-dropping-particle":"","parse-names":false,"suffix":""},{"dropping-particle":"","family":"Zhu","given":"Shaotong","non-dropping-particle":"","parse-names":false,"suffix":""},{"dropping-particle":"","family":"Ree","given":"Kalie","non-dropping-particle":"Van","parse-names":false,"suffix":""},{"dropping-particle":"","family":"Vik","given":"Steven B","non-dropping-particle":"","parse-names":false,"suffix":""}],"container-title":"PloS one","id":"ITEM-1","issue":"2","issued":{"date-parts":[["2011","2"]]},"language":"eng","page":"e17420","title":"Mutagenesis of the L, M, and N subunits of Complex I from Escherichia coli indicates  a common role in function.","type":"article-journal","volume":"6"},"uris":["http://www.mendeley.com/documents/?uuid=c0aa016f-3662-48d1-a31e-f06d6ca21965"]}],"mendeley":{"formattedCitation":"(Michel &lt;i&gt;et al&lt;/i&gt;, 2011)","plainTextFormattedCitation":"(Michel et al, 2011)","previouslyFormattedCitation":"(Michel &lt;i&gt;et al&lt;/i&gt;, 2011)"},"properties":{"noteIndex":0},"schema":"https://github.com/citation-style-language/schema/raw/master/csl-citation.json"}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(Michel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2011)</w:t>
            </w:r>
            <w:r w:rsidRPr="00E97FC1">
              <w:rPr>
                <w:rFonts w:ascii="Helvetica" w:hAnsi="Helvetica" w:cs="Helvetica"/>
                <w:b/>
                <w:bCs/>
                <w:sz w:val="16"/>
                <w:szCs w:val="16"/>
                <w:lang w:val="en-GB"/>
              </w:rPr>
              <w:fldChar w:fldCharType="end"/>
            </w:r>
          </w:p>
        </w:tc>
      </w:tr>
      <w:tr w:rsidR="002471A8" w:rsidRPr="00E97FC1" w14:paraId="0654CFD1" w14:textId="77777777" w:rsidTr="002471A8">
        <w:trPr>
          <w:trHeight w:val="65"/>
        </w:trPr>
        <w:tc>
          <w:tcPr>
            <w:tcW w:w="1075" w:type="dxa"/>
          </w:tcPr>
          <w:p w14:paraId="4EF8606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D178A</w:t>
            </w:r>
          </w:p>
        </w:tc>
        <w:tc>
          <w:tcPr>
            <w:tcW w:w="2790" w:type="dxa"/>
            <w:vMerge w:val="restart"/>
          </w:tcPr>
          <w:p w14:paraId="29968C95"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TM6, central axe</w:t>
            </w:r>
          </w:p>
          <w:p w14:paraId="0F9C0912" w14:textId="77777777" w:rsidR="002471A8" w:rsidRPr="00E97FC1" w:rsidRDefault="002471A8" w:rsidP="002471A8">
            <w:pPr>
              <w:rPr>
                <w:rFonts w:ascii="Helvetica" w:hAnsi="Helvetica" w:cs="Helvetica"/>
                <w:sz w:val="20"/>
                <w:lang w:val="en-GB"/>
              </w:rPr>
            </w:pPr>
          </w:p>
        </w:tc>
        <w:tc>
          <w:tcPr>
            <w:tcW w:w="1440" w:type="dxa"/>
          </w:tcPr>
          <w:p w14:paraId="7014C25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676F81E7"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125%</w:t>
            </w:r>
          </w:p>
        </w:tc>
        <w:tc>
          <w:tcPr>
            <w:tcW w:w="1260" w:type="dxa"/>
          </w:tcPr>
          <w:p w14:paraId="3BD76B1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95%</w:t>
            </w:r>
          </w:p>
        </w:tc>
        <w:tc>
          <w:tcPr>
            <w:tcW w:w="1080" w:type="dxa"/>
          </w:tcPr>
          <w:p w14:paraId="5234019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80%</w:t>
            </w:r>
          </w:p>
        </w:tc>
        <w:tc>
          <w:tcPr>
            <w:tcW w:w="1260" w:type="dxa"/>
          </w:tcPr>
          <w:p w14:paraId="302E969D" w14:textId="5B6974B6"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{"citationItems":[{"id":"ITEM-1","itemData":{"DOI":"10.1074/jbc.M110.157826","ISSN":"1083-351X (Electronic)","PMID":"20826797","abstract":"Complex I pumps protons across the membrane by using downhill redox energy. Here, to  investigate the proton pumping mechanism by complex I, we focused on the largest transmembrane subunit NuoL (Escherichia coli ND5 homolog). NuoL/ND5 is believed to have H(+) translocation site(s), because of a high sequence similarity to multi-subunit Na(+)/H(+) antiporters. We mutated thirteen highly conserved residues between NuoL/ND5 and MrpA of Na(+)/H(+) antiporters in the chromosomal nuoL gene. The dNADH oxidase activities in mutant membranes were mostly at the control level or modestly reduced, except mutants of Glu-144, Lys-229, and Lys-399. In contrast, the peripheral dNADH-K(3)Fe(CN)(6) reductase activities basically remained unchanged in all the NuoL mutants, suggesting that the peripheral arm of complex I was not affected by point mutations in NuoL. The proton pumping efficiency (the ratio of H(+)/e(-)), however, was decreased in most NuoL mutants by 30-50%, while the IC(50) values for asimicin (a potent complex I inhibitor) remained unchanged. This suggests that the H(+)/e(-) stoichiometry has changed from 4H(+)/2e(-) to 3H(+) or 2H(+)/2e(-) without affecting the direct coupling site. Furthermore, 50 μm of 5-(N-ethyl-N-isopropyl)-amiloride (EIPA), a specific inhibitor for Na(+)/H(+) antiporters, caused a 38 ± 5% decrease in the initial H(+) pump activity in the wild type, while no change was observed in D178N, D303A, and D400A mutants where the H(+) pumping efficiency had already been significantly decreased. The electron transfer activities were basically unaffected by EIPA in both control and mutants. Taken together, our data strongly indicate that the NuoL subunit is involved in the indirect coupling mechanism.","author":[{"dropping-particle":"","family":"Nakamaru-Ogiso","given":"Eiko","non-dropping-particle":"","parse-names":false,"suffix":""},{"dropping-particle":"","family":"Kao","given":"Mou-Chieh","non-dropping-particle":"","parse-names":false,"suffix":""},{"dropping-particle":"","family":"Chen","given":"Han","non-dropping-particle":"","parse-names":false,"suffix":""},{"dropping-particle":"","family":"Sinha","given":"Subhash C","non-dropping-particle":"","parse-names":false,"suffix":""},{"dropping-particle":"","family":"Yagi","given":"Takao","non-dropping-particle":"","parse-names":false,"suffix":""},{"dropping-particle":"","family":"Ohnishi","given":"Tomoko","non-dropping-particle":"","parse-names":false,"suffix":""}],"container-title":"The Journal of biological chemistry","id":"ITEM-1","issue":"50","issued":{"date-parts":[["2010","12"]]},"language":"eng","page":"39070-39078","title":"The membrane subunit NuoL(ND5) is involved in the indirect proton pumping mechanism  of Escherichia coli complex I.","type":"article-journal","volume":"285"},"uris":["http://www.mendeley.com/documents/?uuid=02cbb064-fe61-4eb3-9c40-ad25376d574e"]}],"mendeley":{"formattedCitation":"(Nakamaru-Ogiso &lt;i&gt;et al&lt;/i&gt;, 2010)","plainTextFormattedCitation":"(Nakamaru-Ogiso et al, 2010)","previouslyFormattedCitation":"(Nakamaru-Ogiso &lt;i&gt;et al&lt;/i&gt;, 2010)"},"properties":{"noteIndex":0},"schema":"https://github.com/citation-style-language/schema/raw/master/csl-citation.json"}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(Nakamaru-Ogiso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2010)</w:t>
            </w:r>
            <w:r w:rsidRPr="00E97FC1">
              <w:rPr>
                <w:rFonts w:ascii="Helvetica" w:hAnsi="Helvetica" w:cs="Helvetica"/>
                <w:b/>
                <w:bCs/>
                <w:sz w:val="16"/>
                <w:szCs w:val="16"/>
                <w:lang w:val="en-GB"/>
              </w:rPr>
              <w:fldChar w:fldCharType="end"/>
            </w:r>
          </w:p>
        </w:tc>
      </w:tr>
      <w:tr w:rsidR="002471A8" w:rsidRPr="00E97FC1" w14:paraId="006781F1" w14:textId="77777777" w:rsidTr="002471A8">
        <w:trPr>
          <w:trHeight w:val="65"/>
        </w:trPr>
        <w:tc>
          <w:tcPr>
            <w:tcW w:w="1075" w:type="dxa"/>
          </w:tcPr>
          <w:p w14:paraId="7EB5430A"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D178N</w:t>
            </w:r>
          </w:p>
        </w:tc>
        <w:tc>
          <w:tcPr>
            <w:tcW w:w="2790" w:type="dxa"/>
            <w:vMerge/>
          </w:tcPr>
          <w:p w14:paraId="0AD9C6BB" w14:textId="77777777" w:rsidR="002471A8" w:rsidRPr="00E97FC1" w:rsidRDefault="002471A8" w:rsidP="002471A8">
            <w:pPr>
              <w:rPr>
                <w:rFonts w:ascii="Helvetica" w:hAnsi="Helvetica" w:cs="Helvetica"/>
                <w:sz w:val="20"/>
                <w:lang w:val="en-GB"/>
              </w:rPr>
            </w:pPr>
          </w:p>
        </w:tc>
        <w:tc>
          <w:tcPr>
            <w:tcW w:w="1440" w:type="dxa"/>
          </w:tcPr>
          <w:p w14:paraId="5FA99D3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09014A6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125%</w:t>
            </w:r>
          </w:p>
        </w:tc>
        <w:tc>
          <w:tcPr>
            <w:tcW w:w="1260" w:type="dxa"/>
          </w:tcPr>
          <w:p w14:paraId="1190423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70%</w:t>
            </w:r>
          </w:p>
        </w:tc>
        <w:tc>
          <w:tcPr>
            <w:tcW w:w="1080" w:type="dxa"/>
          </w:tcPr>
          <w:p w14:paraId="6647ED1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50%</w:t>
            </w:r>
          </w:p>
        </w:tc>
        <w:tc>
          <w:tcPr>
            <w:tcW w:w="1260" w:type="dxa"/>
          </w:tcPr>
          <w:p w14:paraId="705ED03C" w14:textId="58FDF2A0"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{"citationItems":[{"id":"ITEM-1","itemData":{"DOI":"10.1074/jbc.M110.157826","ISSN":"1083-351X (Electronic)","PMID":"20826797","abstract":"Complex I pumps protons across the membrane by using downhill redox energy. Here, to  investigate the proton pumping mechanism by complex I, we focused on the largest transmembrane subunit NuoL (Escherichia coli ND5 homolog). NuoL/ND5 is believed to have H(+) translocation site(s), because of a high sequence similarity to multi-subunit Na(+)/H(+) antiporters. We mutated thirteen highly conserved residues between NuoL/ND5 and MrpA of Na(+)/H(+) antiporters in the chromosomal nuoL gene. The dNADH oxidase activities in mutant membranes were mostly at the control level or modestly reduced, except mutants of Glu-144, Lys-229, and Lys-399. In contrast, the peripheral dNADH-K(3)Fe(CN)(6) reductase activities basically remained unchanged in all the NuoL mutants, suggesting that the peripheral arm of complex I was not affected by point mutations in NuoL. The proton pumping efficiency (the ratio of H(+)/e(-)), however, was decreased in most NuoL mutants by 30-50%, while the IC(50) values for asimicin (a potent complex I inhibitor) remained unchanged. This suggests that the H(+)/e(-) stoichiometry has changed from 4H(+)/2e(-) to 3H(+) or 2H(+)/2e(-) without affecting the direct coupling site. Furthermore, 50 μm of 5-(N-ethyl-N-isopropyl)-amiloride (EIPA), a specific inhibitor for Na(+)/H(+) antiporters, caused a 38 ± 5% decrease in the initial H(+) pump activity in the wild type, while no change was observed in D178N, D303A, and D400A mutants where the H(+) pumping efficiency had already been significantly decreased. The electron transfer activities were basically unaffected by EIPA in both control and mutants. Taken together, our data strongly indicate that the NuoL subunit is involved in the indirect coupling mechanism.","author":[{"dropping-particle":"","family":"Nakamaru-Ogiso","given":"Eiko","non-dropping-particle":"","parse-names":false,"suffix":""},{"dropping-particle":"","family":"Kao","given":"Mou-Chieh","non-dropping-particle":"","parse-names":false,"suffix":""},{"dropping-particle":"","family":"Chen","given":"Han","non-dropping-particle":"","parse-names":false,"suffix":""},{"dropping-particle":"","family":"Sinha","given":"Subhash C","non-dropping-particle":"","parse-names":false,"suffix":""},{"dropping-particle":"","family":"Yagi","given":"Takao","non-dropping-particle":"","parse-names":false,"suffix":""},{"dropping-particle":"","family":"Ohnishi","given":"Tomoko","non-dropping-particle":"","parse-names":false,"suffix":""}],"container-title":"The Journal of biological chemistry","id":"ITEM-1","issue":"50","issued":{"date-parts":[["2010","12"]]},"language":"eng","page":"39070-39078","title":"The membrane subunit NuoL(ND5) is involved in the indirect proton pumping mechanism  of Escherichia coli complex I.","type":"article-journal","volume":"285"},"uris":["http://www.mendeley.com/documents/?uuid=02cbb064-fe61-4eb3-9c40-ad25376d574e"]}],"mendeley":{"formattedCitation":"(Nakamaru-Ogiso &lt;i&gt;et al&lt;/i&gt;, 2010)","plainTextFormattedCitation":"(Nakamaru-Ogiso et al, 2010)","previouslyFormattedCitation":"(Nakamaru-Ogiso &lt;i&gt;et al&lt;/i&gt;, 2010)"},"properties":{"noteIndex":0},"schema":"https://github.com/citation-style-language/schema/raw/master/csl-citation.json"}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(Nakamaru-Ogiso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2010)</w:t>
            </w:r>
            <w:r w:rsidRPr="00E97FC1">
              <w:rPr>
                <w:rFonts w:ascii="Helvetica" w:hAnsi="Helvetica" w:cs="Helvetica"/>
                <w:b/>
                <w:bCs/>
                <w:sz w:val="16"/>
                <w:szCs w:val="16"/>
                <w:lang w:val="en-GB"/>
              </w:rPr>
              <w:fldChar w:fldCharType="end"/>
            </w:r>
            <w:r w:rsidRPr="00E97FC1">
              <w:rPr>
                <w:rFonts w:ascii="Helvetica" w:hAnsi="Helvetica" w:cs="Helvetica"/>
                <w:b/>
                <w:bCs/>
                <w:sz w:val="16"/>
                <w:szCs w:val="16"/>
                <w:lang w:val="en-GB"/>
              </w:rPr>
              <w:t>,</w:t>
            </w:r>
            <w:r w:rsidRPr="00E97FC1">
              <w:rPr>
                <w:rFonts w:ascii="Helvetica" w:hAnsi="Helvetica" w:cs="Helvetica"/>
                <w:sz w:val="16"/>
                <w:szCs w:val="16"/>
                <w:lang w:val="en-GB"/>
              </w:rPr>
              <w:t xml:space="preserve"> (EIPA insensitive)</w:t>
            </w:r>
          </w:p>
        </w:tc>
      </w:tr>
      <w:tr w:rsidR="002471A8" w:rsidRPr="00E97FC1" w14:paraId="7D6014DA" w14:textId="77777777" w:rsidTr="002471A8">
        <w:trPr>
          <w:trHeight w:val="65"/>
        </w:trPr>
        <w:tc>
          <w:tcPr>
            <w:tcW w:w="1075" w:type="dxa"/>
          </w:tcPr>
          <w:p w14:paraId="1DF09CA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R175A</w:t>
            </w:r>
          </w:p>
        </w:tc>
        <w:tc>
          <w:tcPr>
            <w:tcW w:w="2790" w:type="dxa"/>
          </w:tcPr>
          <w:p w14:paraId="32B63239"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NuoL/M interface</w:t>
            </w:r>
          </w:p>
        </w:tc>
        <w:tc>
          <w:tcPr>
            <w:tcW w:w="1440" w:type="dxa"/>
          </w:tcPr>
          <w:p w14:paraId="12B1732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reduced</w:t>
            </w:r>
          </w:p>
        </w:tc>
        <w:tc>
          <w:tcPr>
            <w:tcW w:w="1170" w:type="dxa"/>
          </w:tcPr>
          <w:p w14:paraId="3C9A51D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60%</w:t>
            </w:r>
          </w:p>
        </w:tc>
        <w:tc>
          <w:tcPr>
            <w:tcW w:w="1260" w:type="dxa"/>
          </w:tcPr>
          <w:p w14:paraId="074370D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17%</w:t>
            </w:r>
          </w:p>
        </w:tc>
        <w:tc>
          <w:tcPr>
            <w:tcW w:w="1080" w:type="dxa"/>
          </w:tcPr>
          <w:p w14:paraId="414BBA1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low</w:t>
            </w:r>
          </w:p>
        </w:tc>
        <w:tc>
          <w:tcPr>
            <w:tcW w:w="1260" w:type="dxa"/>
          </w:tcPr>
          <w:p w14:paraId="113019F2" w14:textId="32814EF6"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{"citationItems":[{"id":"ITEM-1","itemData":{"DOI":"10.1074/jbc.M113.482968","ISSN":"1083-351X (Electronic)","PMID":"23864658","abstract":"The proton-translocating NADH-quinone oxidoreductase (complex I/NDH-1) contains a peripheral and a membrane domain. Three antiporter-like subunits in the membrane domain, NuoL, NuoM, and NuoN (ND5, ND4 and ND2, respectively), are structurally similar. We analyzed the role of NuoN in Escherichia coli NDH-1. The lysine residue at position 395 in NuoN (NLys(395)) is conserved in NuoL (LLys(399)) but is replaced by glutamic acid (MGlu(407)) in NuoM. Our mutation study on NLys(395) suggests that this residue participates in the proton translocation. Furthermore, we found that MGlu(407) is also essential and most likely interacts with conserved LArg(175). Glutamic acids, NGlu(133), MGlu(144), and LGlu(144), are corresponding residues. Unlike mutants of MGlu(144) and LGlu(144), mutation of NGlu(133) scarcely affected the energy-transducing activities. However, a double mutant of NGlu(133) and nearby KGlu(72) showed significant inhibition of these activities. This suggests that NGlu(133) bears a functional role similar to LGlu(144) and MGlu(144) but its mutation can be partially compensated by the nearby carboxyl residue. Conserved prolines located at loops of discontinuous transmembrane helices of NuoL, NuoM, and NuoN were shown to play a similar role in the energy-transducing activity. It seems likely that NuoL, NuoM, and NuoN pump protons by a similar mechanism. Our data also revealed that NLys(158) is one of the key interaction points with helix HL in NuoL. A truncation study indicated that the C-terminal amphipathic segments of NTM14 interacts with the Mbeta sheet located on the opposite side of helix HL. Taken together, the mechanism of H(+) translocation in NDH-1 is discussed.","author":[{"dropping-particle":"","family":"Sato","given":"Motoaki","non-dropping-particle":"","parse-names":false,"suffix":""},{"dropping-particle":"","family":"Sinha","given":"Prem Kumar","non-dropping-particle":"","parse-names":false,"suffix":""},{"dropping-particle":"","family":"Torres-Bacete","given":"Jesus","non-dropping-particle":"","parse-names":false,"suffix":""},{"dropping-particle":"","family":"Matsuno-Yagi","given":"Akemi","non-dropping-particle":"","parse-names":false,"suffix":""},{"dropping-particle":"","family":"Yagi","given":"Takao","non-dropping-particle":"","parse-names":false,"suffix":""}],"container-title":"The Journal of biological chemistry","id":"ITEM-1","issue":"34","issued":{"date-parts":[["2013","8"]]},"language":"eng","page":"24705-24716","publisher-place":"United States","title":"Energy transducing roles of antiporter-like subunits in Escherichia coli NDH-1 with main focus on subunit NuoN (ND2).","type":"article-journal","volume":"288"},"uris":["http://www.mendeley.com/documents/?uuid=0db84ce5-f2b7-4f63-9ef8-4e12ef999eec"]}],"mendeley":{"formattedCitation":"(Sato &lt;i&gt;et al&lt;/i&gt;, 2013)","plainTextFormattedCitation":"(Sato et al, 2013)","previouslyFormattedCitation":"(Sato &lt;i&gt;et al&lt;/i&gt;, 2013)"},"properties":{"noteIndex":0},"schema":"https://github.com/citation-style-language/schema/raw/master/csl-citation.json"}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(Sato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2013)</w:t>
            </w:r>
            <w:r w:rsidRPr="00E97FC1">
              <w:rPr>
                <w:rFonts w:ascii="Helvetica" w:hAnsi="Helvetica" w:cs="Helvetica"/>
                <w:b/>
                <w:bCs/>
                <w:sz w:val="16"/>
                <w:szCs w:val="16"/>
                <w:lang w:val="en-GB"/>
              </w:rPr>
              <w:fldChar w:fldCharType="end"/>
            </w:r>
            <w:r w:rsidRPr="00E97FC1">
              <w:rPr>
                <w:rFonts w:ascii="Helvetica" w:hAnsi="Helvetica" w:cs="Helvetica"/>
                <w:b/>
                <w:bCs/>
                <w:sz w:val="16"/>
                <w:szCs w:val="16"/>
                <w:lang w:val="en-GB"/>
              </w:rPr>
              <w:t xml:space="preserve">, </w:t>
            </w:r>
            <w:r w:rsidRPr="00E97FC1">
              <w:rPr>
                <w:rFonts w:ascii="Helvetica" w:hAnsi="Helvetica" w:cs="Helvetica"/>
                <w:sz w:val="16"/>
                <w:szCs w:val="16"/>
                <w:lang w:val="en-GB"/>
              </w:rPr>
              <w:t>(EIPA insensitive)</w:t>
            </w:r>
          </w:p>
        </w:tc>
      </w:tr>
      <w:tr w:rsidR="002471A8" w:rsidRPr="00E97FC1" w14:paraId="78C11EC5" w14:textId="77777777" w:rsidTr="002471A8">
        <w:trPr>
          <w:trHeight w:val="65"/>
        </w:trPr>
        <w:tc>
          <w:tcPr>
            <w:tcW w:w="1075" w:type="dxa"/>
          </w:tcPr>
          <w:p w14:paraId="6A0CFB6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K229A</w:t>
            </w:r>
          </w:p>
        </w:tc>
        <w:tc>
          <w:tcPr>
            <w:tcW w:w="2790" w:type="dxa"/>
            <w:vMerge w:val="restart"/>
          </w:tcPr>
          <w:p w14:paraId="0F14D91D"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TM7, central axe</w:t>
            </w:r>
          </w:p>
        </w:tc>
        <w:tc>
          <w:tcPr>
            <w:tcW w:w="1440" w:type="dxa"/>
          </w:tcPr>
          <w:p w14:paraId="2DD9E057"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low</w:t>
            </w:r>
          </w:p>
        </w:tc>
        <w:tc>
          <w:tcPr>
            <w:tcW w:w="1170" w:type="dxa"/>
          </w:tcPr>
          <w:p w14:paraId="1A8022E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60%</w:t>
            </w:r>
          </w:p>
        </w:tc>
        <w:tc>
          <w:tcPr>
            <w:tcW w:w="1260" w:type="dxa"/>
          </w:tcPr>
          <w:p w14:paraId="40C8B637"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w:t>
            </w:r>
          </w:p>
        </w:tc>
        <w:tc>
          <w:tcPr>
            <w:tcW w:w="1080" w:type="dxa"/>
          </w:tcPr>
          <w:p w14:paraId="6F0326D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66F5A4D3" w14:textId="69819E6B"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{"citationItems":[{"id":"ITEM-1","itemData":{"DOI":"10.1074/jbc.M110.157826","ISSN":"1083-351X (Electronic)","PMID":"20826797","abstract":"Complex I pumps protons across the membrane by using downhill redox energy. Here, to  investigate the proton pumping mechanism by complex I, we focused on the largest transmembrane subunit NuoL (Escherichia coli ND5 homolog). NuoL/ND5 is believed to have H(+) translocation site(s), because of a high sequence similarity to multi-subunit Na(+)/H(+) antiporters. We mutated thirteen highly conserved residues between NuoL/ND5 and MrpA of Na(+)/H(+) antiporters in the chromosomal nuoL gene. The dNADH oxidase activities in mutant membranes were mostly at the control level or modestly reduced, except mutants of Glu-144, Lys-229, and Lys-399. In contrast, the peripheral dNADH-K(3)Fe(CN)(6) reductase activities basically remained unchanged in all the NuoL mutants, suggesting that the peripheral arm of complex I was not affected by point mutations in NuoL. The proton pumping efficiency (the ratio of H(+)/e(-)), however, was decreased in most NuoL mutants by 30-50%, while the IC(50) values for asimicin (a potent complex I inhibitor) remained unchanged. This suggests that the H(+)/e(-) stoichiometry has changed from 4H(+)/2e(-) to 3H(+) or 2H(+)/2e(-) without affecting the direct coupling site. Furthermore, 50 μm of 5-(N-ethyl-N-isopropyl)-amiloride (EIPA), a specific inhibitor for Na(+)/H(+) antiporters, caused a 38 ± 5% decrease in the initial H(+) pump activity in the wild type, while no change was observed in D178N, D303A, and D400A mutants where the H(+) pumping efficiency had already been significantly decreased. The electron transfer activities were basically unaffected by EIPA in both control and mutants. Taken together, our data strongly indicate that the NuoL subunit is involved in the indirect coupling mechanism.","author":[{"dropping-particle":"","family":"Nakamaru-Ogiso","given":"Eiko","non-dropping-particle":"","parse-names":false,"suffix":""},{"dropping-particle":"","family":"Kao","given":"Mou-Chieh","non-dropping-particle":"","parse-names":false,"suffix":""},{"dropping-particle":"","family":"Chen","given":"Han","non-dropping-particle":"","parse-names":false,"suffix":""},{"dropping-particle":"","family":"Sinha","given":"Subhash C","non-dropping-particle":"","parse-names":false,"suffix":""},{"dropping-particle":"","family":"Yagi","given":"Takao","non-dropping-particle":"","parse-names":false,"suffix":""},{"dropping-particle":"","family":"Ohnishi","given":"Tomoko","non-dropping-particle":"","parse-names":false,"suffix":""}],"container-title":"The Journal of biological chemistry","id":"ITEM-1","issue":"50","issued":{"date-parts":[["2010","12"]]},"language":"eng","page":"39070-39078","title":"The membrane subunit NuoL(ND5) is involved in the indirect proton pumping mechanism  of Escherichia coli complex I.","type":"article-journal","volume":"285"},"uris":["http://www.mendeley.com/documents/?uuid=02cbb064-fe61-4eb3-9c40-ad25376d574e"]}],"mendeley":{"formattedCitation":"(Nakamaru-Ogiso &lt;i&gt;et al&lt;/i&gt;, 2010)","plainTextFormattedCitation":"(Nakamaru-Ogiso et al, 2010)","previouslyFormattedCitation":"(Nakamaru-Ogiso &lt;i&gt;et al&lt;/i&gt;, 2010)"},"properties":{"noteIndex":0},"schema":"https://github.com/citation-style-language/schema/raw/master/csl-citation.json"}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(Nakamaru-Ogiso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2010)</w:t>
            </w:r>
            <w:r w:rsidRPr="00E97FC1">
              <w:rPr>
                <w:rFonts w:ascii="Helvetica" w:hAnsi="Helvetica" w:cs="Helvetica"/>
                <w:b/>
                <w:bCs/>
                <w:sz w:val="16"/>
                <w:szCs w:val="16"/>
                <w:lang w:val="en-GB"/>
              </w:rPr>
              <w:fldChar w:fldCharType="end"/>
            </w:r>
          </w:p>
        </w:tc>
      </w:tr>
      <w:tr w:rsidR="002471A8" w:rsidRPr="00E97FC1" w14:paraId="0A835685" w14:textId="77777777" w:rsidTr="002471A8">
        <w:trPr>
          <w:trHeight w:val="65"/>
        </w:trPr>
        <w:tc>
          <w:tcPr>
            <w:tcW w:w="1075" w:type="dxa"/>
          </w:tcPr>
          <w:p w14:paraId="23C66FE4"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K229R</w:t>
            </w:r>
          </w:p>
        </w:tc>
        <w:tc>
          <w:tcPr>
            <w:tcW w:w="2790" w:type="dxa"/>
            <w:vMerge/>
          </w:tcPr>
          <w:p w14:paraId="0EBF4F47" w14:textId="77777777" w:rsidR="002471A8" w:rsidRPr="00E97FC1" w:rsidRDefault="002471A8" w:rsidP="002471A8">
            <w:pPr>
              <w:rPr>
                <w:rFonts w:ascii="Helvetica" w:hAnsi="Helvetica" w:cs="Helvetica"/>
                <w:bCs/>
                <w:sz w:val="20"/>
                <w:lang w:val="en-GB"/>
              </w:rPr>
            </w:pPr>
          </w:p>
        </w:tc>
        <w:tc>
          <w:tcPr>
            <w:tcW w:w="1440" w:type="dxa"/>
          </w:tcPr>
          <w:p w14:paraId="5C511B47"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2E904D6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125%</w:t>
            </w:r>
          </w:p>
        </w:tc>
        <w:tc>
          <w:tcPr>
            <w:tcW w:w="1260" w:type="dxa"/>
          </w:tcPr>
          <w:p w14:paraId="70F5733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30%</w:t>
            </w:r>
          </w:p>
        </w:tc>
        <w:tc>
          <w:tcPr>
            <w:tcW w:w="1080" w:type="dxa"/>
          </w:tcPr>
          <w:p w14:paraId="135274FB"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5D5E6CDE" w14:textId="24E9C22A"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{"citationItems":[{"id":"ITEM-1","itemData":{"DOI":"10.1074/jbc.M110.157826","ISSN":"1083-351X (Electronic)","PMID":"20826797","abstract":"Complex I pumps protons across the membrane by using downhill redox energy. Here, to  investigate the proton pumping mechanism by complex I, we focused on the largest transmembrane subunit NuoL (Escherichia coli ND5 homolog). NuoL/ND5 is believed to have H(+) translocation site(s), because of a high sequence similarity to multi-subunit Na(+)/H(+) antiporters. We mutated thirteen highly conserved residues between NuoL/ND5 and MrpA of Na(+)/H(+) antiporters in the chromosomal nuoL gene. The dNADH oxidase activities in mutant membranes were mostly at the control level or modestly reduced, except mutants of Glu-144, Lys-229, and Lys-399. In contrast, the peripheral dNADH-K(3)Fe(CN)(6) reductase activities basically remained unchanged in all the NuoL mutants, suggesting that the peripheral arm of complex I was not affected by point mutations in NuoL. The proton pumping efficiency (the ratio of H(+)/e(-)), however, was decreased in most NuoL mutants by 30-50%, while the IC(50) values for asimicin (a potent complex I inhibitor) remained unchanged. This suggests that the H(+)/e(-) stoichiometry has changed from 4H(+)/2e(-) to 3H(+) or 2H(+)/2e(-) without affecting the direct coupling site. Furthermore, 50 μm of 5-(N-ethyl-N-isopropyl)-amiloride (EIPA), a specific inhibitor for Na(+)/H(+) antiporters, caused a 38 ± 5% decrease in the initial H(+) pump activity in the wild type, while no change was observed in D178N, D303A, and D400A mutants where the H(+) pumping efficiency had already been significantly decreased. The electron transfer activities were basically unaffected by EIPA in both control and mutants. Taken together, our data strongly indicate that the NuoL subunit is involved in the indirect coupling mechanism.","author":[{"dropping-particle":"","family":"Nakamaru-Ogiso","given":"Eiko","non-dropping-particle":"","parse-names":false,"suffix":""},{"dropping-particle":"","family":"Kao","given":"Mou-Chieh","non-dropping-particle":"","parse-names":false,"suffix":""},{"dropping-particle":"","family":"Chen","given":"Han","non-dropping-particle":"","parse-names":false,"suffix":""},{"dropping-particle":"","family":"Sinha","given":"Subhash C","non-dropping-particle":"","parse-names":false,"suffix":""},{"dropping-particle":"","family":"Yagi","given":"Takao","non-dropping-particle":"","parse-names":false,"suffix":""},{"dropping-particle":"","family":"Ohnishi","given":"Tomoko","non-dropping-particle":"","parse-names":false,"suffix":""}],"container-title":"The Journal of biological chemistry","id":"ITEM-1","issue":"50","issued":{"date-parts":[["2010","12"]]},"language":"eng","page":"39070-39078","title":"The membrane subunit NuoL(ND5) is involved in the indirect proton pumping mechanism  of Escherichia coli complex I.","type":"article-journal","volume":"285"},"uris":["http://www.mendeley.com/documents/?uuid=02cbb064-fe61-4eb3-9c40-ad25376d574e"]}],"mendeley":{"formattedCitation":"(Nakamaru-Ogiso &lt;i&gt;et al&lt;/i&gt;, 2010)","plainTextFormattedCitation":"(Nakamaru-Ogiso et al, 2010)","previouslyFormattedCitation":"(Nakamaru-Ogiso &lt;i&gt;et al&lt;/i&gt;, 2010)"},"properties":{"noteIndex":0},"schema":"https://github.com/citation-style-language/schema/raw/master/csl-citation.json"}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(Nakamaru-Ogiso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2010)</w:t>
            </w:r>
            <w:r w:rsidRPr="00E97FC1">
              <w:rPr>
                <w:rFonts w:ascii="Helvetica" w:hAnsi="Helvetica" w:cs="Helvetica"/>
                <w:b/>
                <w:bCs/>
                <w:sz w:val="16"/>
                <w:szCs w:val="16"/>
                <w:lang w:val="en-GB"/>
              </w:rPr>
              <w:fldChar w:fldCharType="end"/>
            </w:r>
          </w:p>
        </w:tc>
      </w:tr>
      <w:tr w:rsidR="002471A8" w:rsidRPr="00E97FC1" w14:paraId="61189C0C" w14:textId="77777777" w:rsidTr="002471A8">
        <w:trPr>
          <w:trHeight w:val="65"/>
        </w:trPr>
        <w:tc>
          <w:tcPr>
            <w:tcW w:w="1075" w:type="dxa"/>
          </w:tcPr>
          <w:p w14:paraId="6B9AE5E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K229E</w:t>
            </w:r>
          </w:p>
        </w:tc>
        <w:tc>
          <w:tcPr>
            <w:tcW w:w="2790" w:type="dxa"/>
            <w:vMerge/>
          </w:tcPr>
          <w:p w14:paraId="3073F5D1" w14:textId="77777777" w:rsidR="002471A8" w:rsidRPr="00E97FC1" w:rsidRDefault="002471A8" w:rsidP="002471A8">
            <w:pPr>
              <w:rPr>
                <w:rFonts w:ascii="Helvetica" w:hAnsi="Helvetica" w:cs="Helvetica"/>
                <w:bCs/>
                <w:sz w:val="20"/>
                <w:lang w:val="en-GB"/>
              </w:rPr>
            </w:pPr>
          </w:p>
        </w:tc>
        <w:tc>
          <w:tcPr>
            <w:tcW w:w="1440" w:type="dxa"/>
          </w:tcPr>
          <w:p w14:paraId="6BAA0D4B"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low</w:t>
            </w:r>
          </w:p>
        </w:tc>
        <w:tc>
          <w:tcPr>
            <w:tcW w:w="1170" w:type="dxa"/>
          </w:tcPr>
          <w:p w14:paraId="75CCE330"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100%</w:t>
            </w:r>
          </w:p>
        </w:tc>
        <w:tc>
          <w:tcPr>
            <w:tcW w:w="1260" w:type="dxa"/>
          </w:tcPr>
          <w:p w14:paraId="5034ACD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20%</w:t>
            </w:r>
          </w:p>
        </w:tc>
        <w:tc>
          <w:tcPr>
            <w:tcW w:w="1080" w:type="dxa"/>
          </w:tcPr>
          <w:p w14:paraId="0FD7661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55741363" w14:textId="4C3A45E5"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{"citationItems":[{"id":"ITEM-1","itemData":{"DOI":"10.1074/jbc.M110.157826","ISSN":"1083-351X (Electronic)","PMID":"20826797","abstract":"Complex I pumps protons across the membrane by using downhill redox energy. Here, to  investigate the proton pumping mechanism by complex I, we focused on the largest transmembrane subunit NuoL (Escherichia coli ND5 homolog). NuoL/ND5 is believed to have H(+) translocation site(s), because of a high sequence similarity to multi-subunit Na(+)/H(+) antiporters. We mutated thirteen highly conserved residues between NuoL/ND5 and MrpA of Na(+)/H(+) antiporters in the chromosomal nuoL gene. The dNADH oxidase activities in mutant membranes were mostly at the control level or modestly reduced, except mutants of Glu-144, Lys-229, and Lys-399. In contrast, the peripheral dNADH-K(3)Fe(CN)(6) reductase activities basically remained unchanged in all the NuoL mutants, suggesting that the peripheral arm of complex I was not affected by point mutations in NuoL. The proton pumping efficiency (the ratio of H(+)/e(-)), however, was decreased in most NuoL mutants by 30-50%, while the IC(50) values for asimicin (a potent complex I inhibitor) remained unchanged. This suggests that the H(+)/e(-) stoichiometry has changed from 4H(+)/2e(-) to 3H(+) or 2H(+)/2e(-) without affecting the direct coupling site. Furthermore, 50 μm of 5-(N-ethyl-N-isopropyl)-amiloride (EIPA), a specific inhibitor for Na(+)/H(+) antiporters, caused a 38 ± 5% decrease in the initial H(+) pump activity in the wild type, while no change was observed in D178N, D303A, and D400A mutants where the H(+) pumping efficiency had already been significantly decreased. The electron transfer activities were basically unaffected by EIPA in both control and mutants. Taken together, our data strongly indicate that the NuoL subunit is involved in the indirect coupling mechanism.","author":[{"dropping-particle":"","family":"Nakamaru-Ogiso","given":"Eiko","non-dropping-particle":"","parse-names":false,"suffix":""},{"dropping-particle":"","family":"Kao","given":"Mou-Chieh","non-dropping-particle":"","parse-names":false,"suffix":""},{"dropping-particle":"","family":"Chen","given":"Han","non-dropping-particle":"","parse-names":false,"suffix":""},{"dropping-particle":"","family":"Sinha","given":"Subhash C","non-dropping-particle":"","parse-names":false,"suffix":""},{"dropping-particle":"","family":"Yagi","given":"Takao","non-dropping-particle":"","parse-names":false,"suffix":""},{"dropping-particle":"","family":"Ohnishi","given":"Tomoko","non-dropping-particle":"","parse-names":false,"suffix":""}],"container-title":"The Journal of biological chemistry","id":"ITEM-1","issue":"50","issued":{"date-parts":[["2010","12"]]},"language":"eng","page":"39070-39078","title":"The membrane subunit NuoL(ND5) is involved in the indirect proton pumping mechanism  of Escherichia coli complex I.","type":"article-journal","volume":"285"},"uris":["http://www.mendeley.com/documents/?uuid=02cbb064-fe61-4eb3-9c40-ad25376d574e"]}],"mendeley":{"formattedCitation":"(Nakamaru-Ogiso &lt;i&gt;et al&lt;/i&gt;, 2010)","plainTextFormattedCitation":"(Nakamaru-Ogiso et al, 2010)","previouslyFormattedCitation":"(Nakamaru-Ogiso &lt;i&gt;et al&lt;/i&gt;, 2010)"},"properties":{"noteIndex":0},"schema":"https://github.com/citation-style-language/schema/raw/master/csl-citation.json"}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(Nakamaru-Ogiso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2010)</w:t>
            </w:r>
            <w:r w:rsidRPr="00E97FC1">
              <w:rPr>
                <w:rFonts w:ascii="Helvetica" w:hAnsi="Helvetica" w:cs="Helvetica"/>
                <w:b/>
                <w:bCs/>
                <w:sz w:val="16"/>
                <w:szCs w:val="16"/>
                <w:lang w:val="en-GB"/>
              </w:rPr>
              <w:fldChar w:fldCharType="end"/>
            </w:r>
          </w:p>
        </w:tc>
      </w:tr>
      <w:tr w:rsidR="002471A8" w:rsidRPr="00E97FC1" w14:paraId="46C441D4" w14:textId="77777777" w:rsidTr="002471A8">
        <w:trPr>
          <w:trHeight w:val="65"/>
        </w:trPr>
        <w:tc>
          <w:tcPr>
            <w:tcW w:w="1075" w:type="dxa"/>
          </w:tcPr>
          <w:p w14:paraId="0827657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P234A</w:t>
            </w:r>
          </w:p>
        </w:tc>
        <w:tc>
          <w:tcPr>
            <w:tcW w:w="2790" w:type="dxa"/>
          </w:tcPr>
          <w:p w14:paraId="6A6BFEF6"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Intermembrane surface</w:t>
            </w:r>
          </w:p>
        </w:tc>
        <w:tc>
          <w:tcPr>
            <w:tcW w:w="1440" w:type="dxa"/>
          </w:tcPr>
          <w:p w14:paraId="4C210BD1"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reduced</w:t>
            </w:r>
          </w:p>
        </w:tc>
        <w:tc>
          <w:tcPr>
            <w:tcW w:w="1170" w:type="dxa"/>
          </w:tcPr>
          <w:p w14:paraId="2ACF32B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85%</w:t>
            </w:r>
          </w:p>
        </w:tc>
        <w:tc>
          <w:tcPr>
            <w:tcW w:w="1260" w:type="dxa"/>
          </w:tcPr>
          <w:p w14:paraId="69D9252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67%</w:t>
            </w:r>
          </w:p>
        </w:tc>
        <w:tc>
          <w:tcPr>
            <w:tcW w:w="1080" w:type="dxa"/>
          </w:tcPr>
          <w:p w14:paraId="4A73AD2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reduced</w:t>
            </w:r>
          </w:p>
        </w:tc>
        <w:tc>
          <w:tcPr>
            <w:tcW w:w="1260" w:type="dxa"/>
          </w:tcPr>
          <w:p w14:paraId="52C766EC" w14:textId="0C9337FF"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{"citationItems":[{"id":"ITEM-1","itemData":{"DOI":"10.1074/jbc.M113.482968","ISSN":"1083-351X (Electronic)","PMID":"23864658","abstract":"The proton-translocating NADH-quinone oxidoreductase (complex I/NDH-1) contains a peripheral and a membrane domain. Three antiporter-like subunits in the membrane domain, NuoL, NuoM, and NuoN (ND5, ND4 and ND2, respectively), are structurally similar. We analyzed the role of NuoN in Escherichia coli NDH-1. The lysine residue at position 395 in NuoN (NLys(395)) is conserved in NuoL (LLys(399)) but is replaced by glutamic acid (MGlu(407)) in NuoM. Our mutation study on NLys(395) suggests that this residue participates in the proton translocation. Furthermore, we found that MGlu(407) is also essential and most likely interacts with conserved LArg(175). Glutamic acids, NGlu(133), MGlu(144), and LGlu(144), are corresponding residues. Unlike mutants of MGlu(144) and LGlu(144), mutation of NGlu(133) scarcely affected the energy-transducing activities. However, a double mutant of NGlu(133) and nearby KGlu(72) showed significant inhibition of these activities. This suggests that NGlu(133) bears a functional role similar to LGlu(144) and MGlu(144) but its mutation can be partially compensated by the nearby carboxyl residue. Conserved prolines located at loops of discontinuous transmembrane helices of NuoL, NuoM, and NuoN were shown to play a similar role in the energy-transducing activity. It seems likely that NuoL, NuoM, and NuoN pump protons by a similar mechanism. Our data also revealed that NLys(158) is one of the key interaction points with helix HL in NuoL. A truncation study indicated that the C-terminal amphipathic segments of NTM14 interacts with the Mbeta sheet located on the opposite side of helix HL. Taken together, the mechanism of H(+) translocation in NDH-1 is discussed.","author":[{"dropping-particle":"","family":"Sato","given":"Motoaki","non-dropping-particle":"","parse-names":false,"suffix":""},{"dropping-particle":"","family":"Sinha","given":"Prem Kumar","non-dropping-particle":"","parse-names":false,"suffix":""},{"dropping-particle":"","family":"Torres-Bacete","given":"Jesus","non-dropping-particle":"","parse-names":false,"suffix":""},{"dropping-particle":"","family":"Matsuno-Yagi","given":"Akemi","non-dropping-particle":"","parse-names":false,"suffix":""},{"dropping-particle":"","family":"Yagi","given":"Takao","non-dropping-particle":"","parse-names":false,"suffix":""}],"container-title":"The Journal of biological chemistry","id":"ITEM-1","issue":"34","issued":{"date-parts":[["2013","8"]]},"language":"eng","page":"24705-24716","publisher-place":"United States","title":"Energy transducing roles of antiporter-like subunits in Escherichia coli NDH-1 with main focus on subunit NuoN (ND2).","type":"article-journal","volume":"288"},"uris":["http://www.mendeley.com/documents/?uuid=0db84ce5-f2b7-4f63-9ef8-4e12ef999eec"]}],"mendeley":{"formattedCitation":"(Sato &lt;i&gt;et al&lt;/i&gt;, 2013)","plainTextFormattedCitation":"(Sato et al, 2013)","previouslyFormattedCitation":"(Sato &lt;i&gt;et al&lt;/i&gt;, 2013)"},"properties":{"noteIndex":0},"schema":"https://github.com/citation-style-language/schema/raw/master/csl-citation.json"}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(Sato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2013)</w:t>
            </w:r>
            <w:r w:rsidRPr="00E97FC1">
              <w:rPr>
                <w:rFonts w:ascii="Helvetica" w:hAnsi="Helvetica" w:cs="Helvetica"/>
                <w:b/>
                <w:bCs/>
                <w:sz w:val="16"/>
                <w:szCs w:val="16"/>
                <w:lang w:val="en-GB"/>
              </w:rPr>
              <w:fldChar w:fldCharType="end"/>
            </w:r>
          </w:p>
        </w:tc>
      </w:tr>
      <w:tr w:rsidR="002471A8" w:rsidRPr="00E97FC1" w14:paraId="25FB65FD" w14:textId="77777777" w:rsidTr="002471A8">
        <w:trPr>
          <w:trHeight w:val="65"/>
        </w:trPr>
        <w:tc>
          <w:tcPr>
            <w:tcW w:w="1075" w:type="dxa"/>
          </w:tcPr>
          <w:p w14:paraId="721E308A"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Q236H</w:t>
            </w:r>
          </w:p>
        </w:tc>
        <w:tc>
          <w:tcPr>
            <w:tcW w:w="2790" w:type="dxa"/>
            <w:vMerge w:val="restart"/>
          </w:tcPr>
          <w:p w14:paraId="0B3905C3" w14:textId="77777777" w:rsidR="002471A8" w:rsidRPr="00E97FC1" w:rsidRDefault="002471A8" w:rsidP="002471A8">
            <w:pPr>
              <w:rPr>
                <w:rFonts w:ascii="Helvetica" w:hAnsi="Helvetica" w:cs="Helvetica"/>
                <w:iCs/>
                <w:sz w:val="20"/>
                <w:lang w:val="en-GB"/>
              </w:rPr>
            </w:pPr>
          </w:p>
          <w:p w14:paraId="259EC569" w14:textId="77777777" w:rsidR="002471A8" w:rsidRPr="00E97FC1" w:rsidRDefault="002471A8" w:rsidP="002471A8">
            <w:pPr>
              <w:rPr>
                <w:rFonts w:ascii="Helvetica" w:hAnsi="Helvetica" w:cs="Helvetica"/>
                <w:iCs/>
                <w:sz w:val="20"/>
                <w:lang w:val="en-GB"/>
              </w:rPr>
            </w:pPr>
            <w:r w:rsidRPr="00E97FC1">
              <w:rPr>
                <w:rFonts w:ascii="Helvetica" w:hAnsi="Helvetica" w:cs="Helvetica"/>
                <w:iCs/>
                <w:sz w:val="20"/>
                <w:lang w:val="en-GB"/>
              </w:rPr>
              <w:t>TM7b – HL HB</w:t>
            </w:r>
          </w:p>
        </w:tc>
        <w:tc>
          <w:tcPr>
            <w:tcW w:w="1440" w:type="dxa"/>
          </w:tcPr>
          <w:p w14:paraId="57081021"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normal</w:t>
            </w:r>
          </w:p>
        </w:tc>
        <w:tc>
          <w:tcPr>
            <w:tcW w:w="1170" w:type="dxa"/>
          </w:tcPr>
          <w:p w14:paraId="6B5FAAA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108%</w:t>
            </w:r>
          </w:p>
        </w:tc>
        <w:tc>
          <w:tcPr>
            <w:tcW w:w="1260" w:type="dxa"/>
          </w:tcPr>
          <w:p w14:paraId="50230C15"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86%</w:t>
            </w:r>
          </w:p>
        </w:tc>
        <w:tc>
          <w:tcPr>
            <w:tcW w:w="1080" w:type="dxa"/>
          </w:tcPr>
          <w:p w14:paraId="6B9350AD"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NA</w:t>
            </w:r>
          </w:p>
        </w:tc>
        <w:tc>
          <w:tcPr>
            <w:tcW w:w="1260" w:type="dxa"/>
          </w:tcPr>
          <w:p w14:paraId="0D8AEEE4" w14:textId="7FCF9E69"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{"citationItems":[{"id":"ITEM-1","itemData":{"DOI":"10.1371/journal.pone.0017420","ISSN":"1932-6203 (Electronic)","PMID":"21387012","abstract":"BACKGROUND: The membrane arm of Complex I (NADH:ubiquinone oxidoreductase) contains  three large, and closely related subunits, which are called L, M, and N in E. coli. These subunits are homologous to components of multi-subunit Na(+)/H(+) antiporters, and so are implicated in proton translocation. METHODOLOGY/PRINCIPAL FINDINGS: Nineteen site-specific mutations were constructed at two corresponding positions in each of the three subunits. Two positions were selected in each subunit: L_K169, M_K173, N_K158 and L_Q236, M_H241, N_H224. Membrane vesicles were prepared from all of the resulting mutant strains, and were assayed for deamino-NADH oxidase activity, proton translocation, ferricyanide reductase activity, and sensitivity to capsaicin. Corresponding mutations in the three subunits were found to have very similar effects on all activities measured. In addition, the effect of adding exogenous decylubiquinone on these activities was tested. 50 µM decylubiquinone stimulated both deamino-NADH oxidase activity and proton translocation by wild type membrane vesicles, but was inhibitory towards the same activities by membrane vesicles bearing the lysine substitution at the L236/M241/N224 positions. CONCLUSIONS/SIGNIFICANCE: The results show a close correlation with reduced activity among the corresponding mutations, and provide evidence that the L, M, and N subunits have a common role in Complex I.","author":[{"dropping-particle":"","family":"Michel","given":"Jose","non-dropping-particle":"","parse-names":false,"suffix":""},{"dropping-particle":"","family":"DeLeon-Rangel","given":"Jessica","non-dropping-particle":"","parse-names":false,"suffix":""},{"dropping-particle":"","family":"Zhu","given":"Shaotong","non-dropping-particle":"","parse-names":false,"suffix":""},{"dropping-particle":"","family":"Ree","given":"Kalie","non-dropping-particle":"Van","parse-names":false,"suffix":""},{"dropping-particle":"","family":"Vik","given":"Steven B","non-dropping-particle":"","parse-names":false,"suffix":""}],"container-title":"PloS one","id":"ITEM-1","issue":"2","issued":{"date-parts":[["2011","2"]]},"language":"eng","page":"e17420","title":"Mutagenesis of the L, M, and N subunits of Complex I from Escherichia coli indicates  a common role in function.","type":"article-journal","volume":"6"},"uris":["http://www.mendeley.com/documents/?uuid=c0aa016f-3662-48d1-a31e-f06d6ca21965"]}],"mendeley":{"formattedCitation":"(Michel &lt;i&gt;et al&lt;/i&gt;, 2011)","plainTextFormattedCitation":"(Michel et al, 2011)","previouslyFormattedCitation":"(Michel &lt;i&gt;et al&lt;/i&gt;, 2011)"},"properties":{"noteIndex":0},"schema":"https://github.com/citation-style-language/schema/raw/master/csl-citation.json"}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(Michel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2011)</w:t>
            </w:r>
            <w:r w:rsidRPr="00E97FC1">
              <w:rPr>
                <w:rFonts w:ascii="Helvetica" w:hAnsi="Helvetica" w:cs="Helvetica"/>
                <w:b/>
                <w:bCs/>
                <w:sz w:val="16"/>
                <w:szCs w:val="16"/>
                <w:lang w:val="en-GB"/>
              </w:rPr>
              <w:fldChar w:fldCharType="end"/>
            </w:r>
          </w:p>
        </w:tc>
      </w:tr>
      <w:tr w:rsidR="002471A8" w:rsidRPr="00E97FC1" w14:paraId="170151A4" w14:textId="77777777" w:rsidTr="002471A8">
        <w:trPr>
          <w:trHeight w:val="65"/>
        </w:trPr>
        <w:tc>
          <w:tcPr>
            <w:tcW w:w="1075" w:type="dxa"/>
          </w:tcPr>
          <w:p w14:paraId="3884677D"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Q236K</w:t>
            </w:r>
          </w:p>
        </w:tc>
        <w:tc>
          <w:tcPr>
            <w:tcW w:w="2790" w:type="dxa"/>
            <w:vMerge/>
          </w:tcPr>
          <w:p w14:paraId="4A82F250" w14:textId="77777777" w:rsidR="002471A8" w:rsidRPr="00E97FC1" w:rsidRDefault="002471A8" w:rsidP="002471A8">
            <w:pPr>
              <w:rPr>
                <w:rFonts w:ascii="Helvetica" w:hAnsi="Helvetica" w:cs="Helvetica"/>
                <w:iCs/>
                <w:sz w:val="20"/>
                <w:lang w:val="en-GB"/>
              </w:rPr>
            </w:pPr>
          </w:p>
        </w:tc>
        <w:tc>
          <w:tcPr>
            <w:tcW w:w="1440" w:type="dxa"/>
          </w:tcPr>
          <w:p w14:paraId="1C96C0FB"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normal</w:t>
            </w:r>
          </w:p>
        </w:tc>
        <w:tc>
          <w:tcPr>
            <w:tcW w:w="1170" w:type="dxa"/>
          </w:tcPr>
          <w:p w14:paraId="5E760F7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99%</w:t>
            </w:r>
          </w:p>
        </w:tc>
        <w:tc>
          <w:tcPr>
            <w:tcW w:w="1260" w:type="dxa"/>
          </w:tcPr>
          <w:p w14:paraId="723BF722"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57%</w:t>
            </w:r>
          </w:p>
        </w:tc>
        <w:tc>
          <w:tcPr>
            <w:tcW w:w="1080" w:type="dxa"/>
          </w:tcPr>
          <w:p w14:paraId="0184C852"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bCs/>
                <w:sz w:val="20"/>
                <w:szCs w:val="20"/>
                <w:lang w:val="en-GB"/>
              </w:rPr>
              <w:t>low</w:t>
            </w:r>
          </w:p>
        </w:tc>
        <w:tc>
          <w:tcPr>
            <w:tcW w:w="1260" w:type="dxa"/>
          </w:tcPr>
          <w:p w14:paraId="5E0593BB" w14:textId="7563BAC9"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{"citationItems":[{"id":"ITEM-1","itemData":{"DOI":"10.1371/journal.pone.0017420","ISSN":"1932-6203 (Electronic)","PMID":"21387012","abstract":"BACKGROUND: The membrane arm of Complex I (NADH:ubiquinone oxidoreductase) contains  three large, and closely related subunits, which are called L, M, and N in E. coli. These subunits are homologous to components of multi-subunit Na(+)/H(+) antiporters, and so are implicated in proton translocation. METHODOLOGY/PRINCIPAL FINDINGS: Nineteen site-specific mutations were constructed at two corresponding positions in each of the three subunits. Two positions were selected in each subunit: L_K169, M_K173, N_K158 and L_Q236, M_H241, N_H224. Membrane vesicles were prepared from all of the resulting mutant strains, and were assayed for deamino-NADH oxidase activity, proton translocation, ferricyanide reductase activity, and sensitivity to capsaicin. Corresponding mutations in the three subunits were found to have very similar effects on all activities measured. In addition, the effect of adding exogenous decylubiquinone on these activities was tested. 50 µM decylubiquinone stimulated both deamino-NADH oxidase activity and proton translocation by wild type membrane vesicles, but was inhibitory towards the same activities by membrane vesicles bearing the lysine substitution at the L236/M241/N224 positions. CONCLUSIONS/SIGNIFICANCE: The results show a close correlation with reduced activity among the corresponding mutations, and provide evidence that the L, M, and N subunits have a common role in Complex I.","author":[{"dropping-particle":"","family":"Michel","given":"Jose","non-dropping-particle":"","parse-names":false,"suffix":""},{"dropping-particle":"","family":"DeLeon-Rangel","given":"Jessica","non-dropping-particle":"","parse-names":false,"suffix":""},{"dropping-particle":"","family":"Zhu","given":"Shaotong","non-dropping-particle":"","parse-names":false,"suffix":""},{"dropping-particle":"","family":"Ree","given":"Kalie","non-dropping-particle":"Van","parse-names":false,"suffix":""},{"dropping-particle":"","family":"Vik","given":"Steven B","non-dropping-particle":"","parse-names":false,"suffix":""}],"container-title":"PloS one","id":"ITEM-1","issue":"2","issued":{"date-parts":[["2011","2"]]},"language":"eng","page":"e17420","title":"Mutagenesis of the L, M, and N subunits of Complex I from Escherichia coli indicates  a common role in function.","type":"article-journal","volume":"6"},"uris":["http://www.mendeley.com/documents/?uuid=c0aa016f-3662-48d1-a31e-f06d6ca21965"]}],"mendeley":{"formattedCitation":"(Michel &lt;i&gt;et al&lt;/i&gt;, 2011)","plainTextFormattedCitation":"(Michel et al, 2011)","previouslyFormattedCitation":"(Michel &lt;i&gt;et al&lt;/i&gt;, 2011)"},"properties":{"noteIndex":0},"schema":"https://github.com/citation-style-language/schema/raw/master/csl-citation.json"}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(Michel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2011)</w:t>
            </w:r>
            <w:r w:rsidRPr="00E97FC1">
              <w:rPr>
                <w:rFonts w:ascii="Helvetica" w:hAnsi="Helvetica" w:cs="Helvetica"/>
                <w:b/>
                <w:bCs/>
                <w:sz w:val="16"/>
                <w:szCs w:val="16"/>
                <w:lang w:val="en-GB"/>
              </w:rPr>
              <w:fldChar w:fldCharType="end"/>
            </w:r>
          </w:p>
        </w:tc>
      </w:tr>
      <w:tr w:rsidR="002471A8" w:rsidRPr="00E97FC1" w14:paraId="21333B43" w14:textId="77777777" w:rsidTr="002471A8">
        <w:trPr>
          <w:trHeight w:val="65"/>
        </w:trPr>
        <w:tc>
          <w:tcPr>
            <w:tcW w:w="1075" w:type="dxa"/>
          </w:tcPr>
          <w:p w14:paraId="28A5C451"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Q236C</w:t>
            </w:r>
          </w:p>
        </w:tc>
        <w:tc>
          <w:tcPr>
            <w:tcW w:w="2790" w:type="dxa"/>
            <w:vMerge/>
          </w:tcPr>
          <w:p w14:paraId="7A6912B1" w14:textId="77777777" w:rsidR="002471A8" w:rsidRPr="00E97FC1" w:rsidRDefault="002471A8" w:rsidP="002471A8">
            <w:pPr>
              <w:rPr>
                <w:rFonts w:ascii="Helvetica" w:hAnsi="Helvetica" w:cs="Helvetica"/>
                <w:iCs/>
                <w:sz w:val="20"/>
                <w:lang w:val="en-GB"/>
              </w:rPr>
            </w:pPr>
          </w:p>
        </w:tc>
        <w:tc>
          <w:tcPr>
            <w:tcW w:w="1440" w:type="dxa"/>
          </w:tcPr>
          <w:p w14:paraId="2BFF0424"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normal</w:t>
            </w:r>
          </w:p>
        </w:tc>
        <w:tc>
          <w:tcPr>
            <w:tcW w:w="1170" w:type="dxa"/>
          </w:tcPr>
          <w:p w14:paraId="714EAC0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106%</w:t>
            </w:r>
          </w:p>
        </w:tc>
        <w:tc>
          <w:tcPr>
            <w:tcW w:w="1260" w:type="dxa"/>
          </w:tcPr>
          <w:p w14:paraId="722A3EF0"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86%</w:t>
            </w:r>
          </w:p>
        </w:tc>
        <w:tc>
          <w:tcPr>
            <w:tcW w:w="1080" w:type="dxa"/>
          </w:tcPr>
          <w:p w14:paraId="59BD7898"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NA</w:t>
            </w:r>
          </w:p>
        </w:tc>
        <w:tc>
          <w:tcPr>
            <w:tcW w:w="1260" w:type="dxa"/>
          </w:tcPr>
          <w:p w14:paraId="54C83F5A" w14:textId="0683EF96"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{"citationItems":[{"id":"ITEM-1","itemData":{"DOI":"10.1371/journal.pone.0017420","ISSN":"1932-6203 (Electronic)","PMID":"21387012","abstract":"BACKGROUND: The membrane arm of Complex I (NADH:ubiquinone oxidoreductase) contains  three large, and closely related subunits, which are called L, M, and N in E. coli. These subunits are homologous to components of multi-subunit Na(+)/H(+) antiporters, and so are implicated in proton translocation. METHODOLOGY/PRINCIPAL FINDINGS: Nineteen site-specific mutations were constructed at two corresponding positions in each of the three subunits. Two positions were selected in each subunit: L_K169, M_K173, N_K158 and L_Q236, M_H241, N_H224. Membrane vesicles were prepared from all of the resulting mutant strains, and were assayed for deamino-NADH oxidase activity, proton translocation, ferricyanide reductase activity, and sensitivity to capsaicin. Corresponding mutations in the three subunits were found to have very similar effects on all activities measured. In addition, the effect of adding exogenous decylubiquinone on these activities was tested. 50 µM decylubiquinone stimulated both deamino-NADH oxidase activity and proton translocation by wild type membrane vesicles, but was inhibitory towards the same activities by membrane vesicles bearing the lysine substitution at the L236/M241/N224 positions. CONCLUSIONS/SIGNIFICANCE: The results show a close correlation with reduced activity among the corresponding mutations, and provide evidence that the L, M, and N subunits have a common role in Complex I.","author":[{"dropping-particle":"","family":"Michel","given":"Jose","non-dropping-particle":"","parse-names":false,"suffix":""},{"dropping-particle":"","family":"DeLeon-Rangel","given":"Jessica","non-dropping-particle":"","parse-names":false,"suffix":""},{"dropping-particle":"","family":"Zhu","given":"Shaotong","non-dropping-particle":"","parse-names":false,"suffix":""},{"dropping-particle":"","family":"Ree","given":"Kalie","non-dropping-particle":"Van","parse-names":false,"suffix":""},{"dropping-particle":"","family":"Vik","given":"Steven B","non-dropping-particle":"","parse-names":false,"suffix":""}],"container-title":"PloS one","id":"ITEM-1","issue":"2","issued":{"date-parts":[["2011","2"]]},"language":"eng","page":"e17420","title":"Mutagenesis of the L, M, and N subunits of Complex I from Escherichia coli indicates  a common role in function.","type":"article-journal","volume":"6"},"uris":["http://www.mendeley.com/documents/?uuid=c0aa016f-3662-48d1-a31e-f06d6ca21965"]}],"mendeley":{"formattedCitation":"(Michel &lt;i&gt;et al&lt;/i&gt;, 2011)","plainTextFormattedCitation":"(Michel et al, 2011)","previouslyFormattedCitation":"(Michel &lt;i&gt;et al&lt;/i&gt;, 2011)"},"properties":{"noteIndex":0},"schema":"https://github.com/citation-style-language/schema/raw/master/csl-citation.json"}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(Michel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2011)</w:t>
            </w:r>
            <w:r w:rsidRPr="00E97FC1">
              <w:rPr>
                <w:rFonts w:ascii="Helvetica" w:hAnsi="Helvetica" w:cs="Helvetica"/>
                <w:b/>
                <w:bCs/>
                <w:sz w:val="16"/>
                <w:szCs w:val="16"/>
                <w:lang w:val="en-GB"/>
              </w:rPr>
              <w:fldChar w:fldCharType="end"/>
            </w:r>
          </w:p>
        </w:tc>
      </w:tr>
      <w:tr w:rsidR="002471A8" w:rsidRPr="00E97FC1" w14:paraId="4FC730EF" w14:textId="77777777" w:rsidTr="002471A8">
        <w:trPr>
          <w:trHeight w:val="65"/>
        </w:trPr>
        <w:tc>
          <w:tcPr>
            <w:tcW w:w="1075" w:type="dxa"/>
          </w:tcPr>
          <w:p w14:paraId="45752B78"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Q236E</w:t>
            </w:r>
          </w:p>
        </w:tc>
        <w:tc>
          <w:tcPr>
            <w:tcW w:w="2790" w:type="dxa"/>
            <w:vMerge/>
          </w:tcPr>
          <w:p w14:paraId="3B1161ED" w14:textId="77777777" w:rsidR="002471A8" w:rsidRPr="00E97FC1" w:rsidRDefault="002471A8" w:rsidP="002471A8">
            <w:pPr>
              <w:rPr>
                <w:rFonts w:ascii="Helvetica" w:hAnsi="Helvetica" w:cs="Helvetica"/>
                <w:iCs/>
                <w:sz w:val="20"/>
                <w:lang w:val="en-GB"/>
              </w:rPr>
            </w:pPr>
          </w:p>
        </w:tc>
        <w:tc>
          <w:tcPr>
            <w:tcW w:w="1440" w:type="dxa"/>
          </w:tcPr>
          <w:p w14:paraId="24E697F1"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normal</w:t>
            </w:r>
          </w:p>
        </w:tc>
        <w:tc>
          <w:tcPr>
            <w:tcW w:w="1170" w:type="dxa"/>
          </w:tcPr>
          <w:p w14:paraId="3D5FC00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117%</w:t>
            </w:r>
          </w:p>
        </w:tc>
        <w:tc>
          <w:tcPr>
            <w:tcW w:w="1260" w:type="dxa"/>
          </w:tcPr>
          <w:p w14:paraId="1D56D7B0"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84%</w:t>
            </w:r>
          </w:p>
        </w:tc>
        <w:tc>
          <w:tcPr>
            <w:tcW w:w="1080" w:type="dxa"/>
          </w:tcPr>
          <w:p w14:paraId="279D3A2E"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NA</w:t>
            </w:r>
          </w:p>
        </w:tc>
        <w:tc>
          <w:tcPr>
            <w:tcW w:w="1260" w:type="dxa"/>
          </w:tcPr>
          <w:p w14:paraId="55CDB5E0" w14:textId="4A368C1E"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{"citationItems":[{"id":"ITEM-1","itemData":{"DOI":"10.1371/journal.pone.0017420","ISSN":"1932-6203 (Electronic)","PMID":"21387012","abstract":"BACKGROUND: The membrane arm of Complex I (NADH:ubiquinone oxidoreductase) contains  three large, and closely related subunits, which are called L, M, and N in E. coli. These subunits are homologous to components of multi-subunit Na(+)/H(+) antiporters, and so are implicated in proton translocation. METHODOLOGY/PRINCIPAL FINDINGS: Nineteen site-specific mutations were constructed at two corresponding positions in each of the three subunits. Two positions were selected in each subunit: L_K169, M_K173, N_K158 and L_Q236, M_H241, N_H224. Membrane vesicles were prepared from all of the resulting mutant strains, and were assayed for deamino-NADH oxidase activity, proton translocation, ferricyanide reductase activity, and sensitivity to capsaicin. Corresponding mutations in the three subunits were found to have very similar effects on all activities measured. In addition, the effect of adding exogenous decylubiquinone on these activities was tested. 50 µM decylubiquinone stimulated both deamino-NADH oxidase activity and proton translocation by wild type membrane vesicles, but was inhibitory towards the same activities by membrane vesicles bearing the lysine substitution at the L236/M241/N224 positions. CONCLUSIONS/SIGNIFICANCE: The results show a close correlation with reduced activity among the corresponding mutations, and provide evidence that the L, M, and N subunits have a common role in Complex I.","author":[{"dropping-particle":"","family":"Michel","given":"Jose","non-dropping-particle":"","parse-names":false,"suffix":""},{"dropping-particle":"","family":"DeLeon-Rangel","given":"Jessica","non-dropping-particle":"","parse-names":false,"suffix":""},{"dropping-particle":"","family":"Zhu","given":"Shaotong","non-dropping-particle":"","parse-names":false,"suffix":""},{"dropping-particle":"","family":"Ree","given":"Kalie","non-dropping-particle":"Van","parse-names":false,"suffix":""},{"dropping-particle":"","family":"Vik","given":"Steven B","non-dropping-particle":"","parse-names":false,"suffix":""}],"container-title":"PloS one","id":"ITEM-1","issue":"2","issued":{"date-parts":[["2011","2"]]},"language":"eng","page":"e17420","title":"Mutagenesis of the L, M, and N subunits of Complex I from Escherichia coli indicates  a common role in function.","type":"article-journal","volume":"6"},"uris":["http://www.mendeley.com/documents/?uuid=c0aa016f-3662-48d1-a31e-f06d6ca21965"]}],"mendeley":{"formattedCitation":"(Michel &lt;i&gt;et al&lt;/i&gt;, 2011)","plainTextFormattedCitation":"(Michel et al, 2011)","previouslyFormattedCitation":"(Michel &lt;i&gt;et al&lt;/i&gt;, 2011)"},"properties":{"noteIndex":0},"schema":"https://github.com/citation-style-language/schema/raw/master/csl-citation.json"}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(Michel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2011)</w:t>
            </w:r>
            <w:r w:rsidRPr="00E97FC1">
              <w:rPr>
                <w:rFonts w:ascii="Helvetica" w:hAnsi="Helvetica" w:cs="Helvetica"/>
                <w:b/>
                <w:bCs/>
                <w:sz w:val="16"/>
                <w:szCs w:val="16"/>
                <w:lang w:val="en-GB"/>
              </w:rPr>
              <w:fldChar w:fldCharType="end"/>
            </w:r>
          </w:p>
        </w:tc>
      </w:tr>
      <w:tr w:rsidR="002471A8" w:rsidRPr="00E97FC1" w14:paraId="2E978847" w14:textId="77777777" w:rsidTr="002471A8">
        <w:trPr>
          <w:trHeight w:val="65"/>
        </w:trPr>
        <w:tc>
          <w:tcPr>
            <w:tcW w:w="1075" w:type="dxa"/>
          </w:tcPr>
          <w:p w14:paraId="27AD238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W238A</w:t>
            </w:r>
          </w:p>
        </w:tc>
        <w:tc>
          <w:tcPr>
            <w:tcW w:w="2790" w:type="dxa"/>
            <w:vMerge w:val="restart"/>
          </w:tcPr>
          <w:p w14:paraId="3837EE2C"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TM7b - TM7a HB</w:t>
            </w:r>
          </w:p>
        </w:tc>
        <w:tc>
          <w:tcPr>
            <w:tcW w:w="1440" w:type="dxa"/>
          </w:tcPr>
          <w:p w14:paraId="54B8CD7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50AE88D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130%</w:t>
            </w:r>
          </w:p>
        </w:tc>
        <w:tc>
          <w:tcPr>
            <w:tcW w:w="1260" w:type="dxa"/>
          </w:tcPr>
          <w:p w14:paraId="52C4BF07"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80%</w:t>
            </w:r>
          </w:p>
        </w:tc>
        <w:tc>
          <w:tcPr>
            <w:tcW w:w="1080" w:type="dxa"/>
          </w:tcPr>
          <w:p w14:paraId="60E1535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3F475513" w14:textId="29362561"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{"citationItems":[{"id":"ITEM-1","itemData":{"DOI":"10.1074/jbc.M110.157826","ISSN":"1083-351X (Electronic)","PMID":"20826797","abstract":"Complex I pumps protons across the membrane by using downhill redox energy. Here, to  investigate the proton pumping mechanism by complex I, we focused on the largest transmembrane subunit NuoL (Escherichia coli ND5 homolog). NuoL/ND5 is believed to have H(+) translocation site(s), because of a high sequence similarity to multi-subunit Na(+)/H(+) antiporters. We mutated thirteen highly conserved residues between NuoL/ND5 and MrpA of Na(+)/H(+) antiporters in the chromosomal nuoL gene. The dNADH oxidase activities in mutant membranes were mostly at the control level or modestly reduced, except mutants of Glu-144, Lys-229, and Lys-399. In contrast, the peripheral dNADH-K(3)Fe(CN)(6) reductase activities basically remained unchanged in all the NuoL mutants, suggesting that the peripheral arm of complex I was not affected by point mutations in NuoL. The proton pumping efficiency (the ratio of H(+)/e(-)), however, was decreased in most NuoL mutants by 30-50%, while the IC(50) values for asimicin (a potent complex I inhibitor) remained unchanged. This suggests that the H(+)/e(-) stoichiometry has changed from 4H(+)/2e(-) to 3H(+) or 2H(+)/2e(-) without affecting the direct coupling site. Furthermore, 50 μm of 5-(N-ethyl-N-isopropyl)-amiloride (EIPA), a specific inhibitor for Na(+)/H(+) antiporters, caused a 38 ± 5% decrease in the initial H(+) pump activity in the wild type, while no change was observed in D178N, D303A, and D400A mutants where the H(+) pumping efficiency had already been significantly decreased. The electron transfer activities were basically unaffected by EIPA in both control and mutants. Taken together, our data strongly indicate that the NuoL subunit is involved in the indirect coupling mechanism.","author":[{"dropping-particle":"","family":"Nakamaru-Ogiso","given":"Eiko","non-dropping-particle":"","parse-names":false,"suffix":""},{"dropping-particle":"","family":"Kao","given":"Mou-Chieh","non-dropping-particle":"","parse-names":false,"suffix":""},{"dropping-particle":"","family":"Chen","given":"Han","non-dropping-particle":"","parse-names":false,"suffix":""},{"dropping-particle":"","family":"Sinha","given":"Subhash C","non-dropping-particle":"","parse-names":false,"suffix":""},{"dropping-particle":"","family":"Yagi","given":"Takao","non-dropping-particle":"","parse-names":false,"suffix":""},{"dropping-particle":"","family":"Ohnishi","given":"Tomoko","non-dropping-particle":"","parse-names":false,"suffix":""}],"container-title":"The Journal of biological chemistry","id":"ITEM-1","issue":"50","issued":{"date-parts":[["2010","12"]]},"language":"eng","page":"39070-39078","title":"The membrane subunit NuoL(ND5) is involved in the indirect proton pumping mechanism  of Escherichia coli complex I.","type":"article-journal","volume":"285"},"uris":["http://www.mendeley.com/documents/?uuid=02cbb064-fe61-4eb3-9c40-ad25376d574e"]}],"mendeley":{"formattedCitation":"(Nakamaru-Ogiso &lt;i&gt;et al&lt;/i&gt;, 2010)","plainTextFormattedCitation":"(Nakamaru-Ogiso et al, 2010)","previouslyFormattedCitation":"(Nakamaru-Ogiso &lt;i&gt;et al&lt;/i&gt;, 2010)"},"properties":{"noteIndex":0},"schema":"https://github.com/citation-style-language/schema/raw/master/csl-citation.json"}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(Nakamaru-Ogiso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2010)</w:t>
            </w:r>
            <w:r w:rsidRPr="00E97FC1">
              <w:rPr>
                <w:rFonts w:ascii="Helvetica" w:hAnsi="Helvetica" w:cs="Helvetica"/>
                <w:b/>
                <w:bCs/>
                <w:sz w:val="16"/>
                <w:szCs w:val="16"/>
                <w:lang w:val="en-GB"/>
              </w:rPr>
              <w:fldChar w:fldCharType="end"/>
            </w:r>
          </w:p>
        </w:tc>
      </w:tr>
      <w:tr w:rsidR="002471A8" w:rsidRPr="00E97FC1" w14:paraId="6F8FA7EC" w14:textId="77777777" w:rsidTr="002471A8">
        <w:trPr>
          <w:trHeight w:val="65"/>
        </w:trPr>
        <w:tc>
          <w:tcPr>
            <w:tcW w:w="1075" w:type="dxa"/>
          </w:tcPr>
          <w:p w14:paraId="0653E57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W238Y</w:t>
            </w:r>
          </w:p>
        </w:tc>
        <w:tc>
          <w:tcPr>
            <w:tcW w:w="2790" w:type="dxa"/>
            <w:vMerge/>
          </w:tcPr>
          <w:p w14:paraId="5B9789C8" w14:textId="77777777" w:rsidR="002471A8" w:rsidRPr="00E97FC1" w:rsidRDefault="002471A8" w:rsidP="002471A8">
            <w:pPr>
              <w:rPr>
                <w:rFonts w:ascii="Helvetica" w:hAnsi="Helvetica" w:cs="Helvetica"/>
                <w:bCs/>
                <w:sz w:val="20"/>
                <w:lang w:val="en-GB"/>
              </w:rPr>
            </w:pPr>
          </w:p>
        </w:tc>
        <w:tc>
          <w:tcPr>
            <w:tcW w:w="1440" w:type="dxa"/>
          </w:tcPr>
          <w:p w14:paraId="5F8D9F4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low</w:t>
            </w:r>
          </w:p>
        </w:tc>
        <w:tc>
          <w:tcPr>
            <w:tcW w:w="1170" w:type="dxa"/>
          </w:tcPr>
          <w:p w14:paraId="5724A75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100%</w:t>
            </w:r>
          </w:p>
        </w:tc>
        <w:tc>
          <w:tcPr>
            <w:tcW w:w="1260" w:type="dxa"/>
          </w:tcPr>
          <w:p w14:paraId="3435473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50%</w:t>
            </w:r>
          </w:p>
        </w:tc>
        <w:tc>
          <w:tcPr>
            <w:tcW w:w="1080" w:type="dxa"/>
          </w:tcPr>
          <w:p w14:paraId="7AF9FE2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639894C1" w14:textId="3219FCE6"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{"citationItems":[{"id":"ITEM-1","itemData":{"DOI":"10.1074/jbc.M110.157826","ISSN":"1083-351X (Electronic)","PMID":"20826797","abstract":"Complex I pumps protons across the membrane by using downhill redox energy. Here, to  investigate the proton pumping mechanism by complex I, we focused on the largest transmembrane subunit NuoL (Escherichia coli ND5 homolog). NuoL/ND5 is believed to have H(+) translocation site(s), because of a high sequence similarity to multi-subunit Na(+)/H(+) antiporters. We mutated thirteen highly conserved residues between NuoL/ND5 and MrpA of Na(+)/H(+) antiporters in the chromosomal nuoL gene. The dNADH oxidase activities in mutant membranes were mostly at the control level or modestly reduced, except mutants of Glu-144, Lys-229, and Lys-399. In contrast, the peripheral dNADH-K(3)Fe(CN)(6) reductase activities basically remained unchanged in all the NuoL mutants, suggesting that the peripheral arm of complex I was not affected by point mutations in NuoL. The proton pumping efficiency (the ratio of H(+)/e(-)), however, was decreased in most NuoL mutants by 30-50%, while the IC(50) values for asimicin (a potent complex I inhibitor) remained unchanged. This suggests that the H(+)/e(-) stoichiometry has changed from 4H(+)/2e(-) to 3H(+) or 2H(+)/2e(-) without affecting the direct coupling site. Furthermore, 50 μm of 5-(N-ethyl-N-isopropyl)-amiloride (EIPA), a specific inhibitor for Na(+)/H(+) antiporters, caused a 38 ± 5% decrease in the initial H(+) pump activity in the wild type, while no change was observed in D178N, D303A, and D400A mutants where the H(+) pumping efficiency had already been significantly decreased. The electron transfer activities were basically unaffected by EIPA in both control and mutants. Taken together, our data strongly indicate that the NuoL subunit is involved in the indirect coupling mechanism.","author":[{"dropping-particle":"","family":"Nakamaru-Ogiso","given":"Eiko","non-dropping-particle":"","parse-names":false,"suffix":""},{"dropping-particle":"","family":"Kao","given":"Mou-Chieh","non-dropping-particle":"","parse-names":false,"suffix":""},{"dropping-particle":"","family":"Chen","given":"Han","non-dropping-particle":"","parse-names":false,"suffix":""},{"dropping-particle":"","family":"Sinha","given":"Subhash C","non-dropping-particle":"","parse-names":false,"suffix":""},{"dropping-particle":"","family":"Yagi","given":"Takao","non-dropping-particle":"","parse-names":false,"suffix":""},{"dropping-particle":"","family":"Ohnishi","given":"Tomoko","non-dropping-particle":"","parse-names":false,"suffix":""}],"container-title":"The Journal of biological chemistry","id":"ITEM-1","issue":"50","issued":{"date-parts":[["2010","12"]]},"language":"eng","page":"39070-39078","title":"The membrane subunit NuoL(ND5) is involved in the indirect proton pumping mechanism  of Escherichia coli complex I.","type":"article-journal","volume":"285"},"uris":["http://www.mendeley.com/documents/?uuid=02cbb064-fe61-4eb3-9c40-ad25376d574e"]}],"mendeley":{"formattedCitation":"(Nakamaru-Ogiso &lt;i&gt;et al&lt;/i&gt;, 2010)","plainTextFormattedCitation":"(Nakamaru-Ogiso et al, 2010)","previouslyFormattedCitation":"(Nakamaru-Ogiso &lt;i&gt;et al&lt;/i&gt;, 2010)"},"properties":{"noteIndex":0},"schema":"https://github.com/citation-style-language/schema/raw/master/csl-citation.json"}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(Nakamaru-Ogiso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2010)</w:t>
            </w:r>
            <w:r w:rsidRPr="00E97FC1">
              <w:rPr>
                <w:rFonts w:ascii="Helvetica" w:hAnsi="Helvetica" w:cs="Helvetica"/>
                <w:b/>
                <w:bCs/>
                <w:sz w:val="16"/>
                <w:szCs w:val="16"/>
                <w:lang w:val="en-GB"/>
              </w:rPr>
              <w:fldChar w:fldCharType="end"/>
            </w:r>
          </w:p>
        </w:tc>
      </w:tr>
      <w:tr w:rsidR="002471A8" w:rsidRPr="00E97FC1" w14:paraId="0BD9D9A2" w14:textId="77777777" w:rsidTr="002471A8">
        <w:trPr>
          <w:trHeight w:val="65"/>
        </w:trPr>
        <w:tc>
          <w:tcPr>
            <w:tcW w:w="1075" w:type="dxa"/>
          </w:tcPr>
          <w:p w14:paraId="7529F394"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W238C</w:t>
            </w:r>
          </w:p>
        </w:tc>
        <w:tc>
          <w:tcPr>
            <w:tcW w:w="2790" w:type="dxa"/>
            <w:vMerge/>
          </w:tcPr>
          <w:p w14:paraId="657275DD" w14:textId="77777777" w:rsidR="002471A8" w:rsidRPr="00E97FC1" w:rsidRDefault="002471A8" w:rsidP="002471A8">
            <w:pPr>
              <w:rPr>
                <w:rFonts w:ascii="Helvetica" w:hAnsi="Helvetica" w:cs="Helvetica"/>
                <w:bCs/>
                <w:sz w:val="20"/>
                <w:lang w:val="en-GB"/>
              </w:rPr>
            </w:pPr>
          </w:p>
        </w:tc>
        <w:tc>
          <w:tcPr>
            <w:tcW w:w="1440" w:type="dxa"/>
          </w:tcPr>
          <w:p w14:paraId="73209E4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low</w:t>
            </w:r>
          </w:p>
        </w:tc>
        <w:tc>
          <w:tcPr>
            <w:tcW w:w="1170" w:type="dxa"/>
          </w:tcPr>
          <w:p w14:paraId="45655227"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90%</w:t>
            </w:r>
          </w:p>
        </w:tc>
        <w:tc>
          <w:tcPr>
            <w:tcW w:w="1260" w:type="dxa"/>
          </w:tcPr>
          <w:p w14:paraId="5B0D70EB"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30%</w:t>
            </w:r>
          </w:p>
        </w:tc>
        <w:tc>
          <w:tcPr>
            <w:tcW w:w="1080" w:type="dxa"/>
          </w:tcPr>
          <w:p w14:paraId="2DB1BD8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16C12CA1" w14:textId="0078F975"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{"citationItems":[{"id":"ITEM-1","itemData":{"DOI":"10.1074/jbc.M110.157826","ISSN":"1083-351X (Electronic)","PMID":"20826797","abstract":"Complex I pumps protons across the membrane by using downhill redox energy. Here, to  investigate the proton pumping mechanism by complex I, we focused on the largest transmembrane subunit NuoL (Escherichia coli ND5 homolog). NuoL/ND5 is believed to have H(+) translocation site(s), because of a high sequence similarity to multi-subunit Na(+)/H(+) antiporters. We mutated thirteen highly conserved residues between NuoL/ND5 and MrpA of Na(+)/H(+) antiporters in the chromosomal nuoL gene. The dNADH oxidase activities in mutant membranes were mostly at the control level or modestly reduced, except mutants of Glu-144, Lys-229, and Lys-399. In contrast, the peripheral dNADH-K(3)Fe(CN)(6) reductase activities basically remained unchanged in all the NuoL mutants, suggesting that the peripheral arm of complex I was not affected by point mutations in NuoL. The proton pumping efficiency (the ratio of H(+)/e(-)), however, was decreased in most NuoL mutants by 30-50%, while the IC(50) values for asimicin (a potent complex I inhibitor) remained unchanged. This suggests that the H(+)/e(-) stoichiometry has changed from 4H(+)/2e(-) to 3H(+) or 2H(+)/2e(-) without affecting the direct coupling site. Furthermore, 50 μm of 5-(N-ethyl-N-isopropyl)-amiloride (EIPA), a specific inhibitor for Na(+)/H(+) antiporters, caused a 38 ± 5% decrease in the initial H(+) pump activity in the wild type, while no change was observed in D178N, D303A, and D400A mutants where the H(+) pumping efficiency had already been significantly decreased. The electron transfer activities were basically unaffected by EIPA in both control and mutants. Taken together, our data strongly indicate that the NuoL subunit is involved in the indirect coupling mechanism.","author":[{"dropping-particle":"","family":"Nakamaru-Ogiso","given":"Eiko","non-dropping-particle":"","parse-names":false,"suffix":""},{"dropping-particle":"","family":"Kao","given":"Mou-Chieh","non-dropping-particle":"","parse-names":false,"suffix":""},{"dropping-particle":"","family":"Chen","given":"Han","non-dropping-particle":"","parse-names":false,"suffix":""},{"dropping-particle":"","family":"Sinha","given":"Subhash C","non-dropping-particle":"","parse-names":false,"suffix":""},{"dropping-particle":"","family":"Yagi","given":"Takao","non-dropping-particle":"","parse-names":false,"suffix":""},{"dropping-particle":"","family":"Ohnishi","given":"Tomoko","non-dropping-particle":"","parse-names":false,"suffix":""}],"container-title":"The Journal of biological chemistry","id":"ITEM-1","issue":"50","issued":{"date-parts":[["2010","12"]]},"language":"eng","page":"39070-39078","title":"The membrane subunit NuoL(ND5) is involved in the indirect proton pumping mechanism  of Escherichia coli complex I.","type":"article-journal","volume":"285"},"uris":["http://www.mendeley.com/documents/?uuid=02cbb064-fe61-4eb3-9c40-ad25376d574e"]}],"mendeley":{"formattedCitation":"(Nakamaru-Ogiso &lt;i&gt;et al&lt;/i&gt;, 2010)","plainTextFormattedCitation":"(Nakamaru-Ogiso et al, 2010)","previouslyFormattedCitation":"(Nakamaru-Ogiso &lt;i&gt;et al&lt;/i&gt;, 2010)"},"properties":{"noteIndex":0},"schema":"https://github.com/citation-style-language/schema/raw/master/csl-citation.json"}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(Nakamaru-Ogiso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2010)</w:t>
            </w:r>
            <w:r w:rsidRPr="00E97FC1">
              <w:rPr>
                <w:rFonts w:ascii="Helvetica" w:hAnsi="Helvetica" w:cs="Helvetica"/>
                <w:b/>
                <w:bCs/>
                <w:sz w:val="16"/>
                <w:szCs w:val="16"/>
                <w:lang w:val="en-GB"/>
              </w:rPr>
              <w:fldChar w:fldCharType="end"/>
            </w:r>
          </w:p>
        </w:tc>
      </w:tr>
      <w:tr w:rsidR="002471A8" w:rsidRPr="00E97FC1" w14:paraId="1F69E99E" w14:textId="77777777" w:rsidTr="002471A8">
        <w:trPr>
          <w:trHeight w:val="65"/>
        </w:trPr>
        <w:tc>
          <w:tcPr>
            <w:tcW w:w="1075" w:type="dxa"/>
          </w:tcPr>
          <w:p w14:paraId="3F7ED7B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D303A</w:t>
            </w:r>
          </w:p>
        </w:tc>
        <w:tc>
          <w:tcPr>
            <w:tcW w:w="2790" w:type="dxa"/>
            <w:vMerge w:val="restart"/>
          </w:tcPr>
          <w:p w14:paraId="00268CB5"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 xml:space="preserve">surface, </w:t>
            </w:r>
            <w:r w:rsidRPr="00E97FC1">
              <w:rPr>
                <w:rFonts w:ascii="Helvetica" w:hAnsi="Helvetica" w:cs="Helvetica"/>
                <w:iCs/>
                <w:sz w:val="20"/>
                <w:lang w:val="en-GB"/>
              </w:rPr>
              <w:t>interacts with TM11-12 loop</w:t>
            </w:r>
          </w:p>
        </w:tc>
        <w:tc>
          <w:tcPr>
            <w:tcW w:w="1440" w:type="dxa"/>
          </w:tcPr>
          <w:p w14:paraId="61F0AD9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693FFEF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110%</w:t>
            </w:r>
          </w:p>
        </w:tc>
        <w:tc>
          <w:tcPr>
            <w:tcW w:w="1260" w:type="dxa"/>
          </w:tcPr>
          <w:p w14:paraId="5724A5F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110%</w:t>
            </w:r>
          </w:p>
        </w:tc>
        <w:tc>
          <w:tcPr>
            <w:tcW w:w="1080" w:type="dxa"/>
          </w:tcPr>
          <w:p w14:paraId="3400C27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80%</w:t>
            </w:r>
          </w:p>
        </w:tc>
        <w:tc>
          <w:tcPr>
            <w:tcW w:w="1260" w:type="dxa"/>
          </w:tcPr>
          <w:p w14:paraId="1C3103C2" w14:textId="15D6AFC4"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{"citationItems":[{"id":"ITEM-1","itemData":{"DOI":"10.1074/jbc.M110.157826","ISSN":"1083-351X (Electronic)","PMID":"20826797","abstract":"Complex I pumps protons across the membrane by using downhill redox energy. Here, to  investigate the proton pumping mechanism by complex I, we focused on the largest transmembrane subunit NuoL (Escherichia coli ND5 homolog). NuoL/ND5 is believed to have H(+) translocation site(s), because of a high sequence similarity to multi-subunit Na(+)/H(+) antiporters. We mutated thirteen highly conserved residues between NuoL/ND5 and MrpA of Na(+)/H(+) antiporters in the chromosomal nuoL gene. The dNADH oxidase activities in mutant membranes were mostly at the control level or modestly reduced, except mutants of Glu-144, Lys-229, and Lys-399. In contrast, the peripheral dNADH-K(3)Fe(CN)(6) reductase activities basically remained unchanged in all the NuoL mutants, suggesting that the peripheral arm of complex I was not affected by point mutations in NuoL. The proton pumping efficiency (the ratio of H(+)/e(-)), however, was decreased in most NuoL mutants by 30-50%, while the IC(50) values for asimicin (a potent complex I inhibitor) remained unchanged. This suggests that the H(+)/e(-) stoichiometry has changed from 4H(+)/2e(-) to 3H(+) or 2H(+)/2e(-) without affecting the direct coupling site. Furthermore, 50 μm of 5-(N-ethyl-N-isopropyl)-amiloride (EIPA), a specific inhibitor for Na(+)/H(+) antiporters, caused a 38 ± 5% decrease in the initial H(+) pump activity in the wild type, while no change was observed in D178N, D303A, and D400A mutants where the H(+) pumping efficiency had already been significantly decreased. The electron transfer activities were basically unaffected by EIPA in both control and mutants. Taken together, our data strongly indicate that the NuoL subunit is involved in the indirect coupling mechanism.","author":[{"dropping-particle":"","family":"Nakamaru-Ogiso","given":"Eiko","non-dropping-particle":"","parse-names":false,"suffix":""},{"dropping-particle":"","family":"Kao","given":"Mou-Chieh","non-dropping-particle":"","parse-names":false,"suffix":""},{"dropping-particle":"","family":"Chen","given":"Han","non-dropping-particle":"","parse-names":false,"suffix":""},{"dropping-particle":"","family":"Sinha","given":"Subhash C","non-dropping-particle":"","parse-names":false,"suffix":""},{"dropping-particle":"","family":"Yagi","given":"Takao","non-dropping-particle":"","parse-names":false,"suffix":""},{"dropping-particle":"","family":"Ohnishi","given":"Tomoko","non-dropping-particle":"","parse-names":false,"suffix":""}],"container-title":"The Journal of biological chemistry","id":"ITEM-1","issue":"50","issued":{"date-parts":[["2010","12"]]},"language":"eng","page":"39070-39078","title":"The membrane subunit NuoL(ND5) is involved in the indirect proton pumping mechanism  of Escherichia coli complex I.","type":"article-journal","volume":"285"},"uris":["http://www.mendeley.com/documents/?uuid=02cbb064-fe61-4eb3-9c40-ad25376d574e"]}],"mendeley":{"formattedCitation":"(Nakamaru-Ogiso &lt;i&gt;et al&lt;/i&gt;, 2010)","plainTextFormattedCitation":"(Nakamaru-Ogiso et al, 2010)","previouslyFormattedCitation":"(Nakamaru-Ogiso &lt;i&gt;et al&lt;/i&gt;, 2010)"},"properties":{"noteIndex":0},"schema":"https://github.com/citation-style-language/schema/raw/master/csl-citation.json"}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(Nakamaru-Ogiso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2010)</w:t>
            </w:r>
            <w:r w:rsidRPr="00E97FC1">
              <w:rPr>
                <w:rFonts w:ascii="Helvetica" w:hAnsi="Helvetica" w:cs="Helvetica"/>
                <w:b/>
                <w:bCs/>
                <w:sz w:val="16"/>
                <w:szCs w:val="16"/>
                <w:lang w:val="en-GB"/>
              </w:rPr>
              <w:fldChar w:fldCharType="end"/>
            </w:r>
            <w:r w:rsidRPr="00E97FC1">
              <w:rPr>
                <w:rFonts w:ascii="Helvetica" w:hAnsi="Helvetica" w:cs="Helvetica"/>
                <w:b/>
                <w:bCs/>
                <w:sz w:val="16"/>
                <w:szCs w:val="16"/>
                <w:lang w:val="en-GB"/>
              </w:rPr>
              <w:t xml:space="preserve">, </w:t>
            </w:r>
            <w:r w:rsidRPr="00E97FC1">
              <w:rPr>
                <w:rFonts w:ascii="Helvetica" w:hAnsi="Helvetica" w:cs="Helvetica"/>
                <w:sz w:val="16"/>
                <w:szCs w:val="16"/>
                <w:lang w:val="en-GB"/>
              </w:rPr>
              <w:t>(EIPA insensitive)</w:t>
            </w:r>
          </w:p>
        </w:tc>
      </w:tr>
      <w:tr w:rsidR="002471A8" w:rsidRPr="00E97FC1" w14:paraId="74344DB5" w14:textId="77777777" w:rsidTr="002471A8">
        <w:trPr>
          <w:trHeight w:val="65"/>
        </w:trPr>
        <w:tc>
          <w:tcPr>
            <w:tcW w:w="1075" w:type="dxa"/>
          </w:tcPr>
          <w:p w14:paraId="3D34187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D303N</w:t>
            </w:r>
          </w:p>
        </w:tc>
        <w:tc>
          <w:tcPr>
            <w:tcW w:w="2790" w:type="dxa"/>
            <w:vMerge/>
          </w:tcPr>
          <w:p w14:paraId="129B13FA" w14:textId="77777777" w:rsidR="002471A8" w:rsidRPr="00E97FC1" w:rsidRDefault="002471A8" w:rsidP="002471A8">
            <w:pPr>
              <w:rPr>
                <w:rFonts w:ascii="Helvetica" w:hAnsi="Helvetica" w:cs="Helvetica"/>
                <w:sz w:val="20"/>
                <w:lang w:val="en-GB"/>
              </w:rPr>
            </w:pPr>
          </w:p>
        </w:tc>
        <w:tc>
          <w:tcPr>
            <w:tcW w:w="1440" w:type="dxa"/>
          </w:tcPr>
          <w:p w14:paraId="625A1EA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36560B4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115%</w:t>
            </w:r>
          </w:p>
        </w:tc>
        <w:tc>
          <w:tcPr>
            <w:tcW w:w="1260" w:type="dxa"/>
          </w:tcPr>
          <w:p w14:paraId="1DFADE1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100%</w:t>
            </w:r>
          </w:p>
        </w:tc>
        <w:tc>
          <w:tcPr>
            <w:tcW w:w="1080" w:type="dxa"/>
          </w:tcPr>
          <w:p w14:paraId="3C26B62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80%</w:t>
            </w:r>
          </w:p>
        </w:tc>
        <w:tc>
          <w:tcPr>
            <w:tcW w:w="1260" w:type="dxa"/>
          </w:tcPr>
          <w:p w14:paraId="3427C16D" w14:textId="0823B374"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{"citationItems":[{"id":"ITEM-1","itemData":{"DOI":"10.1074/jbc.M110.157826","ISSN":"1083-351X (Electronic)","PMID":"20826797","abstract":"Complex I pumps protons across the membrane by using downhill redox energy. Here, to  investigate the proton pumping mechanism by complex I, we focused on the largest transmembrane subunit NuoL (Escherichia coli ND5 homolog). NuoL/ND5 is believed to have H(+) translocation site(s), because of a high sequence similarity to multi-subunit Na(+)/H(+) antiporters. We mutated thirteen highly conserved residues between NuoL/ND5 and MrpA of Na(+)/H(+) antiporters in the chromosomal nuoL gene. The dNADH oxidase activities in mutant membranes were mostly at the control level or modestly reduced, except mutants of Glu-144, Lys-229, and Lys-399. In contrast, the peripheral dNADH-K(3)Fe(CN)(6) reductase activities basically remained unchanged in all the NuoL mutants, suggesting that the peripheral arm of complex I was not affected by point mutations in NuoL. The proton pumping efficiency (the ratio of H(+)/e(-)), however, was decreased in most NuoL mutants by 30-50%, while the IC(50) values for asimicin (a potent complex I inhibitor) remained unchanged. This suggests that the H(+)/e(-) stoichiometry has changed from 4H(+)/2e(-) to 3H(+) or 2H(+)/2e(-) without affecting the direct coupling site. Furthermore, 50 μm of 5-(N-ethyl-N-isopropyl)-amiloride (EIPA), a specific inhibitor for Na(+)/H(+) antiporters, caused a 38 ± 5% decrease in the initial H(+) pump activity in the wild type, while no change was observed in D178N, D303A, and D400A mutants where the H(+) pumping efficiency had already been significantly decreased. The electron transfer activities were basically unaffected by EIPA in both control and mutants. Taken together, our data strongly indicate that the NuoL subunit is involved in the indirect coupling mechanism.","author":[{"dropping-particle":"","family":"Nakamaru-Ogiso","given":"Eiko","non-dropping-particle":"","parse-names":false,"suffix":""},{"dropping-particle":"","family":"Kao","given":"Mou-Chieh","non-dropping-particle":"","parse-names":false,"suffix":""},{"dropping-particle":"","family":"Chen","given":"Han","non-dropping-particle":"","parse-names":false,"suffix":""},{"dropping-particle":"","family":"Sinha","given":"Subhash C","non-dropping-particle":"","parse-names":false,"suffix":""},{"dropping-particle":"","family":"Yagi","given":"Takao","non-dropping-particle":"","parse-names":false,"suffix":""},{"dropping-particle":"","family":"Ohnishi","given":"Tomoko","non-dropping-particle":"","parse-names":false,"suffix":""}],"container-title":"The Journal of biological chemistry","id":"ITEM-1","issue":"50","issued":{"date-parts":[["2010","12"]]},"language":"eng","page":"39070-39078","title":"The membrane subunit NuoL(ND5) is involved in the indirect proton pumping mechanism  of Escherichia coli complex I.","type":"article-journal","volume":"285"},"uris":["http://www.mendeley.com/documents/?uuid=02cbb064-fe61-4eb3-9c40-ad25376d574e"]}],"mendeley":{"formattedCitation":"(Nakamaru-Ogiso &lt;i&gt;et al&lt;/i&gt;, 2010)","plainTextFormattedCitation":"(Nakamaru-Ogiso et al, 2010)","previouslyFormattedCitation":"(Nakamaru-Ogiso &lt;i&gt;et al&lt;/i&gt;, 2010)"},"properties":{"noteIndex":0},"schema":"https://github.com/citation-style-language/schema/raw/master/csl-citation.json"}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(Nakamaru-Ogiso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2010)</w:t>
            </w:r>
            <w:r w:rsidRPr="00E97FC1">
              <w:rPr>
                <w:rFonts w:ascii="Helvetica" w:hAnsi="Helvetica" w:cs="Helvetica"/>
                <w:b/>
                <w:bCs/>
                <w:sz w:val="16"/>
                <w:szCs w:val="16"/>
                <w:lang w:val="en-GB"/>
              </w:rPr>
              <w:fldChar w:fldCharType="end"/>
            </w:r>
          </w:p>
        </w:tc>
      </w:tr>
      <w:tr w:rsidR="002471A8" w:rsidRPr="00E97FC1" w14:paraId="62E9A9C8" w14:textId="77777777" w:rsidTr="002471A8">
        <w:trPr>
          <w:trHeight w:val="65"/>
        </w:trPr>
        <w:tc>
          <w:tcPr>
            <w:tcW w:w="1075" w:type="dxa"/>
          </w:tcPr>
          <w:p w14:paraId="1596142A"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lastRenderedPageBreak/>
              <w:t>H334A</w:t>
            </w:r>
          </w:p>
        </w:tc>
        <w:tc>
          <w:tcPr>
            <w:tcW w:w="2790" w:type="dxa"/>
            <w:vMerge w:val="restart"/>
          </w:tcPr>
          <w:p w14:paraId="39904907"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central axe, proton channel</w:t>
            </w:r>
          </w:p>
        </w:tc>
        <w:tc>
          <w:tcPr>
            <w:tcW w:w="1440" w:type="dxa"/>
          </w:tcPr>
          <w:p w14:paraId="6F4E6D1A"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low</w:t>
            </w:r>
          </w:p>
        </w:tc>
        <w:tc>
          <w:tcPr>
            <w:tcW w:w="1170" w:type="dxa"/>
          </w:tcPr>
          <w:p w14:paraId="2EBC7D4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100%</w:t>
            </w:r>
          </w:p>
        </w:tc>
        <w:tc>
          <w:tcPr>
            <w:tcW w:w="1260" w:type="dxa"/>
          </w:tcPr>
          <w:p w14:paraId="101FBA6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50%</w:t>
            </w:r>
          </w:p>
        </w:tc>
        <w:tc>
          <w:tcPr>
            <w:tcW w:w="1080" w:type="dxa"/>
          </w:tcPr>
          <w:p w14:paraId="2C3DF90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60882B15" w14:textId="7F91BAEF"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{"citationItems":[{"id":"ITEM-1","itemData":{"DOI":"10.1074/jbc.M110.157826","ISSN":"1083-351X (Electronic)","PMID":"20826797","abstract":"Complex I pumps protons across the membrane by using downhill redox energy. Here, to  investigate the proton pumping mechanism by complex I, we focused on the largest transmembrane subunit NuoL (Escherichia coli ND5 homolog). NuoL/ND5 is believed to have H(+) translocation site(s), because of a high sequence similarity to multi-subunit Na(+)/H(+) antiporters. We mutated thirteen highly conserved residues between NuoL/ND5 and MrpA of Na(+)/H(+) antiporters in the chromosomal nuoL gene. The dNADH oxidase activities in mutant membranes were mostly at the control level or modestly reduced, except mutants of Glu-144, Lys-229, and Lys-399. In contrast, the peripheral dNADH-K(3)Fe(CN)(6) reductase activities basically remained unchanged in all the NuoL mutants, suggesting that the peripheral arm of complex I was not affected by point mutations in NuoL. The proton pumping efficiency (the ratio of H(+)/e(-)), however, was decreased in most NuoL mutants by 30-50%, while the IC(50) values for asimicin (a potent complex I inhibitor) remained unchanged. This suggests that the H(+)/e(-) stoichiometry has changed from 4H(+)/2e(-) to 3H(+) or 2H(+)/2e(-) without affecting the direct coupling site. Furthermore, 50 μm of 5-(N-ethyl-N-isopropyl)-amiloride (EIPA), a specific inhibitor for Na(+)/H(+) antiporters, caused a 38 ± 5% decrease in the initial H(+) pump activity in the wild type, while no change was observed in D178N, D303A, and D400A mutants where the H(+) pumping efficiency had already been significantly decreased. The electron transfer activities were basically unaffected by EIPA in both control and mutants. Taken together, our data strongly indicate that the NuoL subunit is involved in the indirect coupling mechanism.","author":[{"dropping-particle":"","family":"Nakamaru-Ogiso","given":"Eiko","non-dropping-particle":"","parse-names":false,"suffix":""},{"dropping-particle":"","family":"Kao","given":"Mou-Chieh","non-dropping-particle":"","parse-names":false,"suffix":""},{"dropping-particle":"","family":"Chen","given":"Han","non-dropping-particle":"","parse-names":false,"suffix":""},{"dropping-particle":"","family":"Sinha","given":"Subhash C","non-dropping-particle":"","parse-names":false,"suffix":""},{"dropping-particle":"","family":"Yagi","given":"Takao","non-dropping-particle":"","parse-names":false,"suffix":""},{"dropping-particle":"","family":"Ohnishi","given":"Tomoko","non-dropping-particle":"","parse-names":false,"suffix":""}],"container-title":"The Journal of biological chemistry","id":"ITEM-1","issue":"50","issued":{"date-parts":[["2010","12"]]},"language":"eng","page":"39070-39078","title":"The membrane subunit NuoL(ND5) is involved in the indirect proton pumping mechanism  of Escherichia coli complex I.","type":"article-journal","volume":"285"},"uris":["http://www.mendeley.com/documents/?uuid=02cbb064-fe61-4eb3-9c40-ad25376d574e"]}],"mendeley":{"formattedCitation":"(Nakamaru-Ogiso &lt;i&gt;et al&lt;/i&gt;, 2010)","plainTextFormattedCitation":"(Nakamaru-Ogiso et al, 2010)","previouslyFormattedCitation":"(Nakamaru-Ogiso &lt;i&gt;et al&lt;/i&gt;, 2010)"},"properties":{"noteIndex":0},"schema":"https://github.com/citation-style-language/schema/raw/master/csl-citation.json"}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(Nakamaru-Ogiso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2010)</w:t>
            </w:r>
            <w:r w:rsidRPr="00E97FC1">
              <w:rPr>
                <w:rFonts w:ascii="Helvetica" w:hAnsi="Helvetica" w:cs="Helvetica"/>
                <w:b/>
                <w:bCs/>
                <w:sz w:val="16"/>
                <w:szCs w:val="16"/>
                <w:lang w:val="en-GB"/>
              </w:rPr>
              <w:fldChar w:fldCharType="end"/>
            </w:r>
          </w:p>
        </w:tc>
      </w:tr>
      <w:tr w:rsidR="002471A8" w:rsidRPr="00E97FC1" w14:paraId="45C8D9C5" w14:textId="77777777" w:rsidTr="002471A8">
        <w:trPr>
          <w:trHeight w:val="65"/>
        </w:trPr>
        <w:tc>
          <w:tcPr>
            <w:tcW w:w="1075" w:type="dxa"/>
          </w:tcPr>
          <w:p w14:paraId="39233FB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H334Q</w:t>
            </w:r>
          </w:p>
        </w:tc>
        <w:tc>
          <w:tcPr>
            <w:tcW w:w="2790" w:type="dxa"/>
            <w:vMerge/>
          </w:tcPr>
          <w:p w14:paraId="18510696" w14:textId="77777777" w:rsidR="002471A8" w:rsidRPr="00E97FC1" w:rsidRDefault="002471A8" w:rsidP="002471A8">
            <w:pPr>
              <w:rPr>
                <w:rFonts w:ascii="Helvetica" w:hAnsi="Helvetica" w:cs="Helvetica"/>
                <w:sz w:val="20"/>
                <w:lang w:val="en-GB"/>
              </w:rPr>
            </w:pPr>
          </w:p>
        </w:tc>
        <w:tc>
          <w:tcPr>
            <w:tcW w:w="1440" w:type="dxa"/>
          </w:tcPr>
          <w:p w14:paraId="7776628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13AFFF6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150%</w:t>
            </w:r>
          </w:p>
        </w:tc>
        <w:tc>
          <w:tcPr>
            <w:tcW w:w="1260" w:type="dxa"/>
          </w:tcPr>
          <w:p w14:paraId="61E5411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120%</w:t>
            </w:r>
          </w:p>
        </w:tc>
        <w:tc>
          <w:tcPr>
            <w:tcW w:w="1080" w:type="dxa"/>
          </w:tcPr>
          <w:p w14:paraId="3300190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25CD086C" w14:textId="1C50F948"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{"citationItems":[{"id":"ITEM-1","itemData":{"DOI":"10.1074/jbc.M110.157826","ISSN":"1083-351X (Electronic)","PMID":"20826797","abstract":"Complex I pumps protons across the membrane by using downhill redox energy. Here, to  investigate the proton pumping mechanism by complex I, we focused on the largest transmembrane subunit NuoL (Escherichia coli ND5 homolog). NuoL/ND5 is believed to have H(+) translocation site(s), because of a high sequence similarity to multi-subunit Na(+)/H(+) antiporters. We mutated thirteen highly conserved residues between NuoL/ND5 and MrpA of Na(+)/H(+) antiporters in the chromosomal nuoL gene. The dNADH oxidase activities in mutant membranes were mostly at the control level or modestly reduced, except mutants of Glu-144, Lys-229, and Lys-399. In contrast, the peripheral dNADH-K(3)Fe(CN)(6) reductase activities basically remained unchanged in all the NuoL mutants, suggesting that the peripheral arm of complex I was not affected by point mutations in NuoL. The proton pumping efficiency (the ratio of H(+)/e(-)), however, was decreased in most NuoL mutants by 30-50%, while the IC(50) values for asimicin (a potent complex I inhibitor) remained unchanged. This suggests that the H(+)/e(-) stoichiometry has changed from 4H(+)/2e(-) to 3H(+) or 2H(+)/2e(-) without affecting the direct coupling site. Furthermore, 50 μm of 5-(N-ethyl-N-isopropyl)-amiloride (EIPA), a specific inhibitor for Na(+)/H(+) antiporters, caused a 38 ± 5% decrease in the initial H(+) pump activity in the wild type, while no change was observed in D178N, D303A, and D400A mutants where the H(+) pumping efficiency had already been significantly decreased. The electron transfer activities were basically unaffected by EIPA in both control and mutants. Taken together, our data strongly indicate that the NuoL subunit is involved in the indirect coupling mechanism.","author":[{"dropping-particle":"","family":"Nakamaru-Ogiso","given":"Eiko","non-dropping-particle":"","parse-names":false,"suffix":""},{"dropping-particle":"","family":"Kao","given":"Mou-Chieh","non-dropping-particle":"","parse-names":false,"suffix":""},{"dropping-particle":"","family":"Chen","given":"Han","non-dropping-particle":"","parse-names":false,"suffix":""},{"dropping-particle":"","family":"Sinha","given":"Subhash C","non-dropping-particle":"","parse-names":false,"suffix":""},{"dropping-particle":"","family":"Yagi","given":"Takao","non-dropping-particle":"","parse-names":false,"suffix":""},{"dropping-particle":"","family":"Ohnishi","given":"Tomoko","non-dropping-particle":"","parse-names":false,"suffix":""}],"container-title":"The Journal of biological chemistry","id":"ITEM-1","issue":"50","issued":{"date-parts":[["2010","12"]]},"language":"eng","page":"39070-39078","title":"The membrane subunit NuoL(ND5) is involved in the indirect proton pumping mechanism  of Escherichia coli complex I.","type":"article-journal","volume":"285"},"uris":["http://www.mendeley.com/documents/?uuid=02cbb064-fe61-4eb3-9c40-ad25376d574e"]}],"mendeley":{"formattedCitation":"(Nakamaru-Ogiso &lt;i&gt;et al&lt;/i&gt;, 2010)","plainTextFormattedCitation":"(Nakamaru-Ogiso et al, 2010)","previouslyFormattedCitation":"(Nakamaru-Ogiso &lt;i&gt;et al&lt;/i&gt;, 2010)"},"properties":{"noteIndex":0},"schema":"https://github.com/citation-style-language/schema/raw/master/csl-citation.json"}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(Nakamaru-Ogiso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2010)</w:t>
            </w:r>
            <w:r w:rsidRPr="00E97FC1">
              <w:rPr>
                <w:rFonts w:ascii="Helvetica" w:hAnsi="Helvetica" w:cs="Helvetica"/>
                <w:b/>
                <w:bCs/>
                <w:sz w:val="16"/>
                <w:szCs w:val="16"/>
                <w:lang w:val="en-GB"/>
              </w:rPr>
              <w:fldChar w:fldCharType="end"/>
            </w:r>
          </w:p>
        </w:tc>
      </w:tr>
      <w:tr w:rsidR="002471A8" w:rsidRPr="00E97FC1" w14:paraId="60923E3F" w14:textId="77777777" w:rsidTr="002471A8">
        <w:trPr>
          <w:trHeight w:val="65"/>
        </w:trPr>
        <w:tc>
          <w:tcPr>
            <w:tcW w:w="1075" w:type="dxa"/>
          </w:tcPr>
          <w:p w14:paraId="45573FC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H338A</w:t>
            </w:r>
          </w:p>
        </w:tc>
        <w:tc>
          <w:tcPr>
            <w:tcW w:w="2790" w:type="dxa"/>
            <w:vMerge/>
          </w:tcPr>
          <w:p w14:paraId="3F3737CC" w14:textId="77777777" w:rsidR="002471A8" w:rsidRPr="00E97FC1" w:rsidRDefault="002471A8" w:rsidP="002471A8">
            <w:pPr>
              <w:rPr>
                <w:rFonts w:ascii="Helvetica" w:hAnsi="Helvetica" w:cs="Helvetica"/>
                <w:sz w:val="20"/>
                <w:lang w:val="en-GB"/>
              </w:rPr>
            </w:pPr>
          </w:p>
        </w:tc>
        <w:tc>
          <w:tcPr>
            <w:tcW w:w="1440" w:type="dxa"/>
          </w:tcPr>
          <w:p w14:paraId="446459E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58DA207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110%</w:t>
            </w:r>
          </w:p>
        </w:tc>
        <w:tc>
          <w:tcPr>
            <w:tcW w:w="1260" w:type="dxa"/>
          </w:tcPr>
          <w:p w14:paraId="431BCFB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100%</w:t>
            </w:r>
          </w:p>
        </w:tc>
        <w:tc>
          <w:tcPr>
            <w:tcW w:w="1080" w:type="dxa"/>
          </w:tcPr>
          <w:p w14:paraId="1CFB931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7A45BDE0" w14:textId="6B0E26D6"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{"citationItems":[{"id":"ITEM-1","itemData":{"DOI":"10.1074/jbc.M110.157826","ISSN":"1083-351X (Electronic)","PMID":"20826797","abstract":"Complex I pumps protons across the membrane by using downhill redox energy. Here, to  investigate the proton pumping mechanism by complex I, we focused on the largest transmembrane subunit NuoL (Escherichia coli ND5 homolog). NuoL/ND5 is believed to have H(+) translocation site(s), because of a high sequence similarity to multi-subunit Na(+)/H(+) antiporters. We mutated thirteen highly conserved residues between NuoL/ND5 and MrpA of Na(+)/H(+) antiporters in the chromosomal nuoL gene. The dNADH oxidase activities in mutant membranes were mostly at the control level or modestly reduced, except mutants of Glu-144, Lys-229, and Lys-399. In contrast, the peripheral dNADH-K(3)Fe(CN)(6) reductase activities basically remained unchanged in all the NuoL mutants, suggesting that the peripheral arm of complex I was not affected by point mutations in NuoL. The proton pumping efficiency (the ratio of H(+)/e(-)), however, was decreased in most NuoL mutants by 30-50%, while the IC(50) values for asimicin (a potent complex I inhibitor) remained unchanged. This suggests that the H(+)/e(-) stoichiometry has changed from 4H(+)/2e(-) to 3H(+) or 2H(+)/2e(-) without affecting the direct coupling site. Furthermore, 50 μm of 5-(N-ethyl-N-isopropyl)-amiloride (EIPA), a specific inhibitor for Na(+)/H(+) antiporters, caused a 38 ± 5% decrease in the initial H(+) pump activity in the wild type, while no change was observed in D178N, D303A, and D400A mutants where the H(+) pumping efficiency had already been significantly decreased. The electron transfer activities were basically unaffected by EIPA in both control and mutants. Taken together, our data strongly indicate that the NuoL subunit is involved in the indirect coupling mechanism.","author":[{"dropping-particle":"","family":"Nakamaru-Ogiso","given":"Eiko","non-dropping-particle":"","parse-names":false,"suffix":""},{"dropping-particle":"","family":"Kao","given":"Mou-Chieh","non-dropping-particle":"","parse-names":false,"suffix":""},{"dropping-particle":"","family":"Chen","given":"Han","non-dropping-particle":"","parse-names":false,"suffix":""},{"dropping-particle":"","family":"Sinha","given":"Subhash C","non-dropping-particle":"","parse-names":false,"suffix":""},{"dropping-particle":"","family":"Yagi","given":"Takao","non-dropping-particle":"","parse-names":false,"suffix":""},{"dropping-particle":"","family":"Ohnishi","given":"Tomoko","non-dropping-particle":"","parse-names":false,"suffix":""}],"container-title":"The Journal of biological chemistry","id":"ITEM-1","issue":"50","issued":{"date-parts":[["2010","12"]]},"language":"eng","page":"39070-39078","title":"The membrane subunit NuoL(ND5) is involved in the indirect proton pumping mechanism  of Escherichia coli complex I.","type":"article-journal","volume":"285"},"uris":["http://www.mendeley.com/documents/?uuid=02cbb064-fe61-4eb3-9c40-ad25376d574e"]}],"mendeley":{"formattedCitation":"(Nakamaru-Ogiso &lt;i&gt;et al&lt;/i&gt;, 2010)","plainTextFormattedCitation":"(Nakamaru-Ogiso et al, 2010)","previouslyFormattedCitation":"(Nakamaru-Ogiso &lt;i&gt;et al&lt;/i&gt;, 2010)"},"properties":{"noteIndex":0},"schema":"https://github.com/citation-style-language/schema/raw/master/csl-citation.json"}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(Nakamaru-Ogiso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2010)</w:t>
            </w:r>
            <w:r w:rsidRPr="00E97FC1">
              <w:rPr>
                <w:rFonts w:ascii="Helvetica" w:hAnsi="Helvetica" w:cs="Helvetica"/>
                <w:b/>
                <w:bCs/>
                <w:sz w:val="16"/>
                <w:szCs w:val="16"/>
                <w:lang w:val="en-GB"/>
              </w:rPr>
              <w:fldChar w:fldCharType="end"/>
            </w:r>
          </w:p>
        </w:tc>
      </w:tr>
      <w:tr w:rsidR="002471A8" w:rsidRPr="00E97FC1" w14:paraId="7EAA7798" w14:textId="77777777" w:rsidTr="002471A8">
        <w:trPr>
          <w:trHeight w:val="65"/>
        </w:trPr>
        <w:tc>
          <w:tcPr>
            <w:tcW w:w="1075" w:type="dxa"/>
          </w:tcPr>
          <w:p w14:paraId="656AEB1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H338Q</w:t>
            </w:r>
          </w:p>
        </w:tc>
        <w:tc>
          <w:tcPr>
            <w:tcW w:w="2790" w:type="dxa"/>
            <w:vMerge/>
          </w:tcPr>
          <w:p w14:paraId="51CA13B8" w14:textId="77777777" w:rsidR="002471A8" w:rsidRPr="00E97FC1" w:rsidRDefault="002471A8" w:rsidP="002471A8">
            <w:pPr>
              <w:rPr>
                <w:rFonts w:ascii="Helvetica" w:hAnsi="Helvetica" w:cs="Helvetica"/>
                <w:sz w:val="20"/>
                <w:lang w:val="en-GB"/>
              </w:rPr>
            </w:pPr>
          </w:p>
        </w:tc>
        <w:tc>
          <w:tcPr>
            <w:tcW w:w="1440" w:type="dxa"/>
          </w:tcPr>
          <w:p w14:paraId="50635A6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0E90E69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100%</w:t>
            </w:r>
          </w:p>
        </w:tc>
        <w:tc>
          <w:tcPr>
            <w:tcW w:w="1260" w:type="dxa"/>
          </w:tcPr>
          <w:p w14:paraId="67EBAE6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100%</w:t>
            </w:r>
          </w:p>
        </w:tc>
        <w:tc>
          <w:tcPr>
            <w:tcW w:w="1080" w:type="dxa"/>
          </w:tcPr>
          <w:p w14:paraId="578FC84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4202C0C7" w14:textId="464756DB"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{"citationItems":[{"id":"ITEM-1","itemData":{"DOI":"10.1074/jbc.M110.157826","ISSN":"1083-351X (Electronic)","PMID":"20826797","abstract":"Complex I pumps protons across the membrane by using downhill redox energy. Here, to  investigate the proton pumping mechanism by complex I, we focused on the largest transmembrane subunit NuoL (Escherichia coli ND5 homolog). NuoL/ND5 is believed to have H(+) translocation site(s), because of a high sequence similarity to multi-subunit Na(+)/H(+) antiporters. We mutated thirteen highly conserved residues between NuoL/ND5 and MrpA of Na(+)/H(+) antiporters in the chromosomal nuoL gene. The dNADH oxidase activities in mutant membranes were mostly at the control level or modestly reduced, except mutants of Glu-144, Lys-229, and Lys-399. In contrast, the peripheral dNADH-K(3)Fe(CN)(6) reductase activities basically remained unchanged in all the NuoL mutants, suggesting that the peripheral arm of complex I was not affected by point mutations in NuoL. The proton pumping efficiency (the ratio of H(+)/e(-)), however, was decreased in most NuoL mutants by 30-50%, while the IC(50) values for asimicin (a potent complex I inhibitor) remained unchanged. This suggests that the H(+)/e(-) stoichiometry has changed from 4H(+)/2e(-) to 3H(+) or 2H(+)/2e(-) without affecting the direct coupling site. Furthermore, 50 μm of 5-(N-ethyl-N-isopropyl)-amiloride (EIPA), a specific inhibitor for Na(+)/H(+) antiporters, caused a 38 ± 5% decrease in the initial H(+) pump activity in the wild type, while no change was observed in D178N, D303A, and D400A mutants where the H(+) pumping efficiency had already been significantly decreased. The electron transfer activities were basically unaffected by EIPA in both control and mutants. Taken together, our data strongly indicate that the NuoL subunit is involved in the indirect coupling mechanism.","author":[{"dropping-particle":"","family":"Nakamaru-Ogiso","given":"Eiko","non-dropping-particle":"","parse-names":false,"suffix":""},{"dropping-particle":"","family":"Kao","given":"Mou-Chieh","non-dropping-particle":"","parse-names":false,"suffix":""},{"dropping-particle":"","family":"Chen","given":"Han","non-dropping-particle":"","parse-names":false,"suffix":""},{"dropping-particle":"","family":"Sinha","given":"Subhash C","non-dropping-particle":"","parse-names":false,"suffix":""},{"dropping-particle":"","family":"Yagi","given":"Takao","non-dropping-particle":"","parse-names":false,"suffix":""},{"dropping-particle":"","family":"Ohnishi","given":"Tomoko","non-dropping-particle":"","parse-names":false,"suffix":""}],"container-title":"The Journal of biological chemistry","id":"ITEM-1","issue":"50","issued":{"date-parts":[["2010","12"]]},"language":"eng","page":"39070-39078","title":"The membrane subunit NuoL(ND5) is involved in the indirect proton pumping mechanism  of Escherichia coli complex I.","type":"article-journal","volume":"285"},"uris":["http://www.mendeley.com/documents/?uuid=02cbb064-fe61-4eb3-9c40-ad25376d574e"]}],"mendeley":{"formattedCitation":"(Nakamaru-Ogiso &lt;i&gt;et al&lt;/i&gt;, 2010)","plainTextFormattedCitation":"(Nakamaru-Ogiso et al, 2010)","previouslyFormattedCitation":"(Nakamaru-Ogiso &lt;i&gt;et al&lt;/i&gt;, 2010)"},"properties":{"noteIndex":0},"schema":"https://github.com/citation-style-language/schema/raw/master/csl-citation.json"}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(Nakamaru-Ogiso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2010)</w:t>
            </w:r>
            <w:r w:rsidRPr="00E97FC1">
              <w:rPr>
                <w:rFonts w:ascii="Helvetica" w:hAnsi="Helvetica" w:cs="Helvetica"/>
                <w:b/>
                <w:bCs/>
                <w:sz w:val="16"/>
                <w:szCs w:val="16"/>
                <w:lang w:val="en-GB"/>
              </w:rPr>
              <w:fldChar w:fldCharType="end"/>
            </w:r>
          </w:p>
        </w:tc>
      </w:tr>
      <w:tr w:rsidR="002471A8" w:rsidRPr="00E97FC1" w14:paraId="6B47CFEF" w14:textId="77777777" w:rsidTr="002471A8">
        <w:trPr>
          <w:trHeight w:val="65"/>
        </w:trPr>
        <w:tc>
          <w:tcPr>
            <w:tcW w:w="1075" w:type="dxa"/>
          </w:tcPr>
          <w:p w14:paraId="6CBAF23C"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K342A</w:t>
            </w:r>
          </w:p>
        </w:tc>
        <w:tc>
          <w:tcPr>
            <w:tcW w:w="2790" w:type="dxa"/>
          </w:tcPr>
          <w:p w14:paraId="5AEBD6EA" w14:textId="77777777" w:rsidR="002471A8" w:rsidRPr="00E97FC1" w:rsidRDefault="002471A8" w:rsidP="002471A8">
            <w:pPr>
              <w:rPr>
                <w:rFonts w:ascii="Helvetica" w:hAnsi="Helvetica" w:cs="Helvetica"/>
                <w:iCs/>
                <w:sz w:val="20"/>
                <w:lang w:val="en-GB"/>
              </w:rPr>
            </w:pPr>
            <w:r w:rsidRPr="00E97FC1">
              <w:rPr>
                <w:rFonts w:ascii="Helvetica" w:hAnsi="Helvetica" w:cs="Helvetica"/>
                <w:sz w:val="20"/>
                <w:lang w:val="en-GB"/>
              </w:rPr>
              <w:t>central axe, proton channel</w:t>
            </w:r>
          </w:p>
        </w:tc>
        <w:tc>
          <w:tcPr>
            <w:tcW w:w="1440" w:type="dxa"/>
          </w:tcPr>
          <w:p w14:paraId="24A0B73C"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low</w:t>
            </w:r>
          </w:p>
        </w:tc>
        <w:tc>
          <w:tcPr>
            <w:tcW w:w="1170" w:type="dxa"/>
          </w:tcPr>
          <w:p w14:paraId="44A245A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iCs/>
                <w:sz w:val="20"/>
                <w:szCs w:val="20"/>
                <w:lang w:val="en-GB"/>
              </w:rPr>
              <w:t>63%</w:t>
            </w:r>
          </w:p>
        </w:tc>
        <w:tc>
          <w:tcPr>
            <w:tcW w:w="1260" w:type="dxa"/>
          </w:tcPr>
          <w:p w14:paraId="2057BF43"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11%</w:t>
            </w:r>
          </w:p>
        </w:tc>
        <w:tc>
          <w:tcPr>
            <w:tcW w:w="1080" w:type="dxa"/>
          </w:tcPr>
          <w:p w14:paraId="615136C5"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low</w:t>
            </w:r>
          </w:p>
        </w:tc>
        <w:tc>
          <w:tcPr>
            <w:tcW w:w="1260" w:type="dxa"/>
          </w:tcPr>
          <w:p w14:paraId="03AEFDB6" w14:textId="67A767D4"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{"citationItems":[{"id":"ITEM-1","itemData":{"DOI":"10.1074/jbc.M113.482968","ISSN":"1083-351X (Electronic)","PMID":"23864658","abstract":"The proton-translocating NADH-quinone oxidoreductase (complex I/NDH-1) contains a peripheral and a membrane domain. Three antiporter-like subunits in the membrane domain, NuoL, NuoM, and NuoN (ND5, ND4 and ND2, respectively), are structurally similar. We analyzed the role of NuoN in Escherichia coli NDH-1. The lysine residue at position 395 in NuoN (NLys(395)) is conserved in NuoL (LLys(399)) but is replaced by glutamic acid (MGlu(407)) in NuoM. Our mutation study on NLys(395) suggests that this residue participates in the proton translocation. Furthermore, we found that MGlu(407) is also essential and most likely interacts with conserved LArg(175). Glutamic acids, NGlu(133), MGlu(144), and LGlu(144), are corresponding residues. Unlike mutants of MGlu(144) and LGlu(144), mutation of NGlu(133) scarcely affected the energy-transducing activities. However, a double mutant of NGlu(133) and nearby KGlu(72) showed significant inhibition of these activities. This suggests that NGlu(133) bears a functional role similar to LGlu(144) and MGlu(144) but its mutation can be partially compensated by the nearby carboxyl residue. Conserved prolines located at loops of discontinuous transmembrane helices of NuoL, NuoM, and NuoN were shown to play a similar role in the energy-transducing activity. It seems likely that NuoL, NuoM, and NuoN pump protons by a similar mechanism. Our data also revealed that NLys(158) is one of the key interaction points with helix HL in NuoL. A truncation study indicated that the C-terminal amphipathic segments of NTM14 interacts with the Mbeta sheet located on the opposite side of helix HL. Taken together, the mechanism of H(+) translocation in NDH-1 is discussed.","author":[{"dropping-particle":"","family":"Sato","given":"Motoaki","non-dropping-particle":"","parse-names":false,"suffix":""},{"dropping-particle":"","family":"Sinha","given":"Prem Kumar","non-dropping-particle":"","parse-names":false,"suffix":""},{"dropping-particle":"","family":"Torres-Bacete","given":"Jesus","non-dropping-particle":"","parse-names":false,"suffix":""},{"dropping-particle":"","family":"Matsuno-Yagi","given":"Akemi","non-dropping-particle":"","parse-names":false,"suffix":""},{"dropping-particle":"","family":"Yagi","given":"Takao","non-dropping-particle":"","parse-names":false,"suffix":""}],"container-title":"The Journal of biological chemistry","id":"ITEM-1","issue":"34","issued":{"date-parts":[["2013","8"]]},"language":"eng","page":"24705-24716","publisher-place":"United States","title":"Energy transducing roles of antiporter-like subunits in Escherichia coli NDH-1 with main focus on subunit NuoN (ND2).","type":"article-journal","volume":"288"},"uris":["http://www.mendeley.com/documents/?uuid=0db84ce5-f2b7-4f63-9ef8-4e12ef999eec"]}],"mendeley":{"formattedCitation":"(Sato &lt;i&gt;et al&lt;/i&gt;, 2013)","plainTextFormattedCitation":"(Sato et al, 2013)","previouslyFormattedCitation":"(Sato &lt;i&gt;et al&lt;/i&gt;, 2013)"},"properties":{"noteIndex":0},"schema":"https://github.com/citation-style-language/schema/raw/master/csl-citation.json"}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(Sato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2013)</w:t>
            </w:r>
            <w:r w:rsidRPr="00E97FC1">
              <w:rPr>
                <w:rFonts w:ascii="Helvetica" w:hAnsi="Helvetica" w:cs="Helvetica"/>
                <w:b/>
                <w:bCs/>
                <w:sz w:val="16"/>
                <w:szCs w:val="16"/>
                <w:lang w:val="en-GB"/>
              </w:rPr>
              <w:fldChar w:fldCharType="end"/>
            </w:r>
          </w:p>
        </w:tc>
      </w:tr>
      <w:tr w:rsidR="002471A8" w:rsidRPr="00E97FC1" w14:paraId="618E964B" w14:textId="77777777" w:rsidTr="002471A8">
        <w:trPr>
          <w:trHeight w:val="65"/>
        </w:trPr>
        <w:tc>
          <w:tcPr>
            <w:tcW w:w="1075" w:type="dxa"/>
          </w:tcPr>
          <w:p w14:paraId="3D00F318"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E359A</w:t>
            </w:r>
          </w:p>
        </w:tc>
        <w:tc>
          <w:tcPr>
            <w:tcW w:w="2790" w:type="dxa"/>
          </w:tcPr>
          <w:p w14:paraId="687AAF84" w14:textId="77777777" w:rsidR="002471A8" w:rsidRPr="00E97FC1" w:rsidRDefault="002471A8" w:rsidP="002471A8">
            <w:pPr>
              <w:rPr>
                <w:rFonts w:ascii="Helvetica" w:hAnsi="Helvetica" w:cs="Helvetica"/>
                <w:iCs/>
                <w:sz w:val="20"/>
                <w:lang w:val="en-GB"/>
              </w:rPr>
            </w:pPr>
            <w:r w:rsidRPr="00E97FC1">
              <w:rPr>
                <w:rFonts w:ascii="Helvetica" w:hAnsi="Helvetica" w:cs="Helvetica"/>
                <w:iCs/>
                <w:sz w:val="20"/>
                <w:lang w:val="en-GB"/>
              </w:rPr>
              <w:t>surface</w:t>
            </w:r>
          </w:p>
        </w:tc>
        <w:tc>
          <w:tcPr>
            <w:tcW w:w="1440" w:type="dxa"/>
          </w:tcPr>
          <w:p w14:paraId="45AC45F3"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normal</w:t>
            </w:r>
          </w:p>
        </w:tc>
        <w:tc>
          <w:tcPr>
            <w:tcW w:w="1170" w:type="dxa"/>
          </w:tcPr>
          <w:p w14:paraId="7D0463C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110%</w:t>
            </w:r>
          </w:p>
        </w:tc>
        <w:tc>
          <w:tcPr>
            <w:tcW w:w="1260" w:type="dxa"/>
          </w:tcPr>
          <w:p w14:paraId="2C759839"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100%</w:t>
            </w:r>
          </w:p>
        </w:tc>
        <w:tc>
          <w:tcPr>
            <w:tcW w:w="1080" w:type="dxa"/>
          </w:tcPr>
          <w:p w14:paraId="365D9A26"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normal</w:t>
            </w:r>
          </w:p>
        </w:tc>
        <w:tc>
          <w:tcPr>
            <w:tcW w:w="1260" w:type="dxa"/>
          </w:tcPr>
          <w:p w14:paraId="3FEF7CAC" w14:textId="5023258C"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{"citationItems":[{"id":"ITEM-1","itemData":{"DOI":"10.1074/jbc.M110.157826","ISSN":"1083-351X (Electronic)","PMID":"20826797","abstract":"Complex I pumps protons across the membrane by using downhill redox energy. Here, to  investigate the proton pumping mechanism by complex I, we focused on the largest transmembrane subunit NuoL (Escherichia coli ND5 homolog). NuoL/ND5 is believed to have H(+) translocation site(s), because of a high sequence similarity to multi-subunit Na(+)/H(+) antiporters. We mutated thirteen highly conserved residues between NuoL/ND5 and MrpA of Na(+)/H(+) antiporters in the chromosomal nuoL gene. The dNADH oxidase activities in mutant membranes were mostly at the control level or modestly reduced, except mutants of Glu-144, Lys-229, and Lys-399. In contrast, the peripheral dNADH-K(3)Fe(CN)(6) reductase activities basically remained unchanged in all the NuoL mutants, suggesting that the peripheral arm of complex I was not affected by point mutations in NuoL. The proton pumping efficiency (the ratio of H(+)/e(-)), however, was decreased in most NuoL mutants by 30-50%, while the IC(50) values for asimicin (a potent complex I inhibitor) remained unchanged. This suggests that the H(+)/e(-) stoichiometry has changed from 4H(+)/2e(-) to 3H(+) or 2H(+)/2e(-) without affecting the direct coupling site. Furthermore, 50 μm of 5-(N-ethyl-N-isopropyl)-amiloride (EIPA), a specific inhibitor for Na(+)/H(+) antiporters, caused a 38 ± 5% decrease in the initial H(+) pump activity in the wild type, while no change was observed in D178N, D303A, and D400A mutants where the H(+) pumping efficiency had already been significantly decreased. The electron transfer activities were basically unaffected by EIPA in both control and mutants. Taken together, our data strongly indicate that the NuoL subunit is involved in the indirect coupling mechanism.","author":[{"dropping-particle":"","family":"Nakamaru-Ogiso","given":"Eiko","non-dropping-particle":"","parse-names":false,"suffix":""},{"dropping-particle":"","family":"Kao","given":"Mou-Chieh","non-dropping-particle":"","parse-names":false,"suffix":""},{"dropping-particle":"","family":"Chen","given":"Han","non-dropping-particle":"","parse-names":false,"suffix":""},{"dropping-particle":"","family":"Sinha","given":"Subhash C","non-dropping-particle":"","parse-names":false,"suffix":""},{"dropping-particle":"","family":"Yagi","given":"Takao","non-dropping-particle":"","parse-names":false,"suffix":""},{"dropping-particle":"","family":"Ohnishi","given":"Tomoko","non-dropping-particle":"","parse-names":false,"suffix":""}],"container-title":"The Journal of biological chemistry","id":"ITEM-1","issue":"50","issued":{"date-parts":[["2010","12"]]},"language":"eng","page":"39070-39078","title":"The membrane subunit NuoL(ND5) is involved in the indirect proton pumping mechanism  of Escherichia coli complex I.","type":"article-journal","volume":"285"},"uris":["http://www.mendeley.com/documents/?uuid=02cbb064-fe61-4eb3-9c40-ad25376d574e"]}],"mendeley":{"formattedCitation":"(Nakamaru-Ogiso &lt;i&gt;et al&lt;/i&gt;, 2010)","plainTextFormattedCitation":"(Nakamaru-Ogiso et al, 2010)","previouslyFormattedCitation":"(Nakamaru-Ogiso &lt;i&gt;et al&lt;/i&gt;, 2010)"},"properties":{"noteIndex":0},"schema":"https://github.com/citation-style-language/schema/raw/master/csl-citation.json"}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(Nakamaru-Ogiso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2010)</w:t>
            </w:r>
            <w:r w:rsidRPr="00E97FC1">
              <w:rPr>
                <w:rFonts w:ascii="Helvetica" w:hAnsi="Helvetica" w:cs="Helvetica"/>
                <w:b/>
                <w:bCs/>
                <w:sz w:val="16"/>
                <w:szCs w:val="16"/>
                <w:lang w:val="en-GB"/>
              </w:rPr>
              <w:fldChar w:fldCharType="end"/>
            </w:r>
          </w:p>
        </w:tc>
      </w:tr>
      <w:tr w:rsidR="002471A8" w:rsidRPr="00E97FC1" w14:paraId="25565B24" w14:textId="77777777" w:rsidTr="002471A8">
        <w:trPr>
          <w:trHeight w:val="65"/>
        </w:trPr>
        <w:tc>
          <w:tcPr>
            <w:tcW w:w="1075" w:type="dxa"/>
          </w:tcPr>
          <w:p w14:paraId="3628A3D9"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P390A</w:t>
            </w:r>
          </w:p>
        </w:tc>
        <w:tc>
          <w:tcPr>
            <w:tcW w:w="2790" w:type="dxa"/>
          </w:tcPr>
          <w:p w14:paraId="50228530" w14:textId="77777777" w:rsidR="002471A8" w:rsidRPr="00E97FC1" w:rsidRDefault="002471A8" w:rsidP="002471A8">
            <w:pPr>
              <w:rPr>
                <w:rFonts w:ascii="Helvetica" w:hAnsi="Helvetica" w:cs="Helvetica"/>
                <w:iCs/>
                <w:sz w:val="20"/>
                <w:lang w:val="en-GB"/>
              </w:rPr>
            </w:pPr>
            <w:r w:rsidRPr="00E97FC1">
              <w:rPr>
                <w:rFonts w:ascii="Helvetica" w:hAnsi="Helvetica" w:cs="Helvetica"/>
                <w:bCs/>
                <w:sz w:val="20"/>
                <w:lang w:val="en-GB"/>
              </w:rPr>
              <w:t>Intermembrane surface</w:t>
            </w:r>
          </w:p>
        </w:tc>
        <w:tc>
          <w:tcPr>
            <w:tcW w:w="1440" w:type="dxa"/>
          </w:tcPr>
          <w:p w14:paraId="575C559B"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reduced</w:t>
            </w:r>
          </w:p>
        </w:tc>
        <w:tc>
          <w:tcPr>
            <w:tcW w:w="1170" w:type="dxa"/>
          </w:tcPr>
          <w:p w14:paraId="0C4D0CF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iCs/>
                <w:sz w:val="20"/>
                <w:szCs w:val="20"/>
                <w:lang w:val="en-GB"/>
              </w:rPr>
              <w:t>90%</w:t>
            </w:r>
          </w:p>
        </w:tc>
        <w:tc>
          <w:tcPr>
            <w:tcW w:w="1260" w:type="dxa"/>
          </w:tcPr>
          <w:p w14:paraId="02F79B5B"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68%</w:t>
            </w:r>
          </w:p>
        </w:tc>
        <w:tc>
          <w:tcPr>
            <w:tcW w:w="1080" w:type="dxa"/>
          </w:tcPr>
          <w:p w14:paraId="700F9EF0"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NA</w:t>
            </w:r>
          </w:p>
        </w:tc>
        <w:tc>
          <w:tcPr>
            <w:tcW w:w="1260" w:type="dxa"/>
          </w:tcPr>
          <w:p w14:paraId="225155D4" w14:textId="6D3907AF"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{"citationItems":[{"id":"ITEM-1","itemData":{"DOI":"10.1074/jbc.M113.482968","ISSN":"1083-351X (Electronic)","PMID":"23864658","abstract":"The proton-translocating NADH-quinone oxidoreductase (complex I/NDH-1) contains a peripheral and a membrane domain. Three antiporter-like subunits in the membrane domain, NuoL, NuoM, and NuoN (ND5, ND4 and ND2, respectively), are structurally similar. We analyzed the role of NuoN in Escherichia coli NDH-1. The lysine residue at position 395 in NuoN (NLys(395)) is conserved in NuoL (LLys(399)) but is replaced by glutamic acid (MGlu(407)) in NuoM. Our mutation study on NLys(395) suggests that this residue participates in the proton translocation. Furthermore, we found that MGlu(407) is also essential and most likely interacts with conserved LArg(175). Glutamic acids, NGlu(133), MGlu(144), and LGlu(144), are corresponding residues. Unlike mutants of MGlu(144) and LGlu(144), mutation of NGlu(133) scarcely affected the energy-transducing activities. However, a double mutant of NGlu(133) and nearby KGlu(72) showed significant inhibition of these activities. This suggests that NGlu(133) bears a functional role similar to LGlu(144) and MGlu(144) but its mutation can be partially compensated by the nearby carboxyl residue. Conserved prolines located at loops of discontinuous transmembrane helices of NuoL, NuoM, and NuoN were shown to play a similar role in the energy-transducing activity. It seems likely that NuoL, NuoM, and NuoN pump protons by a similar mechanism. Our data also revealed that NLys(158) is one of the key interaction points with helix HL in NuoL. A truncation study indicated that the C-terminal amphipathic segments of NTM14 interacts with the Mbeta sheet located on the opposite side of helix HL. Taken together, the mechanism of H(+) translocation in NDH-1 is discussed.","author":[{"dropping-particle":"","family":"Sato","given":"Motoaki","non-dropping-particle":"","parse-names":false,"suffix":""},{"dropping-particle":"","family":"Sinha","given":"Prem Kumar","non-dropping-particle":"","parse-names":false,"suffix":""},{"dropping-particle":"","family":"Torres-Bacete","given":"Jesus","non-dropping-particle":"","parse-names":false,"suffix":""},{"dropping-particle":"","family":"Matsuno-Yagi","given":"Akemi","non-dropping-particle":"","parse-names":false,"suffix":""},{"dropping-particle":"","family":"Yagi","given":"Takao","non-dropping-particle":"","parse-names":false,"suffix":""}],"container-title":"The Journal of biological chemistry","id":"ITEM-1","issue":"34","issued":{"date-parts":[["2013","8"]]},"language":"eng","page":"24705-24716","publisher-place":"United States","title":"Energy transducing roles of antiporter-like subunits in Escherichia coli NDH-1 with main focus on subunit NuoN (ND2).","type":"article-journal","volume":"288"},"uris":["http://www.mendeley.com/documents/?uuid=0db84ce5-f2b7-4f63-9ef8-4e12ef999eec"]}],"mendeley":{"formattedCitation":"(Sato &lt;i&gt;et al&lt;/i&gt;, 2013)","plainTextFormattedCitation":"(Sato et al, 2013)","previouslyFormattedCitation":"(Sato &lt;i&gt;et al&lt;/i&gt;, 2013)"},"properties":{"noteIndex":0},"schema":"https://github.com/citation-style-language/schema/raw/master/csl-citation.json"}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(Sato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2013)</w:t>
            </w:r>
            <w:r w:rsidRPr="00E97FC1">
              <w:rPr>
                <w:rFonts w:ascii="Helvetica" w:hAnsi="Helvetica" w:cs="Helvetica"/>
                <w:b/>
                <w:bCs/>
                <w:sz w:val="16"/>
                <w:szCs w:val="16"/>
                <w:lang w:val="en-GB"/>
              </w:rPr>
              <w:fldChar w:fldCharType="end"/>
            </w:r>
          </w:p>
        </w:tc>
      </w:tr>
      <w:tr w:rsidR="002471A8" w:rsidRPr="00E97FC1" w14:paraId="0AA3FF9C" w14:textId="77777777" w:rsidTr="002471A8">
        <w:trPr>
          <w:trHeight w:val="65"/>
        </w:trPr>
        <w:tc>
          <w:tcPr>
            <w:tcW w:w="1075" w:type="dxa"/>
          </w:tcPr>
          <w:p w14:paraId="7CF3459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K399A</w:t>
            </w:r>
          </w:p>
        </w:tc>
        <w:tc>
          <w:tcPr>
            <w:tcW w:w="2790" w:type="dxa"/>
            <w:vMerge w:val="restart"/>
          </w:tcPr>
          <w:p w14:paraId="1BC1F067"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central axe, proton channel</w:t>
            </w:r>
          </w:p>
        </w:tc>
        <w:tc>
          <w:tcPr>
            <w:tcW w:w="1440" w:type="dxa"/>
          </w:tcPr>
          <w:p w14:paraId="7A304F9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low</w:t>
            </w:r>
          </w:p>
        </w:tc>
        <w:tc>
          <w:tcPr>
            <w:tcW w:w="1170" w:type="dxa"/>
          </w:tcPr>
          <w:p w14:paraId="2A6A728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105%</w:t>
            </w:r>
          </w:p>
        </w:tc>
        <w:tc>
          <w:tcPr>
            <w:tcW w:w="1260" w:type="dxa"/>
          </w:tcPr>
          <w:p w14:paraId="50B980A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20%</w:t>
            </w:r>
          </w:p>
        </w:tc>
        <w:tc>
          <w:tcPr>
            <w:tcW w:w="1080" w:type="dxa"/>
          </w:tcPr>
          <w:p w14:paraId="7788B8E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5329EE33" w14:textId="49B4B775"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{"citationItems":[{"id":"ITEM-1","itemData":{"DOI":"10.1074/jbc.M110.157826","ISSN":"1083-351X (Electronic)","PMID":"20826797","abstract":"Complex I pumps protons across the membrane by using downhill redox energy. Here, to  investigate the proton pumping mechanism by complex I, we focused on the largest transmembrane subunit NuoL (Escherichia coli ND5 homolog). NuoL/ND5 is believed to have H(+) translocation site(s), because of a high sequence similarity to multi-subunit Na(+)/H(+) antiporters. We mutated thirteen highly conserved residues between NuoL/ND5 and MrpA of Na(+)/H(+) antiporters in the chromosomal nuoL gene. The dNADH oxidase activities in mutant membranes were mostly at the control level or modestly reduced, except mutants of Glu-144, Lys-229, and Lys-399. In contrast, the peripheral dNADH-K(3)Fe(CN)(6) reductase activities basically remained unchanged in all the NuoL mutants, suggesting that the peripheral arm of complex I was not affected by point mutations in NuoL. The proton pumping efficiency (the ratio of H(+)/e(-)), however, was decreased in most NuoL mutants by 30-50%, while the IC(50) values for asimicin (a potent complex I inhibitor) remained unchanged. This suggests that the H(+)/e(-) stoichiometry has changed from 4H(+)/2e(-) to 3H(+) or 2H(+)/2e(-) without affecting the direct coupling site. Furthermore, 50 μm of 5-(N-ethyl-N-isopropyl)-amiloride (EIPA), a specific inhibitor for Na(+)/H(+) antiporters, caused a 38 ± 5% decrease in the initial H(+) pump activity in the wild type, while no change was observed in D178N, D303A, and D400A mutants where the H(+) pumping efficiency had already been significantly decreased. The electron transfer activities were basically unaffected by EIPA in both control and mutants. Taken together, our data strongly indicate that the NuoL subunit is involved in the indirect coupling mechanism.","author":[{"dropping-particle":"","family":"Nakamaru-Ogiso","given":"Eiko","non-dropping-particle":"","parse-names":false,"suffix":""},{"dropping-particle":"","family":"Kao","given":"Mou-Chieh","non-dropping-particle":"","parse-names":false,"suffix":""},{"dropping-particle":"","family":"Chen","given":"Han","non-dropping-particle":"","parse-names":false,"suffix":""},{"dropping-particle":"","family":"Sinha","given":"Subhash C","non-dropping-particle":"","parse-names":false,"suffix":""},{"dropping-particle":"","family":"Yagi","given":"Takao","non-dropping-particle":"","parse-names":false,"suffix":""},{"dropping-particle":"","family":"Ohnishi","given":"Tomoko","non-dropping-particle":"","parse-names":false,"suffix":""}],"container-title":"The Journal of biological chemistry","id":"ITEM-1","issue":"50","issued":{"date-parts":[["2010","12"]]},"language":"eng","page":"39070-39078","title":"The membrane subunit NuoL(ND5) is involved in the indirect proton pumping mechanism  of Escherichia coli complex I.","type":"article-journal","volume":"285"},"uris":["http://www.mendeley.com/documents/?uuid=02cbb064-fe61-4eb3-9c40-ad25376d574e"]}],"mendeley":{"formattedCitation":"(Nakamaru-Ogiso &lt;i&gt;et al&lt;/i&gt;, 2010)","plainTextFormattedCitation":"(Nakamaru-Ogiso et al, 2010)","previouslyFormattedCitation":"(Nakamaru-Ogiso &lt;i&gt;et al&lt;/i&gt;, 2010)"},"properties":{"noteIndex":0},"schema":"https://github.com/citation-style-language/schema/raw/master/csl-citation.json"}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(Nakamaru-Ogiso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2010)</w:t>
            </w:r>
            <w:r w:rsidRPr="00E97FC1">
              <w:rPr>
                <w:rFonts w:ascii="Helvetica" w:hAnsi="Helvetica" w:cs="Helvetica"/>
                <w:b/>
                <w:bCs/>
                <w:sz w:val="16"/>
                <w:szCs w:val="16"/>
                <w:lang w:val="en-GB"/>
              </w:rPr>
              <w:fldChar w:fldCharType="end"/>
            </w:r>
          </w:p>
        </w:tc>
      </w:tr>
      <w:tr w:rsidR="002471A8" w:rsidRPr="00E97FC1" w14:paraId="0B0F66A1" w14:textId="77777777" w:rsidTr="002471A8">
        <w:trPr>
          <w:trHeight w:val="65"/>
        </w:trPr>
        <w:tc>
          <w:tcPr>
            <w:tcW w:w="1075" w:type="dxa"/>
          </w:tcPr>
          <w:p w14:paraId="5091B86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K399E</w:t>
            </w:r>
          </w:p>
        </w:tc>
        <w:tc>
          <w:tcPr>
            <w:tcW w:w="2790" w:type="dxa"/>
            <w:vMerge/>
          </w:tcPr>
          <w:p w14:paraId="015CDC48" w14:textId="77777777" w:rsidR="002471A8" w:rsidRPr="00E97FC1" w:rsidRDefault="002471A8" w:rsidP="002471A8">
            <w:pPr>
              <w:rPr>
                <w:rFonts w:ascii="Helvetica" w:hAnsi="Helvetica" w:cs="Helvetica"/>
                <w:sz w:val="20"/>
                <w:lang w:val="en-GB"/>
              </w:rPr>
            </w:pPr>
          </w:p>
        </w:tc>
        <w:tc>
          <w:tcPr>
            <w:tcW w:w="1440" w:type="dxa"/>
          </w:tcPr>
          <w:p w14:paraId="627B6FD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low</w:t>
            </w:r>
          </w:p>
        </w:tc>
        <w:tc>
          <w:tcPr>
            <w:tcW w:w="1170" w:type="dxa"/>
          </w:tcPr>
          <w:p w14:paraId="347ED2CB"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100%</w:t>
            </w:r>
          </w:p>
        </w:tc>
        <w:tc>
          <w:tcPr>
            <w:tcW w:w="1260" w:type="dxa"/>
          </w:tcPr>
          <w:p w14:paraId="0069777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15%</w:t>
            </w:r>
          </w:p>
        </w:tc>
        <w:tc>
          <w:tcPr>
            <w:tcW w:w="1080" w:type="dxa"/>
          </w:tcPr>
          <w:p w14:paraId="6918A8C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7210D6DA" w14:textId="073EC24B"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{"citationItems":[{"id":"ITEM-1","itemData":{"DOI":"10.1074/jbc.M110.157826","ISSN":"1083-351X (Electronic)","PMID":"20826797","abstract":"Complex I pumps protons across the membrane by using downhill redox energy. Here, to  investigate the proton pumping mechanism by complex I, we focused on the largest transmembrane subunit NuoL (Escherichia coli ND5 homolog). NuoL/ND5 is believed to have H(+) translocation site(s), because of a high sequence similarity to multi-subunit Na(+)/H(+) antiporters. We mutated thirteen highly conserved residues between NuoL/ND5 and MrpA of Na(+)/H(+) antiporters in the chromosomal nuoL gene. The dNADH oxidase activities in mutant membranes were mostly at the control level or modestly reduced, except mutants of Glu-144, Lys-229, and Lys-399. In contrast, the peripheral dNADH-K(3)Fe(CN)(6) reductase activities basically remained unchanged in all the NuoL mutants, suggesting that the peripheral arm of complex I was not affected by point mutations in NuoL. The proton pumping efficiency (the ratio of H(+)/e(-)), however, was decreased in most NuoL mutants by 30-50%, while the IC(50) values for asimicin (a potent complex I inhibitor) remained unchanged. This suggests that the H(+)/e(-) stoichiometry has changed from 4H(+)/2e(-) to 3H(+) or 2H(+)/2e(-) without affecting the direct coupling site. Furthermore, 50 μm of 5-(N-ethyl-N-isopropyl)-amiloride (EIPA), a specific inhibitor for Na(+)/H(+) antiporters, caused a 38 ± 5% decrease in the initial H(+) pump activity in the wild type, while no change was observed in D178N, D303A, and D400A mutants where the H(+) pumping efficiency had already been significantly decreased. The electron transfer activities were basically unaffected by EIPA in both control and mutants. Taken together, our data strongly indicate that the NuoL subunit is involved in the indirect coupling mechanism.","author":[{"dropping-particle":"","family":"Nakamaru-Ogiso","given":"Eiko","non-dropping-particle":"","parse-names":false,"suffix":""},{"dropping-particle":"","family":"Kao","given":"Mou-Chieh","non-dropping-particle":"","parse-names":false,"suffix":""},{"dropping-particle":"","family":"Chen","given":"Han","non-dropping-particle":"","parse-names":false,"suffix":""},{"dropping-particle":"","family":"Sinha","given":"Subhash C","non-dropping-particle":"","parse-names":false,"suffix":""},{"dropping-particle":"","family":"Yagi","given":"Takao","non-dropping-particle":"","parse-names":false,"suffix":""},{"dropping-particle":"","family":"Ohnishi","given":"Tomoko","non-dropping-particle":"","parse-names":false,"suffix":""}],"container-title":"The Journal of biological chemistry","id":"ITEM-1","issue":"50","issued":{"date-parts":[["2010","12"]]},"language":"eng","page":"39070-39078","title":"The membrane subunit NuoL(ND5) is involved in the indirect proton pumping mechanism  of Escherichia coli complex I.","type":"article-journal","volume":"285"},"uris":["http://www.mendeley.com/documents/?uuid=02cbb064-fe61-4eb3-9c40-ad25376d574e"]}],"mendeley":{"formattedCitation":"(Nakamaru-Ogiso &lt;i&gt;et al&lt;/i&gt;, 2010)","plainTextFormattedCitation":"(Nakamaru-Ogiso et al, 2010)","previouslyFormattedCitation":"(Nakamaru-Ogiso &lt;i&gt;et al&lt;/i&gt;, 2010)"},"properties":{"noteIndex":0},"schema":"https://github.com/citation-style-language/schema/raw/master/csl-citation.json"}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(Nakamaru-Ogiso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2010)</w:t>
            </w:r>
            <w:r w:rsidRPr="00E97FC1">
              <w:rPr>
                <w:rFonts w:ascii="Helvetica" w:hAnsi="Helvetica" w:cs="Helvetica"/>
                <w:b/>
                <w:bCs/>
                <w:sz w:val="16"/>
                <w:szCs w:val="16"/>
                <w:lang w:val="en-GB"/>
              </w:rPr>
              <w:fldChar w:fldCharType="end"/>
            </w:r>
          </w:p>
        </w:tc>
      </w:tr>
      <w:tr w:rsidR="002471A8" w:rsidRPr="00E97FC1" w14:paraId="72D240E6" w14:textId="77777777" w:rsidTr="002471A8">
        <w:trPr>
          <w:trHeight w:val="65"/>
        </w:trPr>
        <w:tc>
          <w:tcPr>
            <w:tcW w:w="1075" w:type="dxa"/>
          </w:tcPr>
          <w:p w14:paraId="68E0E4A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D400A</w:t>
            </w:r>
          </w:p>
        </w:tc>
        <w:tc>
          <w:tcPr>
            <w:tcW w:w="2790" w:type="dxa"/>
            <w:vMerge w:val="restart"/>
          </w:tcPr>
          <w:p w14:paraId="16B10DC0"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central axe, proton channel, surface</w:t>
            </w:r>
          </w:p>
        </w:tc>
        <w:tc>
          <w:tcPr>
            <w:tcW w:w="1440" w:type="dxa"/>
          </w:tcPr>
          <w:p w14:paraId="216936E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5C6AE4B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120%</w:t>
            </w:r>
          </w:p>
        </w:tc>
        <w:tc>
          <w:tcPr>
            <w:tcW w:w="1260" w:type="dxa"/>
          </w:tcPr>
          <w:p w14:paraId="0BD573A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70%</w:t>
            </w:r>
          </w:p>
        </w:tc>
        <w:tc>
          <w:tcPr>
            <w:tcW w:w="1080" w:type="dxa"/>
          </w:tcPr>
          <w:p w14:paraId="16C1F34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50%</w:t>
            </w:r>
          </w:p>
        </w:tc>
        <w:tc>
          <w:tcPr>
            <w:tcW w:w="1260" w:type="dxa"/>
          </w:tcPr>
          <w:p w14:paraId="299FCEEE" w14:textId="116684FB"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{"citationItems":[{"id":"ITEM-1","itemData":{"DOI":"10.1074/jbc.M110.157826","ISSN":"1083-351X (Electronic)","PMID":"20826797","abstract":"Complex I pumps protons across the membrane by using downhill redox energy. Here, to  investigate the proton pumping mechanism by complex I, we focused on the largest transmembrane subunit NuoL (Escherichia coli ND5 homolog). NuoL/ND5 is believed to have H(+) translocation site(s), because of a high sequence similarity to multi-subunit Na(+)/H(+) antiporters. We mutated thirteen highly conserved residues between NuoL/ND5 and MrpA of Na(+)/H(+) antiporters in the chromosomal nuoL gene. The dNADH oxidase activities in mutant membranes were mostly at the control level or modestly reduced, except mutants of Glu-144, Lys-229, and Lys-399. In contrast, the peripheral dNADH-K(3)Fe(CN)(6) reductase activities basically remained unchanged in all the NuoL mutants, suggesting that the peripheral arm of complex I was not affected by point mutations in NuoL. The proton pumping efficiency (the ratio of H(+)/e(-)), however, was decreased in most NuoL mutants by 30-50%, while the IC(50) values for asimicin (a potent complex I inhibitor) remained unchanged. This suggests that the H(+)/e(-) stoichiometry has changed from 4H(+)/2e(-) to 3H(+) or 2H(+)/2e(-) without affecting the direct coupling site. Furthermore, 50 μm of 5-(N-ethyl-N-isopropyl)-amiloride (EIPA), a specific inhibitor for Na(+)/H(+) antiporters, caused a 38 ± 5% decrease in the initial H(+) pump activity in the wild type, while no change was observed in D178N, D303A, and D400A mutants where the H(+) pumping efficiency had already been significantly decreased. The electron transfer activities were basically unaffected by EIPA in both control and mutants. Taken together, our data strongly indicate that the NuoL subunit is involved in the indirect coupling mechanism.","author":[{"dropping-particle":"","family":"Nakamaru-Ogiso","given":"Eiko","non-dropping-particle":"","parse-names":false,"suffix":""},{"dropping-particle":"","family":"Kao","given":"Mou-Chieh","non-dropping-particle":"","parse-names":false,"suffix":""},{"dropping-particle":"","family":"Chen","given":"Han","non-dropping-particle":"","parse-names":false,"suffix":""},{"dropping-particle":"","family":"Sinha","given":"Subhash C","non-dropping-particle":"","parse-names":false,"suffix":""},{"dropping-particle":"","family":"Yagi","given":"Takao","non-dropping-particle":"","parse-names":false,"suffix":""},{"dropping-particle":"","family":"Ohnishi","given":"Tomoko","non-dropping-particle":"","parse-names":false,"suffix":""}],"container-title":"The Journal of biological chemistry","id":"ITEM-1","issue":"50","issued":{"date-parts":[["2010","12"]]},"language":"eng","page":"39070-39078","title":"The membrane subunit NuoL(ND5) is involved in the indirect proton pumping mechanism  of Escherichia coli complex I.","type":"article-journal","volume":"285"},"uris":["http://www.mendeley.com/documents/?uuid=02cbb064-fe61-4eb3-9c40-ad25376d574e"]}],"mendeley":{"formattedCitation":"(Nakamaru-Ogiso &lt;i&gt;et al&lt;/i&gt;, 2010)","plainTextFormattedCitation":"(Nakamaru-Ogiso et al, 2010)","previouslyFormattedCitation":"(Nakamaru-Ogiso &lt;i&gt;et al&lt;/i&gt;, 2010)"},"properties":{"noteIndex":0},"schema":"https://github.com/citation-style-language/schema/raw/master/csl-citation.json"}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(Nakamaru-Ogiso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2010)</w:t>
            </w:r>
            <w:r w:rsidRPr="00E97FC1">
              <w:rPr>
                <w:rFonts w:ascii="Helvetica" w:hAnsi="Helvetica" w:cs="Helvetica"/>
                <w:b/>
                <w:bCs/>
                <w:sz w:val="16"/>
                <w:szCs w:val="16"/>
                <w:lang w:val="en-GB"/>
              </w:rPr>
              <w:fldChar w:fldCharType="end"/>
            </w:r>
            <w:r w:rsidRPr="00E97FC1">
              <w:rPr>
                <w:rFonts w:ascii="Helvetica" w:hAnsi="Helvetica" w:cs="Helvetica"/>
                <w:b/>
                <w:bCs/>
                <w:sz w:val="16"/>
                <w:szCs w:val="16"/>
                <w:lang w:val="en-GB"/>
              </w:rPr>
              <w:t xml:space="preserve">, </w:t>
            </w:r>
            <w:r w:rsidRPr="00E97FC1">
              <w:rPr>
                <w:rFonts w:ascii="Helvetica" w:hAnsi="Helvetica" w:cs="Helvetica"/>
                <w:sz w:val="16"/>
                <w:szCs w:val="16"/>
                <w:lang w:val="en-GB"/>
              </w:rPr>
              <w:t>(EIPA insensitive)</w:t>
            </w:r>
          </w:p>
        </w:tc>
      </w:tr>
      <w:tr w:rsidR="002471A8" w:rsidRPr="00E97FC1" w14:paraId="105BF98B" w14:textId="77777777" w:rsidTr="002471A8">
        <w:trPr>
          <w:trHeight w:val="65"/>
        </w:trPr>
        <w:tc>
          <w:tcPr>
            <w:tcW w:w="1075" w:type="dxa"/>
          </w:tcPr>
          <w:p w14:paraId="0710997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D400N</w:t>
            </w:r>
          </w:p>
        </w:tc>
        <w:tc>
          <w:tcPr>
            <w:tcW w:w="2790" w:type="dxa"/>
            <w:vMerge/>
          </w:tcPr>
          <w:p w14:paraId="22DD1379" w14:textId="77777777" w:rsidR="002471A8" w:rsidRPr="00E97FC1" w:rsidRDefault="002471A8" w:rsidP="002471A8">
            <w:pPr>
              <w:rPr>
                <w:rFonts w:ascii="Helvetica" w:hAnsi="Helvetica" w:cs="Helvetica"/>
                <w:sz w:val="20"/>
                <w:lang w:val="en-GB"/>
              </w:rPr>
            </w:pPr>
          </w:p>
        </w:tc>
        <w:tc>
          <w:tcPr>
            <w:tcW w:w="1440" w:type="dxa"/>
          </w:tcPr>
          <w:p w14:paraId="1640D23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4FCE3A5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105%</w:t>
            </w:r>
          </w:p>
        </w:tc>
        <w:tc>
          <w:tcPr>
            <w:tcW w:w="1260" w:type="dxa"/>
          </w:tcPr>
          <w:p w14:paraId="35A1D13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90%</w:t>
            </w:r>
          </w:p>
        </w:tc>
        <w:tc>
          <w:tcPr>
            <w:tcW w:w="1080" w:type="dxa"/>
          </w:tcPr>
          <w:p w14:paraId="1BE3CCC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70%</w:t>
            </w:r>
          </w:p>
        </w:tc>
        <w:tc>
          <w:tcPr>
            <w:tcW w:w="1260" w:type="dxa"/>
          </w:tcPr>
          <w:p w14:paraId="0D339EB3" w14:textId="27BD2195"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{"citationItems":[{"id":"ITEM-1","itemData":{"DOI":"10.1074/jbc.M110.157826","ISSN":"1083-351X (Electronic)","PMID":"20826797","abstract":"Complex I pumps protons across the membrane by using downhill redox energy. Here, to  investigate the proton pumping mechanism by complex I, we focused on the largest transmembrane subunit NuoL (Escherichia coli ND5 homolog). NuoL/ND5 is believed to have H(+) translocation site(s), because of a high sequence similarity to multi-subunit Na(+)/H(+) antiporters. We mutated thirteen highly conserved residues between NuoL/ND5 and MrpA of Na(+)/H(+) antiporters in the chromosomal nuoL gene. The dNADH oxidase activities in mutant membranes were mostly at the control level or modestly reduced, except mutants of Glu-144, Lys-229, and Lys-399. In contrast, the peripheral dNADH-K(3)Fe(CN)(6) reductase activities basically remained unchanged in all the NuoL mutants, suggesting that the peripheral arm of complex I was not affected by point mutations in NuoL. The proton pumping efficiency (the ratio of H(+)/e(-)), however, was decreased in most NuoL mutants by 30-50%, while the IC(50) values for asimicin (a potent complex I inhibitor) remained unchanged. This suggests that the H(+)/e(-) stoichiometry has changed from 4H(+)/2e(-) to 3H(+) or 2H(+)/2e(-) without affecting the direct coupling site. Furthermore, 50 μm of 5-(N-ethyl-N-isopropyl)-amiloride (EIPA), a specific inhibitor for Na(+)/H(+) antiporters, caused a 38 ± 5% decrease in the initial H(+) pump activity in the wild type, while no change was observed in D178N, D303A, and D400A mutants where the H(+) pumping efficiency had already been significantly decreased. The electron transfer activities were basically unaffected by EIPA in both control and mutants. Taken together, our data strongly indicate that the NuoL subunit is involved in the indirect coupling mechanism.","author":[{"dropping-particle":"","family":"Nakamaru-Ogiso","given":"Eiko","non-dropping-particle":"","parse-names":false,"suffix":""},{"dropping-particle":"","family":"Kao","given":"Mou-Chieh","non-dropping-particle":"","parse-names":false,"suffix":""},{"dropping-particle":"","family":"Chen","given":"Han","non-dropping-particle":"","parse-names":false,"suffix":""},{"dropping-particle":"","family":"Sinha","given":"Subhash C","non-dropping-particle":"","parse-names":false,"suffix":""},{"dropping-particle":"","family":"Yagi","given":"Takao","non-dropping-particle":"","parse-names":false,"suffix":""},{"dropping-particle":"","family":"Ohnishi","given":"Tomoko","non-dropping-particle":"","parse-names":false,"suffix":""}],"container-title":"The Journal of biological chemistry","id":"ITEM-1","issue":"50","issued":{"date-parts":[["2010","12"]]},"language":"eng","page":"39070-39078","title":"The membrane subunit NuoL(ND5) is involved in the indirect proton pumping mechanism  of Escherichia coli complex I.","type":"article-journal","volume":"285"},"uris":["http://www.mendeley.com/documents/?uuid=02cbb064-fe61-4eb3-9c40-ad25376d574e"]}],"mendeley":{"formattedCitation":"(Nakamaru-Ogiso &lt;i&gt;et al&lt;/i&gt;, 2010)","plainTextFormattedCitation":"(Nakamaru-Ogiso et al, 2010)","previouslyFormattedCitation":"(Nakamaru-Ogiso &lt;i&gt;et al&lt;/i&gt;, 2010)"},"properties":{"noteIndex":0},"schema":"https://github.com/citation-style-language/schema/raw/master/csl-citation.json"}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(Nakamaru-Ogiso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2010)</w:t>
            </w:r>
            <w:r w:rsidRPr="00E97FC1">
              <w:rPr>
                <w:rFonts w:ascii="Helvetica" w:hAnsi="Helvetica" w:cs="Helvetica"/>
                <w:b/>
                <w:bCs/>
                <w:sz w:val="16"/>
                <w:szCs w:val="16"/>
                <w:lang w:val="en-GB"/>
              </w:rPr>
              <w:fldChar w:fldCharType="end"/>
            </w:r>
          </w:p>
        </w:tc>
      </w:tr>
      <w:tr w:rsidR="002471A8" w:rsidRPr="00E97FC1" w14:paraId="3BA6391D" w14:textId="77777777" w:rsidTr="002471A8">
        <w:trPr>
          <w:trHeight w:val="65"/>
        </w:trPr>
        <w:tc>
          <w:tcPr>
            <w:tcW w:w="1075" w:type="dxa"/>
          </w:tcPr>
          <w:p w14:paraId="33810C0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D400E</w:t>
            </w:r>
          </w:p>
        </w:tc>
        <w:tc>
          <w:tcPr>
            <w:tcW w:w="2790" w:type="dxa"/>
            <w:vMerge/>
          </w:tcPr>
          <w:p w14:paraId="78B77422" w14:textId="77777777" w:rsidR="002471A8" w:rsidRPr="00E97FC1" w:rsidRDefault="002471A8" w:rsidP="002471A8">
            <w:pPr>
              <w:rPr>
                <w:rFonts w:ascii="Helvetica" w:hAnsi="Helvetica" w:cs="Helvetica"/>
                <w:sz w:val="20"/>
                <w:lang w:val="en-GB"/>
              </w:rPr>
            </w:pPr>
          </w:p>
        </w:tc>
        <w:tc>
          <w:tcPr>
            <w:tcW w:w="1440" w:type="dxa"/>
          </w:tcPr>
          <w:p w14:paraId="30EF256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617AAD5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130%</w:t>
            </w:r>
          </w:p>
        </w:tc>
        <w:tc>
          <w:tcPr>
            <w:tcW w:w="1260" w:type="dxa"/>
          </w:tcPr>
          <w:p w14:paraId="3A59DDE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100%</w:t>
            </w:r>
          </w:p>
        </w:tc>
        <w:tc>
          <w:tcPr>
            <w:tcW w:w="1080" w:type="dxa"/>
          </w:tcPr>
          <w:p w14:paraId="24A25F8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90%</w:t>
            </w:r>
          </w:p>
        </w:tc>
        <w:tc>
          <w:tcPr>
            <w:tcW w:w="1260" w:type="dxa"/>
          </w:tcPr>
          <w:p w14:paraId="04368C04" w14:textId="6B433A3B"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{"citationItems":[{"id":"ITEM-1","itemData":{"DOI":"10.1074/jbc.M110.157826","ISSN":"1083-351X (Electronic)","PMID":"20826797","abstract":"Complex I pumps protons across the membrane by using downhill redox energy. Here, to  investigate the proton pumping mechanism by complex I, we focused on the largest transmembrane subunit NuoL (Escherichia coli ND5 homolog). NuoL/ND5 is believed to have H(+) translocation site(s), because of a high sequence similarity to multi-subunit Na(+)/H(+) antiporters. We mutated thirteen highly conserved residues between NuoL/ND5 and MrpA of Na(+)/H(+) antiporters in the chromosomal nuoL gene. The dNADH oxidase activities in mutant membranes were mostly at the control level or modestly reduced, except mutants of Glu-144, Lys-229, and Lys-399. In contrast, the peripheral dNADH-K(3)Fe(CN)(6) reductase activities basically remained unchanged in all the NuoL mutants, suggesting that the peripheral arm of complex I was not affected by point mutations in NuoL. The proton pumping efficiency (the ratio of H(+)/e(-)), however, was decreased in most NuoL mutants by 30-50%, while the IC(50) values for asimicin (a potent complex I inhibitor) remained unchanged. This suggests that the H(+)/e(-) stoichiometry has changed from 4H(+)/2e(-) to 3H(+) or 2H(+)/2e(-) without affecting the direct coupling site. Furthermore, 50 μm of 5-(N-ethyl-N-isopropyl)-amiloride (EIPA), a specific inhibitor for Na(+)/H(+) antiporters, caused a 38 ± 5% decrease in the initial H(+) pump activity in the wild type, while no change was observed in D178N, D303A, and D400A mutants where the H(+) pumping efficiency had already been significantly decreased. The electron transfer activities were basically unaffected by EIPA in both control and mutants. Taken together, our data strongly indicate that the NuoL subunit is involved in the indirect coupling mechanism.","author":[{"dropping-particle":"","family":"Nakamaru-Ogiso","given":"Eiko","non-dropping-particle":"","parse-names":false,"suffix":""},{"dropping-particle":"","family":"Kao","given":"Mou-Chieh","non-dropping-particle":"","parse-names":false,"suffix":""},{"dropping-particle":"","family":"Chen","given":"Han","non-dropping-particle":"","parse-names":false,"suffix":""},{"dropping-particle":"","family":"Sinha","given":"Subhash C","non-dropping-particle":"","parse-names":false,"suffix":""},{"dropping-particle":"","family":"Yagi","given":"Takao","non-dropping-particle":"","parse-names":false,"suffix":""},{"dropping-particle":"","family":"Ohnishi","given":"Tomoko","non-dropping-particle":"","parse-names":false,"suffix":""}],"container-title":"The Journal of biological chemistry","id":"ITEM-1","issue":"50","issued":{"date-parts":[["2010","12"]]},"language":"eng","page":"39070-39078","title":"The membrane subunit NuoL(ND5) is involved in the indirect proton pumping mechanism  of Escherichia coli complex I.","type":"article-journal","volume":"285"},"uris":["http://www.mendeley.com/documents/?uuid=02cbb064-fe61-4eb3-9c40-ad25376d574e"]}],"mendeley":{"formattedCitation":"(Nakamaru-Ogiso &lt;i&gt;et al&lt;/i&gt;, 2010)","plainTextFormattedCitation":"(Nakamaru-Ogiso et al, 2010)","previouslyFormattedCitation":"(Nakamaru-Ogiso &lt;i&gt;et al&lt;/i&gt;, 2010)"},"properties":{"noteIndex":0},"schema":"https://github.com/citation-style-language/schema/raw/master/csl-citation.json"}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(Nakamaru-Ogiso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2010)</w:t>
            </w:r>
            <w:r w:rsidRPr="00E97FC1">
              <w:rPr>
                <w:rFonts w:ascii="Helvetica" w:hAnsi="Helvetica" w:cs="Helvetica"/>
                <w:b/>
                <w:bCs/>
                <w:sz w:val="16"/>
                <w:szCs w:val="16"/>
                <w:lang w:val="en-GB"/>
              </w:rPr>
              <w:fldChar w:fldCharType="end"/>
            </w:r>
          </w:p>
        </w:tc>
      </w:tr>
      <w:tr w:rsidR="002471A8" w:rsidRPr="00E97FC1" w14:paraId="07997958" w14:textId="77777777" w:rsidTr="002471A8">
        <w:trPr>
          <w:trHeight w:val="65"/>
        </w:trPr>
        <w:tc>
          <w:tcPr>
            <w:tcW w:w="1075" w:type="dxa"/>
          </w:tcPr>
          <w:p w14:paraId="72E9E83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R431A</w:t>
            </w:r>
          </w:p>
        </w:tc>
        <w:tc>
          <w:tcPr>
            <w:tcW w:w="2790" w:type="dxa"/>
            <w:vMerge w:val="restart"/>
          </w:tcPr>
          <w:p w14:paraId="127DBE21"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surface, near HL</w:t>
            </w:r>
          </w:p>
        </w:tc>
        <w:tc>
          <w:tcPr>
            <w:tcW w:w="1440" w:type="dxa"/>
          </w:tcPr>
          <w:p w14:paraId="7CF3A41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low</w:t>
            </w:r>
          </w:p>
        </w:tc>
        <w:tc>
          <w:tcPr>
            <w:tcW w:w="1170" w:type="dxa"/>
          </w:tcPr>
          <w:p w14:paraId="29EC1294"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60%</w:t>
            </w:r>
          </w:p>
        </w:tc>
        <w:tc>
          <w:tcPr>
            <w:tcW w:w="1260" w:type="dxa"/>
          </w:tcPr>
          <w:p w14:paraId="60917F0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10%</w:t>
            </w:r>
          </w:p>
        </w:tc>
        <w:tc>
          <w:tcPr>
            <w:tcW w:w="1080" w:type="dxa"/>
          </w:tcPr>
          <w:p w14:paraId="48C2D90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760DB9B0" w14:textId="59BD0EE2"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{"citationItems":[{"id":"ITEM-1","itemData":{"DOI":"10.1074/jbc.M110.157826","ISSN":"1083-351X (Electronic)","PMID":"20826797","abstract":"Complex I pumps protons across the membrane by using downhill redox energy. Here, to  investigate the proton pumping mechanism by complex I, we focused on the largest transmembrane subunit NuoL (Escherichia coli ND5 homolog). NuoL/ND5 is believed to have H(+) translocation site(s), because of a high sequence similarity to multi-subunit Na(+)/H(+) antiporters. We mutated thirteen highly conserved residues between NuoL/ND5 and MrpA of Na(+)/H(+) antiporters in the chromosomal nuoL gene. The dNADH oxidase activities in mutant membranes were mostly at the control level or modestly reduced, except mutants of Glu-144, Lys-229, and Lys-399. In contrast, the peripheral dNADH-K(3)Fe(CN)(6) reductase activities basically remained unchanged in all the NuoL mutants, suggesting that the peripheral arm of complex I was not affected by point mutations in NuoL. The proton pumping efficiency (the ratio of H(+)/e(-)), however, was decreased in most NuoL mutants by 30-50%, while the IC(50) values for asimicin (a potent complex I inhibitor) remained unchanged. This suggests that the H(+)/e(-) stoichiometry has changed from 4H(+)/2e(-) to 3H(+) or 2H(+)/2e(-) without affecting the direct coupling site. Furthermore, 50 μm of 5-(N-ethyl-N-isopropyl)-amiloride (EIPA), a specific inhibitor for Na(+)/H(+) antiporters, caused a 38 ± 5% decrease in the initial H(+) pump activity in the wild type, while no change was observed in D178N, D303A, and D400A mutants where the H(+) pumping efficiency had already been significantly decreased. The electron transfer activities were basically unaffected by EIPA in both control and mutants. Taken together, our data strongly indicate that the NuoL subunit is involved in the indirect coupling mechanism.","author":[{"dropping-particle":"","family":"Nakamaru-Ogiso","given":"Eiko","non-dropping-particle":"","parse-names":false,"suffix":""},{"dropping-particle":"","family":"Kao","given":"Mou-Chieh","non-dropping-particle":"","parse-names":false,"suffix":""},{"dropping-particle":"","family":"Chen","given":"Han","non-dropping-particle":"","parse-names":false,"suffix":""},{"dropping-particle":"","family":"Sinha","given":"Subhash C","non-dropping-particle":"","parse-names":false,"suffix":""},{"dropping-particle":"","family":"Yagi","given":"Takao","non-dropping-particle":"","parse-names":false,"suffix":""},{"dropping-particle":"","family":"Ohnishi","given":"Tomoko","non-dropping-particle":"","parse-names":false,"suffix":""}],"container-title":"The Journal of biological chemistry","id":"ITEM-1","issue":"50","issued":{"date-parts":[["2010","12"]]},"language":"eng","page":"39070-39078","title":"The membrane subunit NuoL(ND5) is involved in the indirect proton pumping mechanism  of Escherichia coli complex I.","type":"article-journal","volume":"285"},"uris":["http://www.mendeley.com/documents/?uuid=02cbb064-fe61-4eb3-9c40-ad25376d574e"]}],"mendeley":{"formattedCitation":"(Nakamaru-Ogiso &lt;i&gt;et al&lt;/i&gt;, 2010)","plainTextFormattedCitation":"(Nakamaru-Ogiso et al, 2010)","previouslyFormattedCitation":"(Nakamaru-Ogiso &lt;i&gt;et al&lt;/i&gt;, 2010)"},"properties":{"noteIndex":0},"schema":"https://github.com/citation-style-language/schema/raw/master/csl-citation.json"}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(Nakamaru-Ogiso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2010)</w:t>
            </w:r>
            <w:r w:rsidRPr="00E97FC1">
              <w:rPr>
                <w:rFonts w:ascii="Helvetica" w:hAnsi="Helvetica" w:cs="Helvetica"/>
                <w:b/>
                <w:bCs/>
                <w:sz w:val="16"/>
                <w:szCs w:val="16"/>
                <w:lang w:val="en-GB"/>
              </w:rPr>
              <w:fldChar w:fldCharType="end"/>
            </w:r>
          </w:p>
        </w:tc>
      </w:tr>
      <w:tr w:rsidR="002471A8" w:rsidRPr="00E97FC1" w14:paraId="325AE926" w14:textId="77777777" w:rsidTr="002471A8">
        <w:trPr>
          <w:trHeight w:val="65"/>
        </w:trPr>
        <w:tc>
          <w:tcPr>
            <w:tcW w:w="1075" w:type="dxa"/>
          </w:tcPr>
          <w:p w14:paraId="25D0E7B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R431H</w:t>
            </w:r>
          </w:p>
        </w:tc>
        <w:tc>
          <w:tcPr>
            <w:tcW w:w="2790" w:type="dxa"/>
            <w:vMerge/>
          </w:tcPr>
          <w:p w14:paraId="5A56C4B4" w14:textId="77777777" w:rsidR="002471A8" w:rsidRPr="00E97FC1" w:rsidRDefault="002471A8" w:rsidP="002471A8">
            <w:pPr>
              <w:rPr>
                <w:rFonts w:ascii="Helvetica" w:hAnsi="Helvetica" w:cs="Helvetica"/>
                <w:sz w:val="20"/>
                <w:szCs w:val="20"/>
                <w:lang w:val="en-GB"/>
              </w:rPr>
            </w:pPr>
          </w:p>
        </w:tc>
        <w:tc>
          <w:tcPr>
            <w:tcW w:w="1440" w:type="dxa"/>
          </w:tcPr>
          <w:p w14:paraId="4DC50A1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1B206F3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120%</w:t>
            </w:r>
          </w:p>
        </w:tc>
        <w:tc>
          <w:tcPr>
            <w:tcW w:w="1260" w:type="dxa"/>
          </w:tcPr>
          <w:p w14:paraId="4656810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 xml:space="preserve">100%  </w:t>
            </w:r>
          </w:p>
        </w:tc>
        <w:tc>
          <w:tcPr>
            <w:tcW w:w="1080" w:type="dxa"/>
          </w:tcPr>
          <w:p w14:paraId="7FA15F7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6CD7EAE3" w14:textId="28D9D0C7"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{"citationItems":[{"id":"ITEM-1","itemData":{"DOI":"10.1074/jbc.M110.157826","ISSN":"1083-351X (Electronic)","PMID":"20826797","abstract":"Complex I pumps protons across the membrane by using downhill redox energy. Here, to  investigate the proton pumping mechanism by complex I, we focused on the largest transmembrane subunit NuoL (Escherichia coli ND5 homolog). NuoL/ND5 is believed to have H(+) translocation site(s), because of a high sequence similarity to multi-subunit Na(+)/H(+) antiporters. We mutated thirteen highly conserved residues between NuoL/ND5 and MrpA of Na(+)/H(+) antiporters in the chromosomal nuoL gene. The dNADH oxidase activities in mutant membranes were mostly at the control level or modestly reduced, except mutants of Glu-144, Lys-229, and Lys-399. In contrast, the peripheral dNADH-K(3)Fe(CN)(6) reductase activities basically remained unchanged in all the NuoL mutants, suggesting that the peripheral arm of complex I was not affected by point mutations in NuoL. The proton pumping efficiency (the ratio of H(+)/e(-)), however, was decreased in most NuoL mutants by 30-50%, while the IC(50) values for asimicin (a potent complex I inhibitor) remained unchanged. This suggests that the H(+)/e(-) stoichiometry has changed from 4H(+)/2e(-) to 3H(+) or 2H(+)/2e(-) without affecting the direct coupling site. Furthermore, 50 μm of 5-(N-ethyl-N-isopropyl)-amiloride (EIPA), a specific inhibitor for Na(+)/H(+) antiporters, caused a 38 ± 5% decrease in the initial H(+) pump activity in the wild type, while no change was observed in D178N, D303A, and D400A mutants where the H(+) pumping efficiency had already been significantly decreased. The electron transfer activities were basically unaffected by EIPA in both control and mutants. Taken together, our data strongly indicate that the NuoL subunit is involved in the indirect coupling mechanism.","author":[{"dropping-particle":"","family":"Nakamaru-Ogiso","given":"Eiko","non-dropping-particle":"","parse-names":false,"suffix":""},{"dropping-particle":"","family":"Kao","given":"Mou-Chieh","non-dropping-particle":"","parse-names":false,"suffix":""},{"dropping-particle":"","family":"Chen","given":"Han","non-dropping-particle":"","parse-names":false,"suffix":""},{"dropping-particle":"","family":"Sinha","given":"Subhash C","non-dropping-particle":"","parse-names":false,"suffix":""},{"dropping-particle":"","family":"Yagi","given":"Takao","non-dropping-particle":"","parse-names":false,"suffix":""},{"dropping-particle":"","family":"Ohnishi","given":"Tomoko","non-dropping-particle":"","parse-names":false,"suffix":""}],"container-title":"The Journal of biological chemistry","id":"ITEM-1","issue":"50","issued":{"date-parts":[["2010","12"]]},"language":"eng","page":"39070-39078","title":"The membrane subunit NuoL(ND5) is involved in the indirect proton pumping mechanism  of Escherichia coli complex I.","type":"article-journal","volume":"285"},"uris":["http://www.mendeley.com/documents/?uuid=02cbb064-fe61-4eb3-9c40-ad25376d574e"]}],"mendeley":{"formattedCitation":"(Nakamaru-Ogiso &lt;i&gt;et al&lt;/i&gt;, 2010)","plainTextFormattedCitation":"(Nakamaru-Ogiso et al, 2010)","previouslyFormattedCitation":"(Nakamaru-Ogiso &lt;i&gt;et al&lt;/i&gt;, 2010)"},"properties":{"noteIndex":0},"schema":"https://github.com/citation-style-language/schema/raw/master/csl-citation.json"}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(Nakamaru-Ogiso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2010)</w:t>
            </w:r>
            <w:r w:rsidRPr="00E97FC1">
              <w:rPr>
                <w:rFonts w:ascii="Helvetica" w:hAnsi="Helvetica" w:cs="Helvetica"/>
                <w:b/>
                <w:bCs/>
                <w:sz w:val="16"/>
                <w:szCs w:val="16"/>
                <w:lang w:val="en-GB"/>
              </w:rPr>
              <w:fldChar w:fldCharType="end"/>
            </w:r>
          </w:p>
        </w:tc>
      </w:tr>
    </w:tbl>
    <w:p w14:paraId="216F24FF" w14:textId="77777777" w:rsidR="002471A8" w:rsidRPr="00E97FC1" w:rsidRDefault="002471A8" w:rsidP="002471A8">
      <w:pPr>
        <w:rPr>
          <w:rFonts w:ascii="Helvetica" w:hAnsi="Helvetica" w:cs="Helvetica"/>
          <w:lang w:val="en-GB"/>
        </w:rPr>
      </w:pPr>
    </w:p>
    <w:p w14:paraId="3FEB1AE3" w14:textId="77777777" w:rsidR="002471A8" w:rsidRPr="00E97FC1" w:rsidRDefault="002471A8" w:rsidP="002471A8">
      <w:pPr>
        <w:pStyle w:val="ListParagraph"/>
        <w:numPr>
          <w:ilvl w:val="0"/>
          <w:numId w:val="42"/>
        </w:numPr>
        <w:jc w:val="left"/>
        <w:rPr>
          <w:rFonts w:ascii="Helvetica" w:hAnsi="Helvetica" w:cs="Helvetica"/>
          <w:b/>
        </w:rPr>
      </w:pPr>
      <w:r w:rsidRPr="00E97FC1">
        <w:rPr>
          <w:rFonts w:ascii="Helvetica" w:hAnsi="Helvetica" w:cs="Helvetica"/>
          <w:b/>
        </w:rPr>
        <w:t>Mutations in the membrane arm, continuation</w:t>
      </w:r>
    </w:p>
    <w:p w14:paraId="39733E8C" w14:textId="77777777" w:rsidR="002471A8" w:rsidRPr="00E97FC1" w:rsidRDefault="002471A8" w:rsidP="002471A8">
      <w:pPr>
        <w:rPr>
          <w:rFonts w:ascii="Helvetica" w:hAnsi="Helvetica" w:cs="Helvetica"/>
          <w:lang w:val="en-GB"/>
        </w:rPr>
      </w:pPr>
    </w:p>
    <w:tbl>
      <w:tblPr>
        <w:tblW w:w="10075" w:type="dxa"/>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0A0" w:firstRow="1" w:lastRow="0" w:firstColumn="1" w:lastColumn="0" w:noHBand="0" w:noVBand="0"/>
      </w:tblPr>
      <w:tblGrid>
        <w:gridCol w:w="1075"/>
        <w:gridCol w:w="2790"/>
        <w:gridCol w:w="1440"/>
        <w:gridCol w:w="1170"/>
        <w:gridCol w:w="1260"/>
        <w:gridCol w:w="1080"/>
        <w:gridCol w:w="1260"/>
      </w:tblGrid>
      <w:tr w:rsidR="002471A8" w:rsidRPr="00E97FC1" w14:paraId="55EBC525" w14:textId="77777777" w:rsidTr="002471A8">
        <w:tc>
          <w:tcPr>
            <w:tcW w:w="1075" w:type="dxa"/>
            <w:vMerge w:val="restart"/>
          </w:tcPr>
          <w:p w14:paraId="153350A9" w14:textId="77777777" w:rsidR="002471A8" w:rsidRPr="00E97FC1" w:rsidRDefault="002471A8" w:rsidP="002471A8">
            <w:pPr>
              <w:rPr>
                <w:rFonts w:ascii="Helvetica" w:hAnsi="Helvetica" w:cs="Helvetica"/>
                <w:sz w:val="22"/>
                <w:lang w:val="en-GB"/>
              </w:rPr>
            </w:pPr>
            <w:r w:rsidRPr="00E97FC1">
              <w:rPr>
                <w:rFonts w:ascii="Helvetica" w:hAnsi="Helvetica" w:cs="Helvetica"/>
                <w:sz w:val="22"/>
                <w:lang w:val="en-GB"/>
              </w:rPr>
              <w:t>Mutation</w:t>
            </w:r>
          </w:p>
        </w:tc>
        <w:tc>
          <w:tcPr>
            <w:tcW w:w="2790" w:type="dxa"/>
            <w:vMerge w:val="restart"/>
          </w:tcPr>
          <w:p w14:paraId="6CAA2807"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Amino acid location</w:t>
            </w:r>
          </w:p>
        </w:tc>
        <w:tc>
          <w:tcPr>
            <w:tcW w:w="1440" w:type="dxa"/>
            <w:vMerge w:val="restart"/>
          </w:tcPr>
          <w:p w14:paraId="56CE7D11"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 xml:space="preserve">Expression/assembly </w:t>
            </w:r>
          </w:p>
        </w:tc>
        <w:tc>
          <w:tcPr>
            <w:tcW w:w="3510" w:type="dxa"/>
            <w:gridSpan w:val="3"/>
          </w:tcPr>
          <w:p w14:paraId="4AA0DE00"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Effect</w:t>
            </w:r>
          </w:p>
        </w:tc>
        <w:tc>
          <w:tcPr>
            <w:tcW w:w="1260" w:type="dxa"/>
            <w:vMerge w:val="restart"/>
          </w:tcPr>
          <w:p w14:paraId="18718443"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Reference and comments</w:t>
            </w:r>
          </w:p>
        </w:tc>
      </w:tr>
      <w:tr w:rsidR="002471A8" w:rsidRPr="00E97FC1" w14:paraId="7F784ED0" w14:textId="77777777" w:rsidTr="002471A8">
        <w:tc>
          <w:tcPr>
            <w:tcW w:w="1075" w:type="dxa"/>
            <w:vMerge/>
          </w:tcPr>
          <w:p w14:paraId="50F70F3B" w14:textId="77777777" w:rsidR="002471A8" w:rsidRPr="00E97FC1" w:rsidRDefault="002471A8" w:rsidP="002471A8">
            <w:pPr>
              <w:jc w:val="center"/>
              <w:rPr>
                <w:rFonts w:ascii="Helvetica" w:hAnsi="Helvetica" w:cs="Helvetica"/>
                <w:sz w:val="22"/>
                <w:lang w:val="en-GB"/>
              </w:rPr>
            </w:pPr>
          </w:p>
        </w:tc>
        <w:tc>
          <w:tcPr>
            <w:tcW w:w="2790" w:type="dxa"/>
            <w:vMerge/>
          </w:tcPr>
          <w:p w14:paraId="31102EC4" w14:textId="77777777" w:rsidR="002471A8" w:rsidRPr="00E97FC1" w:rsidRDefault="002471A8" w:rsidP="002471A8">
            <w:pPr>
              <w:jc w:val="center"/>
              <w:rPr>
                <w:rFonts w:ascii="Helvetica" w:hAnsi="Helvetica" w:cs="Helvetica"/>
                <w:sz w:val="22"/>
                <w:lang w:val="en-GB"/>
              </w:rPr>
            </w:pPr>
          </w:p>
        </w:tc>
        <w:tc>
          <w:tcPr>
            <w:tcW w:w="1440" w:type="dxa"/>
            <w:vMerge/>
          </w:tcPr>
          <w:p w14:paraId="54DED0FF" w14:textId="77777777" w:rsidR="002471A8" w:rsidRPr="00E97FC1" w:rsidRDefault="002471A8" w:rsidP="002471A8">
            <w:pPr>
              <w:jc w:val="center"/>
              <w:rPr>
                <w:rFonts w:ascii="Helvetica" w:hAnsi="Helvetica" w:cs="Helvetica"/>
                <w:sz w:val="22"/>
                <w:lang w:val="en-GB"/>
              </w:rPr>
            </w:pPr>
          </w:p>
        </w:tc>
        <w:tc>
          <w:tcPr>
            <w:tcW w:w="1170" w:type="dxa"/>
          </w:tcPr>
          <w:p w14:paraId="03049E88"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FMN-site</w:t>
            </w:r>
          </w:p>
          <w:p w14:paraId="63427D5A"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activity</w:t>
            </w:r>
          </w:p>
        </w:tc>
        <w:tc>
          <w:tcPr>
            <w:tcW w:w="1260" w:type="dxa"/>
          </w:tcPr>
          <w:p w14:paraId="08CFDD83"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Oxido-reductase activity</w:t>
            </w:r>
          </w:p>
        </w:tc>
        <w:tc>
          <w:tcPr>
            <w:tcW w:w="1080" w:type="dxa"/>
          </w:tcPr>
          <w:p w14:paraId="29719FB7"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Proton pumping activity</w:t>
            </w:r>
          </w:p>
        </w:tc>
        <w:tc>
          <w:tcPr>
            <w:tcW w:w="1260" w:type="dxa"/>
            <w:vMerge/>
          </w:tcPr>
          <w:p w14:paraId="07090102" w14:textId="77777777" w:rsidR="002471A8" w:rsidRPr="00E97FC1" w:rsidRDefault="002471A8" w:rsidP="002471A8">
            <w:pPr>
              <w:jc w:val="center"/>
              <w:rPr>
                <w:rFonts w:ascii="Helvetica" w:hAnsi="Helvetica" w:cs="Helvetica"/>
                <w:sz w:val="22"/>
                <w:lang w:val="en-GB"/>
              </w:rPr>
            </w:pPr>
          </w:p>
        </w:tc>
      </w:tr>
      <w:tr w:rsidR="002471A8" w:rsidRPr="00E97FC1" w14:paraId="2121B3D9" w14:textId="77777777" w:rsidTr="002471A8">
        <w:trPr>
          <w:trHeight w:val="65"/>
        </w:trPr>
        <w:tc>
          <w:tcPr>
            <w:tcW w:w="10075" w:type="dxa"/>
            <w:gridSpan w:val="7"/>
          </w:tcPr>
          <w:p w14:paraId="45747E65" w14:textId="77777777" w:rsidR="002471A8" w:rsidRPr="00E97FC1" w:rsidRDefault="002471A8" w:rsidP="002471A8">
            <w:pPr>
              <w:rPr>
                <w:rFonts w:ascii="Helvetica" w:hAnsi="Helvetica" w:cs="Helvetica"/>
                <w:noProof/>
                <w:sz w:val="22"/>
                <w:lang w:val="en-GB"/>
              </w:rPr>
            </w:pPr>
            <w:r w:rsidRPr="00E97FC1">
              <w:rPr>
                <w:rFonts w:ascii="Helvetica" w:hAnsi="Helvetica" w:cs="Helvetica"/>
                <w:b/>
                <w:bCs/>
                <w:sz w:val="28"/>
                <w:lang w:val="en-GB"/>
              </w:rPr>
              <w:lastRenderedPageBreak/>
              <w:t>NuoL</w:t>
            </w:r>
          </w:p>
        </w:tc>
      </w:tr>
      <w:tr w:rsidR="002471A8" w:rsidRPr="00E97FC1" w14:paraId="3290EB95" w14:textId="77777777" w:rsidTr="002471A8">
        <w:trPr>
          <w:trHeight w:val="65"/>
        </w:trPr>
        <w:tc>
          <w:tcPr>
            <w:tcW w:w="1075" w:type="dxa"/>
          </w:tcPr>
          <w:p w14:paraId="24FD466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R529C</w:t>
            </w:r>
          </w:p>
        </w:tc>
        <w:tc>
          <w:tcPr>
            <w:tcW w:w="2790" w:type="dxa"/>
            <w:vMerge w:val="restart"/>
          </w:tcPr>
          <w:p w14:paraId="23839F1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Horizontal amphipathic helix</w:t>
            </w:r>
          </w:p>
        </w:tc>
        <w:tc>
          <w:tcPr>
            <w:tcW w:w="1440" w:type="dxa"/>
          </w:tcPr>
          <w:p w14:paraId="0B7AE08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0403F36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269DB34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86%</w:t>
            </w:r>
          </w:p>
        </w:tc>
        <w:tc>
          <w:tcPr>
            <w:tcW w:w="1080" w:type="dxa"/>
          </w:tcPr>
          <w:p w14:paraId="0AF2694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10BCB5A3" w14:textId="1E191C30"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{"citationItems":[{"id":"ITEM-1","itemData":{"DOI":"10.1111/mmi.13112","ISSN":"1365-2958 (Electronic)","PMID":"26115017","abstract":"The NADH:ubiquinone oxidoreductase, respiratory complex I, couples electron transfer  from NADH to ubiquinone with the translocation of protons across the membrane. The complex consists of a peripheral arm catalyzing the redox reaction and a membrane arm catalyzing proton translocation. The membrane arm is almost completely aligned by a 110 Å unique horizontal helix that is discussed to transmit conformational changes induced by the redox reaction in a piston-like movement to the membrane arm driving proton translocation. Here, we analyzed such a proposed movement by cysteine-scanning of the helix of the Escherichia coli complex I. The accessibility of engineered cysteine residues and the flexibility of individual positions were determined by labeling the preparations with a fluorescent marker and a spin-probe, respectively, in the oxidized and reduced states. The differences in fluorescence labeling and the rotational flexibility of the spin probe between both redox states indicate only slight conformational changes at distinct positions of the helix but not a large movement.","author":[{"dropping-particle":"","family":"Steimle","given":"Stefan","non-dropping-particle":"","parse-names":false,"suffix":""},{"dropping-particle":"","family":"Schnick","given":"Christian","non-dropping-particle":"","parse-names":false,"suffix":""},{"dropping-particle":"","family":"Burger","given":"Eva-Maria","non-dropping-particle":"","parse-names":false,"suffix":""},{"dropping-particle":"","family":"Nuber","given":"Franziska","non-dropping-particle":"","parse-names":false,"suffix":""},{"dropping-particle":"","family":"Krämer","given":"Dorothée","non-dropping-particle":"","parse-names":false,"suffix":""},{"dropping-particle":"","family":"Dawitz","given":"Hannah","non-dropping-particle":"","parse-names":false,"suffix":""},{"dropping-particle":"","family":"Brander","given":"Sofia","non-dropping-particle":"","parse-names":false,"suffix":""},{"dropping-particle":"","family":"Matlosz","given":"Bartlomiej","non-dropping-particle":"","parse-names":false,"suffix":""},{"dropping-particle":"","family":"Schäfer","given":"Jacob","non-dropping-particle":"","parse-names":false,"suffix":""},{"dropping-particle":"","family":"Maurer","given":"Katharina","non-dropping-particle":"","parse-names":false,"suffix":""},{"dropping-particle":"","family":"Glessner","given":"Udo","non-dropping-particle":"","parse-names":false,"suffix":""},{"dropping-particle":"","family":"Friedrich","given":"Thorsten","non-dropping-particle":"","parse-names":false,"suffix":""}],"container-title":"Molecular microbiology","id":"ITEM-1","issue":"1","issued":{"date-parts":[["2015","10"]]},"language":"eng","page":"151-161","publisher-place":"England","title":"Cysteine scanning reveals minor local rearrangements of the horizontal helix of  respiratory complex I.","type":"article-journal","volume":"98"},"uris":["http://www.mendeley.com/documents/?uuid=94fe39a8-c0b1-4e09-9d05-5b84b6653b57"]}],"mendeley":{"formattedCitation":"(Steimle &lt;i&gt;et al&lt;/i&gt;, 2015)","plainTextFormattedCitation":"(Steimle et al, 2015)","previouslyFormattedCitation":"(Steimle &lt;i&gt;et al&lt;/i&gt;, 2015)"},"properties":{"noteIndex":0},"schema":"https://github.com/citation-style-language/schema/raw/master/csl-citation.json"}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(Steimle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2015)</w:t>
            </w:r>
            <w:r w:rsidRPr="00E97FC1">
              <w:rPr>
                <w:rFonts w:ascii="Helvetica" w:hAnsi="Helvetica" w:cs="Helvetica"/>
                <w:b/>
                <w:bCs/>
                <w:sz w:val="16"/>
                <w:szCs w:val="20"/>
                <w:lang w:val="en-GB"/>
              </w:rPr>
              <w:fldChar w:fldCharType="end"/>
            </w:r>
          </w:p>
        </w:tc>
      </w:tr>
      <w:tr w:rsidR="002471A8" w:rsidRPr="00E97FC1" w14:paraId="376BCCF6" w14:textId="77777777" w:rsidTr="002471A8">
        <w:trPr>
          <w:trHeight w:val="65"/>
        </w:trPr>
        <w:tc>
          <w:tcPr>
            <w:tcW w:w="1075" w:type="dxa"/>
          </w:tcPr>
          <w:p w14:paraId="7CAA83E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D542R</w:t>
            </w:r>
          </w:p>
        </w:tc>
        <w:tc>
          <w:tcPr>
            <w:tcW w:w="2790" w:type="dxa"/>
            <w:vMerge/>
          </w:tcPr>
          <w:p w14:paraId="3493076A" w14:textId="77777777" w:rsidR="002471A8" w:rsidRPr="00E97FC1" w:rsidRDefault="002471A8" w:rsidP="002471A8">
            <w:pPr>
              <w:rPr>
                <w:rFonts w:ascii="Helvetica" w:hAnsi="Helvetica" w:cs="Helvetica"/>
                <w:bCs/>
                <w:sz w:val="20"/>
                <w:szCs w:val="20"/>
                <w:lang w:val="en-GB"/>
              </w:rPr>
            </w:pPr>
          </w:p>
        </w:tc>
        <w:tc>
          <w:tcPr>
            <w:tcW w:w="1440" w:type="dxa"/>
          </w:tcPr>
          <w:p w14:paraId="079046E7"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44FCB3C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61%</w:t>
            </w:r>
          </w:p>
        </w:tc>
        <w:tc>
          <w:tcPr>
            <w:tcW w:w="1260" w:type="dxa"/>
          </w:tcPr>
          <w:p w14:paraId="2D89CB6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64%</w:t>
            </w:r>
          </w:p>
        </w:tc>
        <w:tc>
          <w:tcPr>
            <w:tcW w:w="1080" w:type="dxa"/>
          </w:tcPr>
          <w:p w14:paraId="1A4D472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102%</w:t>
            </w:r>
          </w:p>
        </w:tc>
        <w:tc>
          <w:tcPr>
            <w:tcW w:w="1260" w:type="dxa"/>
          </w:tcPr>
          <w:p w14:paraId="21AE5125" w14:textId="2EA7EC2A"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{"citationItems":[{"id":"ITEM-1","itemData":{"DOI":"10.1111/j.1365-2958.2011.07883.x","ISSN":"1365-2958 (Electronic)","PMID":"22060017","abstract":"The C-terminus of the NuoL subunit of Complex I includes a long amphipathic α-helix  positioned parallel to the membrane, which has been considered to function as a piston in the proton pumping machinery. Here, we have introduced three types of mutations into the nuoL gene to test the piston-like function. First, NuoL was truncated at its C- and N-termini, which resulted in low production of a fragile Complex I with negligible activity. Second, we mutated three partially conserved residues of the amphipathic α-helix: Asp and Lys residues and a Pro were substituted for acidic, basic or neutral residues. All these variants exhibited almost a wild-type phenotype. Third, several substitutions and insertions were made to reduce rigidity of the amphipathic α-helix, and/or to change its geometry. Most insertions/substitutions resulted in a normal growth phenotype, albeit often with reduced stability of Complex I. In contrast, insertion of six to seven amino acids at a site of the long α-helix between NuoL and M resulted in substantial loss of proton pumping efficiency. The implications of these results for the proton pumping mechanism of Complex I are discussed.","author":[{"dropping-particle":"","family":"Belevich","given":"Galina","non-dropping-particle":"","parse-names":false,"suffix":""},{"dropping-particle":"","family":"Knuuti","given":"Juho","non-dropping-particle":"","parse-names":false,"suffix":""},{"dropping-particle":"","family":"Verkhovsky","given":"Michael I","non-dropping-particle":"","parse-names":false,"suffix":""},{"dropping-particle":"","family":"Wikström","given":"Mårten","non-dropping-particle":"","parse-names":false,"suffix":""},{"dropping-particle":"","family":"Verkhovskaya","given":"Marina","non-dropping-particle":"","parse-names":false,"suffix":""}],"container-title":"Molecular microbiology","id":"ITEM-1","issue":"5","issued":{"date-parts":[["2011","12"]]},"language":"eng","page":"1086-1095","title":"Probing the mechanistic role of the long α-helix in subunit L of respiratory Complex  I from Escherichia coli by site-directed mutagenesis.","type":"article-journal","volume":"82"},"uris":["http://www.mendeley.com/documents/?uuid=c60457f8-8e21-4b41-8380-5ffc98c36c2c"]}],"mendeley":{"formattedCitation":"(Belevich &lt;i&gt;et al&lt;/i&gt;, 2011)","plainTextFormattedCitation":"(Belevich et al, 2011)","previouslyFormattedCitation":"(Belevich &lt;i&gt;et al&lt;/i&gt;, 2011)"},"properties":{"noteIndex":0},"schema":"https://github.com/citation-style-language/schema/raw/master/csl-citation.json"}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(Belevich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2011)</w:t>
            </w:r>
            <w:r w:rsidRPr="00E97FC1">
              <w:rPr>
                <w:rFonts w:ascii="Helvetica" w:hAnsi="Helvetica" w:cs="Helvetica"/>
                <w:b/>
                <w:bCs/>
                <w:sz w:val="16"/>
                <w:szCs w:val="20"/>
                <w:lang w:val="en-GB"/>
              </w:rPr>
              <w:fldChar w:fldCharType="end"/>
            </w:r>
          </w:p>
        </w:tc>
      </w:tr>
      <w:tr w:rsidR="002471A8" w:rsidRPr="00E97FC1" w14:paraId="5390C7CD" w14:textId="77777777" w:rsidTr="002471A8">
        <w:trPr>
          <w:trHeight w:val="65"/>
        </w:trPr>
        <w:tc>
          <w:tcPr>
            <w:tcW w:w="1075" w:type="dxa"/>
          </w:tcPr>
          <w:p w14:paraId="3DA2CF0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D542N</w:t>
            </w:r>
          </w:p>
        </w:tc>
        <w:tc>
          <w:tcPr>
            <w:tcW w:w="2790" w:type="dxa"/>
            <w:vMerge/>
          </w:tcPr>
          <w:p w14:paraId="29EC712B" w14:textId="77777777" w:rsidR="002471A8" w:rsidRPr="00E97FC1" w:rsidRDefault="002471A8" w:rsidP="002471A8">
            <w:pPr>
              <w:rPr>
                <w:rFonts w:ascii="Helvetica" w:hAnsi="Helvetica" w:cs="Helvetica"/>
                <w:bCs/>
                <w:sz w:val="20"/>
                <w:szCs w:val="20"/>
                <w:lang w:val="en-GB"/>
              </w:rPr>
            </w:pPr>
          </w:p>
        </w:tc>
        <w:tc>
          <w:tcPr>
            <w:tcW w:w="1440" w:type="dxa"/>
          </w:tcPr>
          <w:p w14:paraId="6EBE589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175A384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78%</w:t>
            </w:r>
          </w:p>
        </w:tc>
        <w:tc>
          <w:tcPr>
            <w:tcW w:w="1260" w:type="dxa"/>
          </w:tcPr>
          <w:p w14:paraId="7B2DF34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91%</w:t>
            </w:r>
          </w:p>
        </w:tc>
        <w:tc>
          <w:tcPr>
            <w:tcW w:w="1080" w:type="dxa"/>
          </w:tcPr>
          <w:p w14:paraId="2CDBC65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105%</w:t>
            </w:r>
          </w:p>
        </w:tc>
        <w:tc>
          <w:tcPr>
            <w:tcW w:w="1260" w:type="dxa"/>
          </w:tcPr>
          <w:p w14:paraId="0653AFED" w14:textId="178A7518"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{"citationItems":[{"id":"ITEM-1","itemData":{"DOI":"10.1111/j.1365-2958.2011.07883.x","ISSN":"1365-2958 (Electronic)","PMID":"22060017","abstract":"The C-terminus of the NuoL subunit of Complex I includes a long amphipathic α-helix  positioned parallel to the membrane, which has been considered to function as a piston in the proton pumping machinery. Here, we have introduced three types of mutations into the nuoL gene to test the piston-like function. First, NuoL was truncated at its C- and N-termini, which resulted in low production of a fragile Complex I with negligible activity. Second, we mutated three partially conserved residues of the amphipathic α-helix: Asp and Lys residues and a Pro were substituted for acidic, basic or neutral residues. All these variants exhibited almost a wild-type phenotype. Third, several substitutions and insertions were made to reduce rigidity of the amphipathic α-helix, and/or to change its geometry. Most insertions/substitutions resulted in a normal growth phenotype, albeit often with reduced stability of Complex I. In contrast, insertion of six to seven amino acids at a site of the long α-helix between NuoL and M resulted in substantial loss of proton pumping efficiency. The implications of these results for the proton pumping mechanism of Complex I are discussed.","author":[{"dropping-particle":"","family":"Belevich","given":"Galina","non-dropping-particle":"","parse-names":false,"suffix":""},{"dropping-particle":"","family":"Knuuti","given":"Juho","non-dropping-particle":"","parse-names":false,"suffix":""},{"dropping-particle":"","family":"Verkhovsky","given":"Michael I","non-dropping-particle":"","parse-names":false,"suffix":""},{"dropping-particle":"","family":"Wikström","given":"Mårten","non-dropping-particle":"","parse-names":false,"suffix":""},{"dropping-particle":"","family":"Verkhovskaya","given":"Marina","non-dropping-particle":"","parse-names":false,"suffix":""}],"container-title":"Molecular microbiology","id":"ITEM-1","issue":"5","issued":{"date-parts":[["2011","12"]]},"language":"eng","page":"1086-1095","title":"Probing the mechanistic role of the long α-helix in subunit L of respiratory Complex  I from Escherichia coli by site-directed mutagenesis.","type":"article-journal","volume":"82"},"uris":["http://www.mendeley.com/documents/?uuid=c60457f8-8e21-4b41-8380-5ffc98c36c2c"]}],"mendeley":{"formattedCitation":"(Belevich &lt;i&gt;et al&lt;/i&gt;, 2011)","plainTextFormattedCitation":"(Belevich et al, 2011)","previouslyFormattedCitation":"(Belevich &lt;i&gt;et al&lt;/i&gt;, 2011)"},"properties":{"noteIndex":0},"schema":"https://github.com/citation-style-language/schema/raw/master/csl-citation.json"}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(Belevich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2011)</w:t>
            </w:r>
            <w:r w:rsidRPr="00E97FC1">
              <w:rPr>
                <w:rFonts w:ascii="Helvetica" w:hAnsi="Helvetica" w:cs="Helvetica"/>
                <w:b/>
                <w:bCs/>
                <w:sz w:val="16"/>
                <w:szCs w:val="20"/>
                <w:lang w:val="en-GB"/>
              </w:rPr>
              <w:fldChar w:fldCharType="end"/>
            </w:r>
          </w:p>
        </w:tc>
      </w:tr>
      <w:tr w:rsidR="002471A8" w:rsidRPr="00E97FC1" w14:paraId="624C9CC2" w14:textId="77777777" w:rsidTr="002471A8">
        <w:trPr>
          <w:trHeight w:val="65"/>
        </w:trPr>
        <w:tc>
          <w:tcPr>
            <w:tcW w:w="1075" w:type="dxa"/>
          </w:tcPr>
          <w:p w14:paraId="744DDFD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D542N</w:t>
            </w:r>
          </w:p>
        </w:tc>
        <w:tc>
          <w:tcPr>
            <w:tcW w:w="2790" w:type="dxa"/>
            <w:vMerge/>
          </w:tcPr>
          <w:p w14:paraId="6A91D356" w14:textId="77777777" w:rsidR="002471A8" w:rsidRPr="00E97FC1" w:rsidRDefault="002471A8" w:rsidP="002471A8">
            <w:pPr>
              <w:rPr>
                <w:rFonts w:ascii="Helvetica" w:hAnsi="Helvetica" w:cs="Helvetica"/>
                <w:bCs/>
                <w:sz w:val="20"/>
                <w:szCs w:val="20"/>
                <w:lang w:val="en-GB"/>
              </w:rPr>
            </w:pPr>
          </w:p>
        </w:tc>
        <w:tc>
          <w:tcPr>
            <w:tcW w:w="1440" w:type="dxa"/>
          </w:tcPr>
          <w:p w14:paraId="776570F7"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09ABB50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1B4DC7B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81%</w:t>
            </w:r>
          </w:p>
        </w:tc>
        <w:tc>
          <w:tcPr>
            <w:tcW w:w="1080" w:type="dxa"/>
          </w:tcPr>
          <w:p w14:paraId="11F33AA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77%</w:t>
            </w:r>
          </w:p>
        </w:tc>
        <w:tc>
          <w:tcPr>
            <w:tcW w:w="1260" w:type="dxa"/>
          </w:tcPr>
          <w:p w14:paraId="3B1CFE17" w14:textId="1609259C"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{"citationItems":[{"id":"ITEM-1","itemData":{"DOI":"10.1016/j.febslet.2012.01.056","ISSN":"1873-3468 (Electronic)","PMID":"22326235","abstract":"The NADH:ubiquinone oxidoreductase couples the electron transfer from NADH to  ubiquinone with the translocation of protons across the membrane. It contains a 110Å long helix running parallel to the membrane part of the complex. Deletion of the helix resulted in a reduced H(+)/e(-) stoichiometry indicating its direct involvement in proton translocation. Here, we show that the mutation of the conserved amino acid D563(L), which is part of the horizontal helix of the Escherichia coli complex I, leads to a reduced H(+)/e(-) stoichiometry. It is discussed that this residue is involved in transferring protons to the membranous proton translocation site.","author":[{"dropping-particle":"","family":"Steimle","given":"Stefan","non-dropping-particle":"","parse-names":false,"suffix":""},{"dropping-particle":"","family":"Willistein","given":"Max","non-dropping-particle":"","parse-names":false,"suffix":""},{"dropping-particle":"","family":"Hegger","given":"Patricia","non-dropping-particle":"","parse-names":false,"suffix":""},{"dropping-particle":"","family":"Janoschke","given":"Marco","non-dropping-particle":"","parse-names":false,"suffix":""},{"dropping-particle":"","family":"Erhardt","given":"Heiko","non-dropping-particle":"","parse-names":false,"suffix":""},{"dropping-particle":"","family":"Friedrich","given":"Thorsten","non-dropping-particle":"","parse-names":false,"suffix":""}],"container-title":"FEBS letters","id":"ITEM-1","issue":"6","issued":{"date-parts":[["2012","3"]]},"language":"eng","page":"699-704","publisher-place":"England","title":"Asp563 of the horizontal helix of subunit NuoL is involved in proton translocation  by the respiratory complex I.","type":"article-journal","volume":"586"},"uris":["http://www.mendeley.com/documents/?uuid=d787a173-c5cf-4bc2-8d0e-dbda5a2b5a19"]}],"mendeley":{"formattedCitation":"(Steimle &lt;i&gt;et al&lt;/i&gt;, 2012)","plainTextFormattedCitation":"(Steimle et al, 2012)","previouslyFormattedCitation":"(Steimle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(Steimle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2819775D" w14:textId="77777777" w:rsidTr="002471A8">
        <w:trPr>
          <w:trHeight w:val="65"/>
        </w:trPr>
        <w:tc>
          <w:tcPr>
            <w:tcW w:w="1075" w:type="dxa"/>
          </w:tcPr>
          <w:p w14:paraId="3026A79A"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D546N</w:t>
            </w:r>
          </w:p>
        </w:tc>
        <w:tc>
          <w:tcPr>
            <w:tcW w:w="2790" w:type="dxa"/>
            <w:vMerge/>
          </w:tcPr>
          <w:p w14:paraId="55F892B7" w14:textId="77777777" w:rsidR="002471A8" w:rsidRPr="00E97FC1" w:rsidRDefault="002471A8" w:rsidP="002471A8">
            <w:pPr>
              <w:rPr>
                <w:rFonts w:ascii="Helvetica" w:hAnsi="Helvetica" w:cs="Helvetica"/>
                <w:bCs/>
                <w:sz w:val="20"/>
                <w:szCs w:val="20"/>
                <w:lang w:val="en-GB"/>
              </w:rPr>
            </w:pPr>
          </w:p>
        </w:tc>
        <w:tc>
          <w:tcPr>
            <w:tcW w:w="1440" w:type="dxa"/>
          </w:tcPr>
          <w:p w14:paraId="3C21532B"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6580668B"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09EADF1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93%</w:t>
            </w:r>
          </w:p>
        </w:tc>
        <w:tc>
          <w:tcPr>
            <w:tcW w:w="1080" w:type="dxa"/>
          </w:tcPr>
          <w:p w14:paraId="127DC4E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90%</w:t>
            </w:r>
          </w:p>
        </w:tc>
        <w:tc>
          <w:tcPr>
            <w:tcW w:w="1260" w:type="dxa"/>
          </w:tcPr>
          <w:p w14:paraId="7DF7D7A9" w14:textId="5BBE8CFC"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{"citationItems":[{"id":"ITEM-1","itemData":{"DOI":"10.1016/j.febslet.2012.01.056","ISSN":"1873-3468 (Electronic)","PMID":"22326235","abstract":"The NADH:ubiquinone oxidoreductase couples the electron transfer from NADH to  ubiquinone with the translocation of protons across the membrane. It contains a 110Å long helix running parallel to the membrane part of the complex. Deletion of the helix resulted in a reduced H(+)/e(-) stoichiometry indicating its direct involvement in proton translocation. Here, we show that the mutation of the conserved amino acid D563(L), which is part of the horizontal helix of the Escherichia coli complex I, leads to a reduced H(+)/e(-) stoichiometry. It is discussed that this residue is involved in transferring protons to the membranous proton translocation site.","author":[{"dropping-particle":"","family":"Steimle","given":"Stefan","non-dropping-particle":"","parse-names":false,"suffix":""},{"dropping-particle":"","family":"Willistein","given":"Max","non-dropping-particle":"","parse-names":false,"suffix":""},{"dropping-particle":"","family":"Hegger","given":"Patricia","non-dropping-particle":"","parse-names":false,"suffix":""},{"dropping-particle":"","family":"Janoschke","given":"Marco","non-dropping-particle":"","parse-names":false,"suffix":""},{"dropping-particle":"","family":"Erhardt","given":"Heiko","non-dropping-particle":"","parse-names":false,"suffix":""},{"dropping-particle":"","family":"Friedrich","given":"Thorsten","non-dropping-particle":"","parse-names":false,"suffix":""}],"container-title":"FEBS letters","id":"ITEM-1","issue":"6","issued":{"date-parts":[["2012","3"]]},"language":"eng","page":"699-704","publisher-place":"England","title":"Asp563 of the horizontal helix of subunit NuoL is involved in proton translocation  by the respiratory complex I.","type":"article-journal","volume":"586"},"uris":["http://www.mendeley.com/documents/?uuid=d787a173-c5cf-4bc2-8d0e-dbda5a2b5a19"]}],"mendeley":{"formattedCitation":"(Steimle &lt;i&gt;et al&lt;/i&gt;, 2012)","plainTextFormattedCitation":"(Steimle et al, 2012)","previouslyFormattedCitation":"(Steimle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(Steimle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4F6DCE2D" w14:textId="77777777" w:rsidTr="002471A8">
        <w:trPr>
          <w:trHeight w:val="65"/>
        </w:trPr>
        <w:tc>
          <w:tcPr>
            <w:tcW w:w="1075" w:type="dxa"/>
          </w:tcPr>
          <w:p w14:paraId="7405061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K551C</w:t>
            </w:r>
          </w:p>
        </w:tc>
        <w:tc>
          <w:tcPr>
            <w:tcW w:w="2790" w:type="dxa"/>
            <w:vMerge/>
          </w:tcPr>
          <w:p w14:paraId="7FC8BD35" w14:textId="77777777" w:rsidR="002471A8" w:rsidRPr="00E97FC1" w:rsidRDefault="002471A8" w:rsidP="002471A8">
            <w:pPr>
              <w:rPr>
                <w:rFonts w:ascii="Helvetica" w:hAnsi="Helvetica" w:cs="Helvetica"/>
                <w:bCs/>
                <w:sz w:val="20"/>
                <w:szCs w:val="20"/>
                <w:lang w:val="en-GB"/>
              </w:rPr>
            </w:pPr>
          </w:p>
        </w:tc>
        <w:tc>
          <w:tcPr>
            <w:tcW w:w="1440" w:type="dxa"/>
          </w:tcPr>
          <w:p w14:paraId="530F947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17BF569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2269FC5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100%</w:t>
            </w:r>
          </w:p>
        </w:tc>
        <w:tc>
          <w:tcPr>
            <w:tcW w:w="1080" w:type="dxa"/>
          </w:tcPr>
          <w:p w14:paraId="5703018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295F7DE7" w14:textId="27DC18A7"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{"citationItems":[{"id":"ITEM-1","itemData":{"DOI":"10.1111/mmi.13112","ISSN":"1365-2958 (Electronic)","PMID":"26115017","abstract":"The NADH:ubiquinone oxidoreductase, respiratory complex I, couples electron transfer  from NADH to ubiquinone with the translocation of protons across the membrane. The complex consists of a peripheral arm catalyzing the redox reaction and a membrane arm catalyzing proton translocation. The membrane arm is almost completely aligned by a 110 Å unique horizontal helix that is discussed to transmit conformational changes induced by the redox reaction in a piston-like movement to the membrane arm driving proton translocation. Here, we analyzed such a proposed movement by cysteine-scanning of the helix of the Escherichia coli complex I. The accessibility of engineered cysteine residues and the flexibility of individual positions were determined by labeling the preparations with a fluorescent marker and a spin-probe, respectively, in the oxidized and reduced states. The differences in fluorescence labeling and the rotational flexibility of the spin probe between both redox states indicate only slight conformational changes at distinct positions of the helix but not a large movement.","author":[{"dropping-particle":"","family":"Steimle","given":"Stefan","non-dropping-particle":"","parse-names":false,"suffix":""},{"dropping-particle":"","family":"Schnick","given":"Christian","non-dropping-particle":"","parse-names":false,"suffix":""},{"dropping-particle":"","family":"Burger","given":"Eva-Maria","non-dropping-particle":"","parse-names":false,"suffix":""},{"dropping-particle":"","family":"Nuber","given":"Franziska","non-dropping-particle":"","parse-names":false,"suffix":""},{"dropping-particle":"","family":"Krämer","given":"Dorothée","non-dropping-particle":"","parse-names":false,"suffix":""},{"dropping-particle":"","family":"Dawitz","given":"Hannah","non-dropping-particle":"","parse-names":false,"suffix":""},{"dropping-particle":"","family":"Brander","given":"Sofia","non-dropping-particle":"","parse-names":false,"suffix":""},{"dropping-particle":"","family":"Matlosz","given":"Bartlomiej","non-dropping-particle":"","parse-names":false,"suffix":""},{"dropping-particle":"","family":"Schäfer","given":"Jacob","non-dropping-particle":"","parse-names":false,"suffix":""},{"dropping-particle":"","family":"Maurer","given":"Katharina","non-dropping-particle":"","parse-names":false,"suffix":""},{"dropping-particle":"","family":"Glessner","given":"Udo","non-dropping-particle":"","parse-names":false,"suffix":""},{"dropping-particle":"","family":"Friedrich","given":"Thorsten","non-dropping-particle":"","parse-names":false,"suffix":""}],"container-title":"Molecular microbiology","id":"ITEM-1","issue":"1","issued":{"date-parts":[["2015","10"]]},"language":"eng","page":"151-161","publisher-place":"England","title":"Cysteine scanning reveals minor local rearrangements of the horizontal helix of  respiratory complex I.","type":"article-journal","volume":"98"},"uris":["http://www.mendeley.com/documents/?uuid=94fe39a8-c0b1-4e09-9d05-5b84b6653b57"]}],"mendeley":{"formattedCitation":"(Steimle &lt;i&gt;et al&lt;/i&gt;, 2015)","plainTextFormattedCitation":"(Steimle et al, 2015)","previouslyFormattedCitation":"(Steimle &lt;i&gt;et al&lt;/i&gt;, 2015)"},"properties":{"noteIndex":0},"schema":"https://github.com/citation-style-language/schema/raw/master/csl-citation.json"}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(Steimle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2015)</w:t>
            </w:r>
            <w:r w:rsidRPr="00E97FC1">
              <w:rPr>
                <w:rFonts w:ascii="Helvetica" w:hAnsi="Helvetica" w:cs="Helvetica"/>
                <w:b/>
                <w:bCs/>
                <w:sz w:val="16"/>
                <w:szCs w:val="20"/>
                <w:lang w:val="en-GB"/>
              </w:rPr>
              <w:fldChar w:fldCharType="end"/>
            </w:r>
          </w:p>
        </w:tc>
      </w:tr>
      <w:tr w:rsidR="002471A8" w:rsidRPr="00E97FC1" w14:paraId="7BCBE438" w14:textId="77777777" w:rsidTr="002471A8">
        <w:trPr>
          <w:trHeight w:val="65"/>
        </w:trPr>
        <w:tc>
          <w:tcPr>
            <w:tcW w:w="1075" w:type="dxa"/>
          </w:tcPr>
          <w:p w14:paraId="428B643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K551Q</w:t>
            </w:r>
          </w:p>
        </w:tc>
        <w:tc>
          <w:tcPr>
            <w:tcW w:w="2790" w:type="dxa"/>
            <w:vMerge/>
          </w:tcPr>
          <w:p w14:paraId="7890AA4E" w14:textId="77777777" w:rsidR="002471A8" w:rsidRPr="00E97FC1" w:rsidRDefault="002471A8" w:rsidP="002471A8">
            <w:pPr>
              <w:rPr>
                <w:rFonts w:ascii="Helvetica" w:hAnsi="Helvetica" w:cs="Helvetica"/>
                <w:bCs/>
                <w:sz w:val="20"/>
                <w:szCs w:val="20"/>
                <w:lang w:val="en-GB"/>
              </w:rPr>
            </w:pPr>
          </w:p>
        </w:tc>
        <w:tc>
          <w:tcPr>
            <w:tcW w:w="1440" w:type="dxa"/>
          </w:tcPr>
          <w:p w14:paraId="60E27D1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6BE63791"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89%</w:t>
            </w:r>
          </w:p>
        </w:tc>
        <w:tc>
          <w:tcPr>
            <w:tcW w:w="1260" w:type="dxa"/>
          </w:tcPr>
          <w:p w14:paraId="79EEAFC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104%</w:t>
            </w:r>
          </w:p>
        </w:tc>
        <w:tc>
          <w:tcPr>
            <w:tcW w:w="1080" w:type="dxa"/>
          </w:tcPr>
          <w:p w14:paraId="54DB750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96%</w:t>
            </w:r>
          </w:p>
        </w:tc>
        <w:tc>
          <w:tcPr>
            <w:tcW w:w="1260" w:type="dxa"/>
          </w:tcPr>
          <w:p w14:paraId="0225B636" w14:textId="5F2277D8"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{"citationItems":[{"id":"ITEM-1","itemData":{"DOI":"10.1111/j.1365-2958.2011.07883.x","ISSN":"1365-2958 (Electronic)","PMID":"22060017","abstract":"The C-terminus of the NuoL subunit of Complex I includes a long amphipathic α-helix  positioned parallel to the membrane, which has been considered to function as a piston in the proton pumping machinery. Here, we have introduced three types of mutations into the nuoL gene to test the piston-like function. First, NuoL was truncated at its C- and N-termini, which resulted in low production of a fragile Complex I with negligible activity. Second, we mutated three partially conserved residues of the amphipathic α-helix: Asp and Lys residues and a Pro were substituted for acidic, basic or neutral residues. All these variants exhibited almost a wild-type phenotype. Third, several substitutions and insertions were made to reduce rigidity of the amphipathic α-helix, and/or to change its geometry. Most insertions/substitutions resulted in a normal growth phenotype, albeit often with reduced stability of Complex I. In contrast, insertion of six to seven amino acids at a site of the long α-helix between NuoL and M resulted in substantial loss of proton pumping efficiency. The implications of these results for the proton pumping mechanism of Complex I are discussed.","author":[{"dropping-particle":"","family":"Belevich","given":"Galina","non-dropping-particle":"","parse-names":false,"suffix":""},{"dropping-particle":"","family":"Knuuti","given":"Juho","non-dropping-particle":"","parse-names":false,"suffix":""},{"dropping-particle":"","family":"Verkhovsky","given":"Michael I","non-dropping-particle":"","parse-names":false,"suffix":""},{"dropping-particle":"","family":"Wikström","given":"Mårten","non-dropping-particle":"","parse-names":false,"suffix":""},{"dropping-particle":"","family":"Verkhovskaya","given":"Marina","non-dropping-particle":"","parse-names":false,"suffix":""}],"container-title":"Molecular microbiology","id":"ITEM-1","issue":"5","issued":{"date-parts":[["2011","12"]]},"language":"eng","page":"1086-1095","title":"Probing the mechanistic role of the long α-helix in subunit L of respiratory Complex  I from Escherichia coli by site-directed mutagenesis.","type":"article-journal","volume":"82"},"uris":["http://www.mendeley.com/documents/?uuid=c60457f8-8e21-4b41-8380-5ffc98c36c2c"]}],"mendeley":{"formattedCitation":"(Belevich &lt;i&gt;et al&lt;/i&gt;, 2011)","plainTextFormattedCitation":"(Belevich et al, 2011)","previouslyFormattedCitation":"(Belevich &lt;i&gt;et al&lt;/i&gt;, 2011)"},"properties":{"noteIndex":0},"schema":"https://github.com/citation-style-language/schema/raw/master/csl-citation.json"}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(Belevich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2011)</w:t>
            </w:r>
            <w:r w:rsidRPr="00E97FC1">
              <w:rPr>
                <w:rFonts w:ascii="Helvetica" w:hAnsi="Helvetica" w:cs="Helvetica"/>
                <w:b/>
                <w:bCs/>
                <w:sz w:val="16"/>
                <w:szCs w:val="20"/>
                <w:lang w:val="en-GB"/>
              </w:rPr>
              <w:fldChar w:fldCharType="end"/>
            </w:r>
          </w:p>
        </w:tc>
      </w:tr>
      <w:tr w:rsidR="002471A8" w:rsidRPr="00E97FC1" w14:paraId="4226B205" w14:textId="77777777" w:rsidTr="002471A8">
        <w:trPr>
          <w:trHeight w:val="65"/>
        </w:trPr>
        <w:tc>
          <w:tcPr>
            <w:tcW w:w="1075" w:type="dxa"/>
          </w:tcPr>
          <w:p w14:paraId="57FF37C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K551E</w:t>
            </w:r>
          </w:p>
        </w:tc>
        <w:tc>
          <w:tcPr>
            <w:tcW w:w="2790" w:type="dxa"/>
            <w:vMerge/>
          </w:tcPr>
          <w:p w14:paraId="750C7CD3" w14:textId="77777777" w:rsidR="002471A8" w:rsidRPr="00E97FC1" w:rsidRDefault="002471A8" w:rsidP="002471A8">
            <w:pPr>
              <w:rPr>
                <w:rFonts w:ascii="Helvetica" w:hAnsi="Helvetica" w:cs="Helvetica"/>
                <w:bCs/>
                <w:sz w:val="20"/>
                <w:szCs w:val="20"/>
                <w:lang w:val="en-GB"/>
              </w:rPr>
            </w:pPr>
          </w:p>
        </w:tc>
        <w:tc>
          <w:tcPr>
            <w:tcW w:w="1440" w:type="dxa"/>
          </w:tcPr>
          <w:p w14:paraId="7B1DA42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3B3090E4"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80%</w:t>
            </w:r>
          </w:p>
        </w:tc>
        <w:tc>
          <w:tcPr>
            <w:tcW w:w="1260" w:type="dxa"/>
          </w:tcPr>
          <w:p w14:paraId="5133515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98%</w:t>
            </w:r>
          </w:p>
        </w:tc>
        <w:tc>
          <w:tcPr>
            <w:tcW w:w="1080" w:type="dxa"/>
          </w:tcPr>
          <w:p w14:paraId="38C57B7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96%</w:t>
            </w:r>
          </w:p>
        </w:tc>
        <w:tc>
          <w:tcPr>
            <w:tcW w:w="1260" w:type="dxa"/>
          </w:tcPr>
          <w:p w14:paraId="0B1F12F3" w14:textId="1FE820D2"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{"citationItems":[{"id":"ITEM-1","itemData":{"DOI":"10.1111/j.1365-2958.2011.07883.x","ISSN":"1365-2958 (Electronic)","PMID":"22060017","abstract":"The C-terminus of the NuoL subunit of Complex I includes a long amphipathic α-helix  positioned parallel to the membrane, which has been considered to function as a piston in the proton pumping machinery. Here, we have introduced three types of mutations into the nuoL gene to test the piston-like function. First, NuoL was truncated at its C- and N-termini, which resulted in low production of a fragile Complex I with negligible activity. Second, we mutated three partially conserved residues of the amphipathic α-helix: Asp and Lys residues and a Pro were substituted for acidic, basic or neutral residues. All these variants exhibited almost a wild-type phenotype. Third, several substitutions and insertions were made to reduce rigidity of the amphipathic α-helix, and/or to change its geometry. Most insertions/substitutions resulted in a normal growth phenotype, albeit often with reduced stability of Complex I. In contrast, insertion of six to seven amino acids at a site of the long α-helix between NuoL and M resulted in substantial loss of proton pumping efficiency. The implications of these results for the proton pumping mechanism of Complex I are discussed.","author":[{"dropping-particle":"","family":"Belevich","given":"Galina","non-dropping-particle":"","parse-names":false,"suffix":""},{"dropping-particle":"","family":"Knuuti","given":"Juho","non-dropping-particle":"","parse-names":false,"suffix":""},{"dropping-particle":"","family":"Verkhovsky","given":"Michael I","non-dropping-particle":"","parse-names":false,"suffix":""},{"dropping-particle":"","family":"Wikström","given":"Mårten","non-dropping-particle":"","parse-names":false,"suffix":""},{"dropping-particle":"","family":"Verkhovskaya","given":"Marina","non-dropping-particle":"","parse-names":false,"suffix":""}],"container-title":"Molecular microbiology","id":"ITEM-1","issue":"5","issued":{"date-parts":[["2011","12"]]},"language":"eng","page":"1086-1095","title":"Probing the mechanistic role of the long α-helix in subunit L of respiratory Complex  I from Escherichia coli by site-directed mutagenesis.","type":"article-journal","volume":"82"},"uris":["http://www.mendeley.com/documents/?uuid=c60457f8-8e21-4b41-8380-5ffc98c36c2c"]}],"mendeley":{"formattedCitation":"(Belevich &lt;i&gt;et al&lt;/i&gt;, 2011)","plainTextFormattedCitation":"(Belevich et al, 2011)","previouslyFormattedCitation":"(Belevich &lt;i&gt;et al&lt;/i&gt;, 2011)"},"properties":{"noteIndex":0},"schema":"https://github.com/citation-style-language/schema/raw/master/csl-citation.json"}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(Belevich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2011)</w:t>
            </w:r>
            <w:r w:rsidRPr="00E97FC1">
              <w:rPr>
                <w:rFonts w:ascii="Helvetica" w:hAnsi="Helvetica" w:cs="Helvetica"/>
                <w:b/>
                <w:bCs/>
                <w:sz w:val="16"/>
                <w:szCs w:val="20"/>
                <w:lang w:val="en-GB"/>
              </w:rPr>
              <w:fldChar w:fldCharType="end"/>
            </w:r>
          </w:p>
        </w:tc>
      </w:tr>
      <w:tr w:rsidR="002471A8" w:rsidRPr="00E97FC1" w14:paraId="60B5171B" w14:textId="77777777" w:rsidTr="002471A8">
        <w:trPr>
          <w:trHeight w:val="65"/>
        </w:trPr>
        <w:tc>
          <w:tcPr>
            <w:tcW w:w="1075" w:type="dxa"/>
          </w:tcPr>
          <w:p w14:paraId="6188371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V550C</w:t>
            </w:r>
          </w:p>
        </w:tc>
        <w:tc>
          <w:tcPr>
            <w:tcW w:w="2790" w:type="dxa"/>
            <w:vMerge/>
          </w:tcPr>
          <w:p w14:paraId="41B56B6E" w14:textId="77777777" w:rsidR="002471A8" w:rsidRPr="00E97FC1" w:rsidRDefault="002471A8" w:rsidP="002471A8">
            <w:pPr>
              <w:rPr>
                <w:rFonts w:ascii="Helvetica" w:hAnsi="Helvetica" w:cs="Helvetica"/>
                <w:bCs/>
                <w:sz w:val="20"/>
                <w:szCs w:val="20"/>
                <w:lang w:val="en-GB"/>
              </w:rPr>
            </w:pPr>
          </w:p>
        </w:tc>
        <w:tc>
          <w:tcPr>
            <w:tcW w:w="1440" w:type="dxa"/>
          </w:tcPr>
          <w:p w14:paraId="67E7362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2C152BD1"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433ECCD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74%</w:t>
            </w:r>
          </w:p>
        </w:tc>
        <w:tc>
          <w:tcPr>
            <w:tcW w:w="1080" w:type="dxa"/>
          </w:tcPr>
          <w:p w14:paraId="5B460F41"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29C409B4" w14:textId="600327E5"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{"citationItems":[{"id":"ITEM-1","itemData":{"DOI":"10.1111/mmi.13112","ISSN":"1365-2958 (Electronic)","PMID":"26115017","abstract":"The NADH:ubiquinone oxidoreductase, respiratory complex I, couples electron transfer  from NADH to ubiquinone with the translocation of protons across the membrane. The complex consists of a peripheral arm catalyzing the redox reaction and a membrane arm catalyzing proton translocation. The membrane arm is almost completely aligned by a 110 Å unique horizontal helix that is discussed to transmit conformational changes induced by the redox reaction in a piston-like movement to the membrane arm driving proton translocation. Here, we analyzed such a proposed movement by cysteine-scanning of the helix of the Escherichia coli complex I. The accessibility of engineered cysteine residues and the flexibility of individual positions were determined by labeling the preparations with a fluorescent marker and a spin-probe, respectively, in the oxidized and reduced states. The differences in fluorescence labeling and the rotational flexibility of the spin probe between both redox states indicate only slight conformational changes at distinct positions of the helix but not a large movement.","author":[{"dropping-particle":"","family":"Steimle","given":"Stefan","non-dropping-particle":"","parse-names":false,"suffix":""},{"dropping-particle":"","family":"Schnick","given":"Christian","non-dropping-particle":"","parse-names":false,"suffix":""},{"dropping-particle":"","family":"Burger","given":"Eva-Maria","non-dropping-particle":"","parse-names":false,"suffix":""},{"dropping-particle":"","family":"Nuber","given":"Franziska","non-dropping-particle":"","parse-names":false,"suffix":""},{"dropping-particle":"","family":"Krämer","given":"Dorothée","non-dropping-particle":"","parse-names":false,"suffix":""},{"dropping-particle":"","family":"Dawitz","given":"Hannah","non-dropping-particle":"","parse-names":false,"suffix":""},{"dropping-particle":"","family":"Brander","given":"Sofia","non-dropping-particle":"","parse-names":false,"suffix":""},{"dropping-particle":"","family":"Matlosz","given":"Bartlomiej","non-dropping-particle":"","parse-names":false,"suffix":""},{"dropping-particle":"","family":"Schäfer","given":"Jacob","non-dropping-particle":"","parse-names":false,"suffix":""},{"dropping-particle":"","family":"Maurer","given":"Katharina","non-dropping-particle":"","parse-names":false,"suffix":""},{"dropping-particle":"","family":"Glessner","given":"Udo","non-dropping-particle":"","parse-names":false,"suffix":""},{"dropping-particle":"","family":"Friedrich","given":"Thorsten","non-dropping-particle":"","parse-names":false,"suffix":""}],"container-title":"Molecular microbiology","id":"ITEM-1","issue":"1","issued":{"date-parts":[["2015","10"]]},"language":"eng","page":"151-161","publisher-place":"England","title":"Cysteine scanning reveals minor local rearrangements of the horizontal helix of  respiratory complex I.","type":"article-journal","volume":"98"},"uris":["http://www.mendeley.com/documents/?uuid=94fe39a8-c0b1-4e09-9d05-5b84b6653b57"]}],"mendeley":{"formattedCitation":"(Steimle &lt;i&gt;et al&lt;/i&gt;, 2015)","plainTextFormattedCitation":"(Steimle et al, 2015)","previouslyFormattedCitation":"(Steimle &lt;i&gt;et al&lt;/i&gt;, 2015)"},"properties":{"noteIndex":0},"schema":"https://github.com/citation-style-language/schema/raw/master/csl-citation.json"}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(Steimle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2015)</w:t>
            </w:r>
            <w:r w:rsidRPr="00E97FC1">
              <w:rPr>
                <w:rFonts w:ascii="Helvetica" w:hAnsi="Helvetica" w:cs="Helvetica"/>
                <w:b/>
                <w:bCs/>
                <w:sz w:val="16"/>
                <w:szCs w:val="20"/>
                <w:lang w:val="en-GB"/>
              </w:rPr>
              <w:fldChar w:fldCharType="end"/>
            </w:r>
          </w:p>
        </w:tc>
      </w:tr>
      <w:tr w:rsidR="002471A8" w:rsidRPr="00E97FC1" w14:paraId="30725290" w14:textId="77777777" w:rsidTr="002471A8">
        <w:trPr>
          <w:trHeight w:val="65"/>
        </w:trPr>
        <w:tc>
          <w:tcPr>
            <w:tcW w:w="1075" w:type="dxa"/>
          </w:tcPr>
          <w:p w14:paraId="1E44430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P552A</w:t>
            </w:r>
          </w:p>
        </w:tc>
        <w:tc>
          <w:tcPr>
            <w:tcW w:w="2790" w:type="dxa"/>
            <w:vMerge/>
          </w:tcPr>
          <w:p w14:paraId="3BCCEDD7" w14:textId="77777777" w:rsidR="002471A8" w:rsidRPr="00E97FC1" w:rsidRDefault="002471A8" w:rsidP="002471A8">
            <w:pPr>
              <w:rPr>
                <w:rFonts w:ascii="Helvetica" w:hAnsi="Helvetica" w:cs="Helvetica"/>
                <w:bCs/>
                <w:sz w:val="20"/>
                <w:szCs w:val="20"/>
                <w:lang w:val="en-GB"/>
              </w:rPr>
            </w:pPr>
          </w:p>
        </w:tc>
        <w:tc>
          <w:tcPr>
            <w:tcW w:w="1440" w:type="dxa"/>
          </w:tcPr>
          <w:p w14:paraId="3FCD19B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3A60355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100%</w:t>
            </w:r>
          </w:p>
        </w:tc>
        <w:tc>
          <w:tcPr>
            <w:tcW w:w="1260" w:type="dxa"/>
          </w:tcPr>
          <w:p w14:paraId="17EACC0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121%</w:t>
            </w:r>
          </w:p>
        </w:tc>
        <w:tc>
          <w:tcPr>
            <w:tcW w:w="1080" w:type="dxa"/>
          </w:tcPr>
          <w:p w14:paraId="25A213B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109%</w:t>
            </w:r>
          </w:p>
        </w:tc>
        <w:tc>
          <w:tcPr>
            <w:tcW w:w="1260" w:type="dxa"/>
          </w:tcPr>
          <w:p w14:paraId="55DA3D66" w14:textId="1D948097"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{"citationItems":[{"id":"ITEM-1","itemData":{"DOI":"10.1111/j.1365-2958.2011.07883.x","ISSN":"1365-2958 (Electronic)","PMID":"22060017","abstract":"The C-terminus of the NuoL subunit of Complex I includes a long amphipathic α-helix  positioned parallel to the membrane, which has been considered to function as a piston in the proton pumping machinery. Here, we have introduced three types of mutations into the nuoL gene to test the piston-like function. First, NuoL was truncated at its C- and N-termini, which resulted in low production of a fragile Complex I with negligible activity. Second, we mutated three partially conserved residues of the amphipathic α-helix: Asp and Lys residues and a Pro were substituted for acidic, basic or neutral residues. All these variants exhibited almost a wild-type phenotype. Third, several substitutions and insertions were made to reduce rigidity of the amphipathic α-helix, and/or to change its geometry. Most insertions/substitutions resulted in a normal growth phenotype, albeit often with reduced stability of Complex I. In contrast, insertion of six to seven amino acids at a site of the long α-helix between NuoL and M resulted in substantial loss of proton pumping efficiency. The implications of these results for the proton pumping mechanism of Complex I are discussed.","author":[{"dropping-particle":"","family":"Belevich","given":"Galina","non-dropping-particle":"","parse-names":false,"suffix":""},{"dropping-particle":"","family":"Knuuti","given":"Juho","non-dropping-particle":"","parse-names":false,"suffix":""},{"dropping-particle":"","family":"Verkhovsky","given":"Michael I","non-dropping-particle":"","parse-names":false,"suffix":""},{"dropping-particle":"","family":"Wikström","given":"Mårten","non-dropping-particle":"","parse-names":false,"suffix":""},{"dropping-particle":"","family":"Verkhovskaya","given":"Marina","non-dropping-particle":"","parse-names":false,"suffix":""}],"container-title":"Molecular microbiology","id":"ITEM-1","issue":"5","issued":{"date-parts":[["2011","12"]]},"language":"eng","page":"1086-1095","title":"Probing the mechanistic role of the long α-helix in subunit L of respiratory Complex  I from Escherichia coli by site-directed mutagenesis.","type":"article-journal","volume":"82"},"uris":["http://www.mendeley.com/documents/?uuid=c60457f8-8e21-4b41-8380-5ffc98c36c2c"]}],"mendeley":{"formattedCitation":"(Belevich &lt;i&gt;et al&lt;/i&gt;, 2011)","plainTextFormattedCitation":"(Belevich et al, 2011)","previouslyFormattedCitation":"(Belevich &lt;i&gt;et al&lt;/i&gt;, 2011)"},"properties":{"noteIndex":0},"schema":"https://github.com/citation-style-language/schema/raw/master/csl-citation.json"}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(Belevich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2011)</w:t>
            </w:r>
            <w:r w:rsidRPr="00E97FC1">
              <w:rPr>
                <w:rFonts w:ascii="Helvetica" w:hAnsi="Helvetica" w:cs="Helvetica"/>
                <w:b/>
                <w:bCs/>
                <w:sz w:val="16"/>
                <w:szCs w:val="20"/>
                <w:lang w:val="en-GB"/>
              </w:rPr>
              <w:fldChar w:fldCharType="end"/>
            </w:r>
          </w:p>
        </w:tc>
      </w:tr>
      <w:tr w:rsidR="002471A8" w:rsidRPr="00E97FC1" w14:paraId="2A4F97E3" w14:textId="77777777" w:rsidTr="002471A8">
        <w:trPr>
          <w:trHeight w:val="65"/>
        </w:trPr>
        <w:tc>
          <w:tcPr>
            <w:tcW w:w="1075" w:type="dxa"/>
          </w:tcPr>
          <w:p w14:paraId="2CD6365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P552C</w:t>
            </w:r>
          </w:p>
        </w:tc>
        <w:tc>
          <w:tcPr>
            <w:tcW w:w="2790" w:type="dxa"/>
            <w:vMerge/>
          </w:tcPr>
          <w:p w14:paraId="30F004F2" w14:textId="77777777" w:rsidR="002471A8" w:rsidRPr="00E97FC1" w:rsidRDefault="002471A8" w:rsidP="002471A8">
            <w:pPr>
              <w:rPr>
                <w:rFonts w:ascii="Helvetica" w:hAnsi="Helvetica" w:cs="Helvetica"/>
                <w:bCs/>
                <w:sz w:val="20"/>
                <w:szCs w:val="20"/>
                <w:lang w:val="en-GB"/>
              </w:rPr>
            </w:pPr>
          </w:p>
        </w:tc>
        <w:tc>
          <w:tcPr>
            <w:tcW w:w="1440" w:type="dxa"/>
          </w:tcPr>
          <w:p w14:paraId="02FA8120"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5F38477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88%</w:t>
            </w:r>
          </w:p>
        </w:tc>
        <w:tc>
          <w:tcPr>
            <w:tcW w:w="1260" w:type="dxa"/>
          </w:tcPr>
          <w:p w14:paraId="0D1BA6B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108%</w:t>
            </w:r>
          </w:p>
        </w:tc>
        <w:tc>
          <w:tcPr>
            <w:tcW w:w="1080" w:type="dxa"/>
          </w:tcPr>
          <w:p w14:paraId="78D6665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103%</w:t>
            </w:r>
          </w:p>
        </w:tc>
        <w:tc>
          <w:tcPr>
            <w:tcW w:w="1260" w:type="dxa"/>
          </w:tcPr>
          <w:p w14:paraId="5421A8A5" w14:textId="50366C66"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{"citationItems":[{"id":"ITEM-1","itemData":{"DOI":"10.1111/j.1365-2958.2011.07883.x","ISSN":"1365-2958 (Electronic)","PMID":"22060017","abstract":"The C-terminus of the NuoL subunit of Complex I includes a long amphipathic α-helix  positioned parallel to the membrane, which has been considered to function as a piston in the proton pumping machinery. Here, we have introduced three types of mutations into the nuoL gene to test the piston-like function. First, NuoL was truncated at its C- and N-termini, which resulted in low production of a fragile Complex I with negligible activity. Second, we mutated three partially conserved residues of the amphipathic α-helix: Asp and Lys residues and a Pro were substituted for acidic, basic or neutral residues. All these variants exhibited almost a wild-type phenotype. Third, several substitutions and insertions were made to reduce rigidity of the amphipathic α-helix, and/or to change its geometry. Most insertions/substitutions resulted in a normal growth phenotype, albeit often with reduced stability of Complex I. In contrast, insertion of six to seven amino acids at a site of the long α-helix between NuoL and M resulted in substantial loss of proton pumping efficiency. The implications of these results for the proton pumping mechanism of Complex I are discussed.","author":[{"dropping-particle":"","family":"Belevich","given":"Galina","non-dropping-particle":"","parse-names":false,"suffix":""},{"dropping-particle":"","family":"Knuuti","given":"Juho","non-dropping-particle":"","parse-names":false,"suffix":""},{"dropping-particle":"","family":"Verkhovsky","given":"Michael I","non-dropping-particle":"","parse-names":false,"suffix":""},{"dropping-particle":"","family":"Wikström","given":"Mårten","non-dropping-particle":"","parse-names":false,"suffix":""},{"dropping-particle":"","family":"Verkhovskaya","given":"Marina","non-dropping-particle":"","parse-names":false,"suffix":""}],"container-title":"Molecular microbiology","id":"ITEM-1","issue":"5","issued":{"date-parts":[["2011","12"]]},"language":"eng","page":"1086-1095","title":"Probing the mechanistic role of the long α-helix in subunit L of respiratory Complex  I from Escherichia coli by site-directed mutagenesis.","type":"article-journal","volume":"82"},"uris":["http://www.mendeley.com/documents/?uuid=c60457f8-8e21-4b41-8380-5ffc98c36c2c"]}],"mendeley":{"formattedCitation":"(Belevich &lt;i&gt;et al&lt;/i&gt;, 2011)","plainTextFormattedCitation":"(Belevich et al, 2011)","previouslyFormattedCitation":"(Belevich &lt;i&gt;et al&lt;/i&gt;, 2011)"},"properties":{"noteIndex":0},"schema":"https://github.com/citation-style-language/schema/raw/master/csl-citation.json"}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(Belevich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2011)</w:t>
            </w:r>
            <w:r w:rsidRPr="00E97FC1">
              <w:rPr>
                <w:rFonts w:ascii="Helvetica" w:hAnsi="Helvetica" w:cs="Helvetica"/>
                <w:b/>
                <w:bCs/>
                <w:sz w:val="16"/>
                <w:szCs w:val="20"/>
                <w:lang w:val="en-GB"/>
              </w:rPr>
              <w:fldChar w:fldCharType="end"/>
            </w:r>
          </w:p>
        </w:tc>
      </w:tr>
      <w:tr w:rsidR="002471A8" w:rsidRPr="00E97FC1" w14:paraId="14CB69AF" w14:textId="77777777" w:rsidTr="002471A8">
        <w:trPr>
          <w:trHeight w:val="65"/>
        </w:trPr>
        <w:tc>
          <w:tcPr>
            <w:tcW w:w="1075" w:type="dxa"/>
          </w:tcPr>
          <w:p w14:paraId="4A82A00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P552Q</w:t>
            </w:r>
          </w:p>
        </w:tc>
        <w:tc>
          <w:tcPr>
            <w:tcW w:w="2790" w:type="dxa"/>
            <w:vMerge/>
          </w:tcPr>
          <w:p w14:paraId="10430298" w14:textId="77777777" w:rsidR="002471A8" w:rsidRPr="00E97FC1" w:rsidRDefault="002471A8" w:rsidP="002471A8">
            <w:pPr>
              <w:rPr>
                <w:rFonts w:ascii="Helvetica" w:hAnsi="Helvetica" w:cs="Helvetica"/>
                <w:bCs/>
                <w:sz w:val="20"/>
                <w:szCs w:val="20"/>
                <w:lang w:val="en-GB"/>
              </w:rPr>
            </w:pPr>
          </w:p>
        </w:tc>
        <w:tc>
          <w:tcPr>
            <w:tcW w:w="1440" w:type="dxa"/>
          </w:tcPr>
          <w:p w14:paraId="75C73BF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775435C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96%</w:t>
            </w:r>
          </w:p>
        </w:tc>
        <w:tc>
          <w:tcPr>
            <w:tcW w:w="1260" w:type="dxa"/>
          </w:tcPr>
          <w:p w14:paraId="74A0761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120%</w:t>
            </w:r>
          </w:p>
        </w:tc>
        <w:tc>
          <w:tcPr>
            <w:tcW w:w="1080" w:type="dxa"/>
          </w:tcPr>
          <w:p w14:paraId="4ADF96B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98%</w:t>
            </w:r>
          </w:p>
        </w:tc>
        <w:tc>
          <w:tcPr>
            <w:tcW w:w="1260" w:type="dxa"/>
          </w:tcPr>
          <w:p w14:paraId="7EA4D6A5" w14:textId="0D1616B0"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{"citationItems":[{"id":"ITEM-1","itemData":{"DOI":"10.1111/j.1365-2958.2011.07883.x","ISSN":"1365-2958 (Electronic)","PMID":"22060017","abstract":"The C-terminus of the NuoL subunit of Complex I includes a long amphipathic α-helix  positioned parallel to the membrane, which has been considered to function as a piston in the proton pumping machinery. Here, we have introduced three types of mutations into the nuoL gene to test the piston-like function. First, NuoL was truncated at its C- and N-termini, which resulted in low production of a fragile Complex I with negligible activity. Second, we mutated three partially conserved residues of the amphipathic α-helix: Asp and Lys residues and a Pro were substituted for acidic, basic or neutral residues. All these variants exhibited almost a wild-type phenotype. Third, several substitutions and insertions were made to reduce rigidity of the amphipathic α-helix, and/or to change its geometry. Most insertions/substitutions resulted in a normal growth phenotype, albeit often with reduced stability of Complex I. In contrast, insertion of six to seven amino acids at a site of the long α-helix between NuoL and M resulted in substantial loss of proton pumping efficiency. The implications of these results for the proton pumping mechanism of Complex I are discussed.","author":[{"dropping-particle":"","family":"Belevich","given":"Galina","non-dropping-particle":"","parse-names":false,"suffix":""},{"dropping-particle":"","family":"Knuuti","given":"Juho","non-dropping-particle":"","parse-names":false,"suffix":""},{"dropping-particle":"","family":"Verkhovsky","given":"Michael I","non-dropping-particle":"","parse-names":false,"suffix":""},{"dropping-particle":"","family":"Wikström","given":"Mårten","non-dropping-particle":"","parse-names":false,"suffix":""},{"dropping-particle":"","family":"Verkhovskaya","given":"Marina","non-dropping-particle":"","parse-names":false,"suffix":""}],"container-title":"Molecular microbiology","id":"ITEM-1","issue":"5","issued":{"date-parts":[["2011","12"]]},"language":"eng","page":"1086-1095","title":"Probing the mechanistic role of the long α-helix in subunit L of respiratory Complex  I from Escherichia coli by site-directed mutagenesis.","type":"article-journal","volume":"82"},"uris":["http://www.mendeley.com/documents/?uuid=c60457f8-8e21-4b41-8380-5ffc98c36c2c"]}],"mendeley":{"formattedCitation":"(Belevich &lt;i&gt;et al&lt;/i&gt;, 2011)","plainTextFormattedCitation":"(Belevich et al, 2011)","previouslyFormattedCitation":"(Belevich &lt;i&gt;et al&lt;/i&gt;, 2011)"},"properties":{"noteIndex":0},"schema":"https://github.com/citation-style-language/schema/raw/master/csl-citation.json"}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(Belevich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2011)</w:t>
            </w:r>
            <w:r w:rsidRPr="00E97FC1">
              <w:rPr>
                <w:rFonts w:ascii="Helvetica" w:hAnsi="Helvetica" w:cs="Helvetica"/>
                <w:b/>
                <w:bCs/>
                <w:sz w:val="16"/>
                <w:szCs w:val="20"/>
                <w:lang w:val="en-GB"/>
              </w:rPr>
              <w:fldChar w:fldCharType="end"/>
            </w:r>
          </w:p>
        </w:tc>
      </w:tr>
      <w:tr w:rsidR="002471A8" w:rsidRPr="00E97FC1" w14:paraId="2753A690" w14:textId="77777777" w:rsidTr="002471A8">
        <w:trPr>
          <w:trHeight w:val="65"/>
        </w:trPr>
        <w:tc>
          <w:tcPr>
            <w:tcW w:w="1075" w:type="dxa"/>
          </w:tcPr>
          <w:p w14:paraId="5AA22E3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F553C</w:t>
            </w:r>
          </w:p>
        </w:tc>
        <w:tc>
          <w:tcPr>
            <w:tcW w:w="2790" w:type="dxa"/>
            <w:vMerge/>
          </w:tcPr>
          <w:p w14:paraId="1AD41DC5" w14:textId="77777777" w:rsidR="002471A8" w:rsidRPr="00E97FC1" w:rsidRDefault="002471A8" w:rsidP="002471A8">
            <w:pPr>
              <w:rPr>
                <w:rFonts w:ascii="Helvetica" w:hAnsi="Helvetica" w:cs="Helvetica"/>
                <w:bCs/>
                <w:sz w:val="20"/>
                <w:szCs w:val="20"/>
                <w:lang w:val="en-GB"/>
              </w:rPr>
            </w:pPr>
          </w:p>
        </w:tc>
        <w:tc>
          <w:tcPr>
            <w:tcW w:w="1440" w:type="dxa"/>
          </w:tcPr>
          <w:p w14:paraId="5686D8F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0E3E8A1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1044990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104%</w:t>
            </w:r>
          </w:p>
        </w:tc>
        <w:tc>
          <w:tcPr>
            <w:tcW w:w="1080" w:type="dxa"/>
          </w:tcPr>
          <w:p w14:paraId="32B07BD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378C9598" w14:textId="05E3E9A2"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{"citationItems":[{"id":"ITEM-1","itemData":{"DOI":"10.1111/mmi.13112","ISSN":"1365-2958 (Electronic)","PMID":"26115017","abstract":"The NADH:ubiquinone oxidoreductase, respiratory complex I, couples electron transfer  from NADH to ubiquinone with the translocation of protons across the membrane. The complex consists of a peripheral arm catalyzing the redox reaction and a membrane arm catalyzing proton translocation. The membrane arm is almost completely aligned by a 110 Å unique horizontal helix that is discussed to transmit conformational changes induced by the redox reaction in a piston-like movement to the membrane arm driving proton translocation. Here, we analyzed such a proposed movement by cysteine-scanning of the helix of the Escherichia coli complex I. The accessibility of engineered cysteine residues and the flexibility of individual positions were determined by labeling the preparations with a fluorescent marker and a spin-probe, respectively, in the oxidized and reduced states. The differences in fluorescence labeling and the rotational flexibility of the spin probe between both redox states indicate only slight conformational changes at distinct positions of the helix but not a large movement.","author":[{"dropping-particle":"","family":"Steimle","given":"Stefan","non-dropping-particle":"","parse-names":false,"suffix":""},{"dropping-particle":"","family":"Schnick","given":"Christian","non-dropping-particle":"","parse-names":false,"suffix":""},{"dropping-particle":"","family":"Burger","given":"Eva-Maria","non-dropping-particle":"","parse-names":false,"suffix":""},{"dropping-particle":"","family":"Nuber","given":"Franziska","non-dropping-particle":"","parse-names":false,"suffix":""},{"dropping-particle":"","family":"Krämer","given":"Dorothée","non-dropping-particle":"","parse-names":false,"suffix":""},{"dropping-particle":"","family":"Dawitz","given":"Hannah","non-dropping-particle":"","parse-names":false,"suffix":""},{"dropping-particle":"","family":"Brander","given":"Sofia","non-dropping-particle":"","parse-names":false,"suffix":""},{"dropping-particle":"","family":"Matlosz","given":"Bartlomiej","non-dropping-particle":"","parse-names":false,"suffix":""},{"dropping-particle":"","family":"Schäfer","given":"Jacob","non-dropping-particle":"","parse-names":false,"suffix":""},{"dropping-particle":"","family":"Maurer","given":"Katharina","non-dropping-particle":"","parse-names":false,"suffix":""},{"dropping-particle":"","family":"Glessner","given":"Udo","non-dropping-particle":"","parse-names":false,"suffix":""},{"dropping-particle":"","family":"Friedrich","given":"Thorsten","non-dropping-particle":"","parse-names":false,"suffix":""}],"container-title":"Molecular microbiology","id":"ITEM-1","issue":"1","issued":{"date-parts":[["2015","10"]]},"language":"eng","page":"151-161","publisher-place":"England","title":"Cysteine scanning reveals minor local rearrangements of the horizontal helix of  respiratory complex I.","type":"article-journal","volume":"98"},"uris":["http://www.mendeley.com/documents/?uuid=94fe39a8-c0b1-4e09-9d05-5b84b6653b57"]}],"mendeley":{"formattedCitation":"(Steimle &lt;i&gt;et al&lt;/i&gt;, 2015)","plainTextFormattedCitation":"(Steimle et al, 2015)","previouslyFormattedCitation":"(Steimle &lt;i&gt;et al&lt;/i&gt;, 2015)"},"properties":{"noteIndex":0},"schema":"https://github.com/citation-style-language/schema/raw/master/csl-citation.json"}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(Steimle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2015)</w:t>
            </w:r>
            <w:r w:rsidRPr="00E97FC1">
              <w:rPr>
                <w:rFonts w:ascii="Helvetica" w:hAnsi="Helvetica" w:cs="Helvetica"/>
                <w:b/>
                <w:bCs/>
                <w:sz w:val="16"/>
                <w:szCs w:val="20"/>
                <w:lang w:val="en-GB"/>
              </w:rPr>
              <w:fldChar w:fldCharType="end"/>
            </w:r>
          </w:p>
        </w:tc>
      </w:tr>
      <w:tr w:rsidR="002471A8" w:rsidRPr="00E97FC1" w14:paraId="307E080E" w14:textId="77777777" w:rsidTr="002471A8">
        <w:trPr>
          <w:trHeight w:val="65"/>
        </w:trPr>
        <w:tc>
          <w:tcPr>
            <w:tcW w:w="1075" w:type="dxa"/>
          </w:tcPr>
          <w:p w14:paraId="4F299A9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L554C</w:t>
            </w:r>
          </w:p>
        </w:tc>
        <w:tc>
          <w:tcPr>
            <w:tcW w:w="2790" w:type="dxa"/>
            <w:vMerge/>
          </w:tcPr>
          <w:p w14:paraId="0A1C2FC8" w14:textId="77777777" w:rsidR="002471A8" w:rsidRPr="00E97FC1" w:rsidRDefault="002471A8" w:rsidP="002471A8">
            <w:pPr>
              <w:rPr>
                <w:rFonts w:ascii="Helvetica" w:hAnsi="Helvetica" w:cs="Helvetica"/>
                <w:bCs/>
                <w:sz w:val="20"/>
                <w:szCs w:val="20"/>
                <w:lang w:val="en-GB"/>
              </w:rPr>
            </w:pPr>
          </w:p>
        </w:tc>
        <w:tc>
          <w:tcPr>
            <w:tcW w:w="1440" w:type="dxa"/>
          </w:tcPr>
          <w:p w14:paraId="7661C37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1F95058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3301B63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93%</w:t>
            </w:r>
          </w:p>
        </w:tc>
        <w:tc>
          <w:tcPr>
            <w:tcW w:w="1080" w:type="dxa"/>
          </w:tcPr>
          <w:p w14:paraId="63B8B30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3FB8D2DC" w14:textId="7D8DCC54"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{"citationItems":[{"id":"ITEM-1","itemData":{"DOI":"10.1111/mmi.13112","ISSN":"1365-2958 (Electronic)","PMID":"26115017","abstract":"The NADH:ubiquinone oxidoreductase, respiratory complex I, couples electron transfer  from NADH to ubiquinone with the translocation of protons across the membrane. The complex consists of a peripheral arm catalyzing the redox reaction and a membrane arm catalyzing proton translocation. The membrane arm is almost completely aligned by a 110 Å unique horizontal helix that is discussed to transmit conformational changes induced by the redox reaction in a piston-like movement to the membrane arm driving proton translocation. Here, we analyzed such a proposed movement by cysteine-scanning of the helix of the Escherichia coli complex I. The accessibility of engineered cysteine residues and the flexibility of individual positions were determined by labeling the preparations with a fluorescent marker and a spin-probe, respectively, in the oxidized and reduced states. The differences in fluorescence labeling and the rotational flexibility of the spin probe between both redox states indicate only slight conformational changes at distinct positions of the helix but not a large movement.","author":[{"dropping-particle":"","family":"Steimle","given":"Stefan","non-dropping-particle":"","parse-names":false,"suffix":""},{"dropping-particle":"","family":"Schnick","given":"Christian","non-dropping-particle":"","parse-names":false,"suffix":""},{"dropping-particle":"","family":"Burger","given":"Eva-Maria","non-dropping-particle":"","parse-names":false,"suffix":""},{"dropping-particle":"","family":"Nuber","given":"Franziska","non-dropping-particle":"","parse-names":false,"suffix":""},{"dropping-particle":"","family":"Krämer","given":"Dorothée","non-dropping-particle":"","parse-names":false,"suffix":""},{"dropping-particle":"","family":"Dawitz","given":"Hannah","non-dropping-particle":"","parse-names":false,"suffix":""},{"dropping-particle":"","family":"Brander","given":"Sofia","non-dropping-particle":"","parse-names":false,"suffix":""},{"dropping-particle":"","family":"Matlosz","given":"Bartlomiej","non-dropping-particle":"","parse-names":false,"suffix":""},{"dropping-particle":"","family":"Schäfer","given":"Jacob","non-dropping-particle":"","parse-names":false,"suffix":""},{"dropping-particle":"","family":"Maurer","given":"Katharina","non-dropping-particle":"","parse-names":false,"suffix":""},{"dropping-particle":"","family":"Glessner","given":"Udo","non-dropping-particle":"","parse-names":false,"suffix":""},{"dropping-particle":"","family":"Friedrich","given":"Thorsten","non-dropping-particle":"","parse-names":false,"suffix":""}],"container-title":"Molecular microbiology","id":"ITEM-1","issue":"1","issued":{"date-parts":[["2015","10"]]},"language":"eng","page":"151-161","publisher-place":"England","title":"Cysteine scanning reveals minor local rearrangements of the horizontal helix of  respiratory complex I.","type":"article-journal","volume":"98"},"uris":["http://www.mendeley.com/documents/?uuid=94fe39a8-c0b1-4e09-9d05-5b84b6653b57"]}],"mendeley":{"formattedCitation":"(Steimle &lt;i&gt;et al&lt;/i&gt;, 2015)","plainTextFormattedCitation":"(Steimle et al, 2015)","previouslyFormattedCitation":"(Steimle &lt;i&gt;et al&lt;/i&gt;, 2015)"},"properties":{"noteIndex":0},"schema":"https://github.com/citation-style-language/schema/raw/master/csl-citation.json"}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(Steimle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2015)</w:t>
            </w:r>
            <w:r w:rsidRPr="00E97FC1">
              <w:rPr>
                <w:rFonts w:ascii="Helvetica" w:hAnsi="Helvetica" w:cs="Helvetica"/>
                <w:b/>
                <w:bCs/>
                <w:sz w:val="16"/>
                <w:szCs w:val="20"/>
                <w:lang w:val="en-GB"/>
              </w:rPr>
              <w:fldChar w:fldCharType="end"/>
            </w:r>
          </w:p>
        </w:tc>
      </w:tr>
      <w:tr w:rsidR="002471A8" w:rsidRPr="00E97FC1" w14:paraId="2886D374" w14:textId="77777777" w:rsidTr="002471A8">
        <w:trPr>
          <w:trHeight w:val="65"/>
        </w:trPr>
        <w:tc>
          <w:tcPr>
            <w:tcW w:w="1075" w:type="dxa"/>
          </w:tcPr>
          <w:p w14:paraId="6E07DB8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L560C</w:t>
            </w:r>
          </w:p>
        </w:tc>
        <w:tc>
          <w:tcPr>
            <w:tcW w:w="2790" w:type="dxa"/>
            <w:vMerge/>
          </w:tcPr>
          <w:p w14:paraId="3E7D86BC" w14:textId="77777777" w:rsidR="002471A8" w:rsidRPr="00E97FC1" w:rsidRDefault="002471A8" w:rsidP="002471A8">
            <w:pPr>
              <w:rPr>
                <w:rFonts w:ascii="Helvetica" w:hAnsi="Helvetica" w:cs="Helvetica"/>
                <w:bCs/>
                <w:sz w:val="20"/>
                <w:szCs w:val="20"/>
                <w:lang w:val="en-GB"/>
              </w:rPr>
            </w:pPr>
          </w:p>
        </w:tc>
        <w:tc>
          <w:tcPr>
            <w:tcW w:w="1440" w:type="dxa"/>
          </w:tcPr>
          <w:p w14:paraId="70A6B93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471CEB9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3B86F41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50%</w:t>
            </w:r>
          </w:p>
        </w:tc>
        <w:tc>
          <w:tcPr>
            <w:tcW w:w="1080" w:type="dxa"/>
          </w:tcPr>
          <w:p w14:paraId="434E25D0"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280D7D26" w14:textId="368D60FE"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{"citationItems":[{"id":"ITEM-1","itemData":{"DOI":"10.1111/mmi.13112","ISSN":"1365-2958 (Electronic)","PMID":"26115017","abstract":"The NADH:ubiquinone oxidoreductase, respiratory complex I, couples electron transfer  from NADH to ubiquinone with the translocation of protons across the membrane. The complex consists of a peripheral arm catalyzing the redox reaction and a membrane arm catalyzing proton translocation. The membrane arm is almost completely aligned by a 110 Å unique horizontal helix that is discussed to transmit conformational changes induced by the redox reaction in a piston-like movement to the membrane arm driving proton translocation. Here, we analyzed such a proposed movement by cysteine-scanning of the helix of the Escherichia coli complex I. The accessibility of engineered cysteine residues and the flexibility of individual positions were determined by labeling the preparations with a fluorescent marker and a spin-probe, respectively, in the oxidized and reduced states. The differences in fluorescence labeling and the rotational flexibility of the spin probe between both redox states indicate only slight conformational changes at distinct positions of the helix but not a large movement.","author":[{"dropping-particle":"","family":"Steimle","given":"Stefan","non-dropping-particle":"","parse-names":false,"suffix":""},{"dropping-particle":"","family":"Schnick","given":"Christian","non-dropping-particle":"","parse-names":false,"suffix":""},{"dropping-particle":"","family":"Burger","given":"Eva-Maria","non-dropping-particle":"","parse-names":false,"suffix":""},{"dropping-particle":"","family":"Nuber","given":"Franziska","non-dropping-particle":"","parse-names":false,"suffix":""},{"dropping-particle":"","family":"Krämer","given":"Dorothée","non-dropping-particle":"","parse-names":false,"suffix":""},{"dropping-particle":"","family":"Dawitz","given":"Hannah","non-dropping-particle":"","parse-names":false,"suffix":""},{"dropping-particle":"","family":"Brander","given":"Sofia","non-dropping-particle":"","parse-names":false,"suffix":""},{"dropping-particle":"","family":"Matlosz","given":"Bartlomiej","non-dropping-particle":"","parse-names":false,"suffix":""},{"dropping-particle":"","family":"Schäfer","given":"Jacob","non-dropping-particle":"","parse-names":false,"suffix":""},{"dropping-particle":"","family":"Maurer","given":"Katharina","non-dropping-particle":"","parse-names":false,"suffix":""},{"dropping-particle":"","family":"Glessner","given":"Udo","non-dropping-particle":"","parse-names":false,"suffix":""},{"dropping-particle":"","family":"Friedrich","given":"Thorsten","non-dropping-particle":"","parse-names":false,"suffix":""}],"container-title":"Molecular microbiology","id":"ITEM-1","issue":"1","issued":{"date-parts":[["2015","10"]]},"language":"eng","page":"151-161","publisher-place":"England","title":"Cysteine scanning reveals minor local rearrangements of the horizontal helix of  respiratory complex I.","type":"article-journal","volume":"98"},"uris":["http://www.mendeley.com/documents/?uuid=94fe39a8-c0b1-4e09-9d05-5b84b6653b57"]}],"mendeley":{"formattedCitation":"(Steimle &lt;i&gt;et al&lt;/i&gt;, 2015)","plainTextFormattedCitation":"(Steimle et al, 2015)","previouslyFormattedCitation":"(Steimle &lt;i&gt;et al&lt;/i&gt;, 2015)"},"properties":{"noteIndex":0},"schema":"https://github.com/citation-style-language/schema/raw/master/csl-citation.json"}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(Steimle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2015)</w:t>
            </w:r>
            <w:r w:rsidRPr="00E97FC1">
              <w:rPr>
                <w:rFonts w:ascii="Helvetica" w:hAnsi="Helvetica" w:cs="Helvetica"/>
                <w:b/>
                <w:bCs/>
                <w:sz w:val="16"/>
                <w:szCs w:val="20"/>
                <w:lang w:val="en-GB"/>
              </w:rPr>
              <w:fldChar w:fldCharType="end"/>
            </w:r>
          </w:p>
        </w:tc>
      </w:tr>
      <w:tr w:rsidR="002471A8" w:rsidRPr="00E97FC1" w14:paraId="28F12FC2" w14:textId="77777777" w:rsidTr="002471A8">
        <w:trPr>
          <w:trHeight w:val="65"/>
        </w:trPr>
        <w:tc>
          <w:tcPr>
            <w:tcW w:w="1075" w:type="dxa"/>
          </w:tcPr>
          <w:p w14:paraId="576AC8E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K561C</w:t>
            </w:r>
          </w:p>
        </w:tc>
        <w:tc>
          <w:tcPr>
            <w:tcW w:w="2790" w:type="dxa"/>
            <w:vMerge/>
          </w:tcPr>
          <w:p w14:paraId="36AA35DD" w14:textId="77777777" w:rsidR="002471A8" w:rsidRPr="00E97FC1" w:rsidRDefault="002471A8" w:rsidP="002471A8">
            <w:pPr>
              <w:rPr>
                <w:rFonts w:ascii="Helvetica" w:hAnsi="Helvetica" w:cs="Helvetica"/>
                <w:bCs/>
                <w:sz w:val="20"/>
                <w:szCs w:val="20"/>
                <w:lang w:val="en-GB"/>
              </w:rPr>
            </w:pPr>
          </w:p>
        </w:tc>
        <w:tc>
          <w:tcPr>
            <w:tcW w:w="1440" w:type="dxa"/>
          </w:tcPr>
          <w:p w14:paraId="3AE120F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69BBBBF0"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6225D63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97%</w:t>
            </w:r>
          </w:p>
        </w:tc>
        <w:tc>
          <w:tcPr>
            <w:tcW w:w="1080" w:type="dxa"/>
          </w:tcPr>
          <w:p w14:paraId="609777E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2DE0ED02" w14:textId="364D6194"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{"citationItems":[{"id":"ITEM-1","itemData":{"DOI":"10.1111/mmi.13112","ISSN":"1365-2958 (Electronic)","PMID":"26115017","abstract":"The NADH:ubiquinone oxidoreductase, respiratory complex I, couples electron transfer  from NADH to ubiquinone with the translocation of protons across the membrane. The complex consists of a peripheral arm catalyzing the redox reaction and a membrane arm catalyzing proton translocation. The membrane arm is almost completely aligned by a 110 Å unique horizontal helix that is discussed to transmit conformational changes induced by the redox reaction in a piston-like movement to the membrane arm driving proton translocation. Here, we analyzed such a proposed movement by cysteine-scanning of the helix of the Escherichia coli complex I. The accessibility of engineered cysteine residues and the flexibility of individual positions were determined by labeling the preparations with a fluorescent marker and a spin-probe, respectively, in the oxidized and reduced states. The differences in fluorescence labeling and the rotational flexibility of the spin probe between both redox states indicate only slight conformational changes at distinct positions of the helix but not a large movement.","author":[{"dropping-particle":"","family":"Steimle","given":"Stefan","non-dropping-particle":"","parse-names":false,"suffix":""},{"dropping-particle":"","family":"Schnick","given":"Christian","non-dropping-particle":"","parse-names":false,"suffix":""},{"dropping-particle":"","family":"Burger","given":"Eva-Maria","non-dropping-particle":"","parse-names":false,"suffix":""},{"dropping-particle":"","family":"Nuber","given":"Franziska","non-dropping-particle":"","parse-names":false,"suffix":""},{"dropping-particle":"","family":"Krämer","given":"Dorothée","non-dropping-particle":"","parse-names":false,"suffix":""},{"dropping-particle":"","family":"Dawitz","given":"Hannah","non-dropping-particle":"","parse-names":false,"suffix":""},{"dropping-particle":"","family":"Brander","given":"Sofia","non-dropping-particle":"","parse-names":false,"suffix":""},{"dropping-particle":"","family":"Matlosz","given":"Bartlomiej","non-dropping-particle":"","parse-names":false,"suffix":""},{"dropping-particle":"","family":"Schäfer","given":"Jacob","non-dropping-particle":"","parse-names":false,"suffix":""},{"dropping-particle":"","family":"Maurer","given":"Katharina","non-dropping-particle":"","parse-names":false,"suffix":""},{"dropping-particle":"","family":"Glessner","given":"Udo","non-dropping-particle":"","parse-names":false,"suffix":""},{"dropping-particle":"","family":"Friedrich","given":"Thorsten","non-dropping-particle":"","parse-names":false,"suffix":""}],"container-title":"Molecular microbiology","id":"ITEM-1","issue":"1","issued":{"date-parts":[["2015","10"]]},"language":"eng","page":"151-161","publisher-place":"England","title":"Cysteine scanning reveals minor local rearrangements of the horizontal helix of  respiratory complex I.","type":"article-journal","volume":"98"},"uris":["http://www.mendeley.com/documents/?uuid=94fe39a8-c0b1-4e09-9d05-5b84b6653b57"]}],"mendeley":{"formattedCitation":"(Steimle &lt;i&gt;et al&lt;/i&gt;, 2015)","plainTextFormattedCitation":"(Steimle et al, 2015)","previouslyFormattedCitation":"(Steimle &lt;i&gt;et al&lt;/i&gt;, 2015)"},"properties":{"noteIndex":0},"schema":"https://github.com/citation-style-language/schema/raw/master/csl-citation.json"}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(Steimle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2015)</w:t>
            </w:r>
            <w:r w:rsidRPr="00E97FC1">
              <w:rPr>
                <w:rFonts w:ascii="Helvetica" w:hAnsi="Helvetica" w:cs="Helvetica"/>
                <w:b/>
                <w:bCs/>
                <w:sz w:val="16"/>
                <w:szCs w:val="20"/>
                <w:lang w:val="en-GB"/>
              </w:rPr>
              <w:fldChar w:fldCharType="end"/>
            </w:r>
          </w:p>
        </w:tc>
      </w:tr>
      <w:tr w:rsidR="002471A8" w:rsidRPr="00E97FC1" w14:paraId="55DE86A4" w14:textId="77777777" w:rsidTr="002471A8">
        <w:trPr>
          <w:trHeight w:val="65"/>
        </w:trPr>
        <w:tc>
          <w:tcPr>
            <w:tcW w:w="1075" w:type="dxa"/>
          </w:tcPr>
          <w:p w14:paraId="47C1EAA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R562C</w:t>
            </w:r>
          </w:p>
        </w:tc>
        <w:tc>
          <w:tcPr>
            <w:tcW w:w="2790" w:type="dxa"/>
            <w:vMerge/>
          </w:tcPr>
          <w:p w14:paraId="75533BCA" w14:textId="77777777" w:rsidR="002471A8" w:rsidRPr="00E97FC1" w:rsidRDefault="002471A8" w:rsidP="002471A8">
            <w:pPr>
              <w:rPr>
                <w:rFonts w:ascii="Helvetica" w:hAnsi="Helvetica" w:cs="Helvetica"/>
                <w:bCs/>
                <w:sz w:val="20"/>
                <w:szCs w:val="20"/>
                <w:lang w:val="en-GB"/>
              </w:rPr>
            </w:pPr>
          </w:p>
        </w:tc>
        <w:tc>
          <w:tcPr>
            <w:tcW w:w="1440" w:type="dxa"/>
          </w:tcPr>
          <w:p w14:paraId="1529A6A7"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79EB084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48AA04D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81%</w:t>
            </w:r>
          </w:p>
        </w:tc>
        <w:tc>
          <w:tcPr>
            <w:tcW w:w="1080" w:type="dxa"/>
          </w:tcPr>
          <w:p w14:paraId="3D8916B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4F38ECBA" w14:textId="1E958153"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{"citationItems":[{"id":"ITEM-1","itemData":{"DOI":"10.1111/mmi.13112","ISSN":"1365-2958 (Electronic)","PMID":"26115017","abstract":"The NADH:ubiquinone oxidoreductase, respiratory complex I, couples electron transfer  from NADH to ubiquinone with the translocation of protons across the membrane. The complex consists of a peripheral arm catalyzing the redox reaction and a membrane arm catalyzing proton translocation. The membrane arm is almost completely aligned by a 110 Å unique horizontal helix that is discussed to transmit conformational changes induced by the redox reaction in a piston-like movement to the membrane arm driving proton translocation. Here, we analyzed such a proposed movement by cysteine-scanning of the helix of the Escherichia coli complex I. The accessibility of engineered cysteine residues and the flexibility of individual positions were determined by labeling the preparations with a fluorescent marker and a spin-probe, respectively, in the oxidized and reduced states. The differences in fluorescence labeling and the rotational flexibility of the spin probe between both redox states indicate only slight conformational changes at distinct positions of the helix but not a large movement.","author":[{"dropping-particle":"","family":"Steimle","given":"Stefan","non-dropping-particle":"","parse-names":false,"suffix":""},{"dropping-particle":"","family":"Schnick","given":"Christian","non-dropping-particle":"","parse-names":false,"suffix":""},{"dropping-particle":"","family":"Burger","given":"Eva-Maria","non-dropping-particle":"","parse-names":false,"suffix":""},{"dropping-particle":"","family":"Nuber","given":"Franziska","non-dropping-particle":"","parse-names":false,"suffix":""},{"dropping-particle":"","family":"Krämer","given":"Dorothée","non-dropping-particle":"","parse-names":false,"suffix":""},{"dropping-particle":"","family":"Dawitz","given":"Hannah","non-dropping-particle":"","parse-names":false,"suffix":""},{"dropping-particle":"","family":"Brander","given":"Sofia","non-dropping-particle":"","parse-names":false,"suffix":""},{"dropping-particle":"","family":"Matlosz","given":"Bartlomiej","non-dropping-particle":"","parse-names":false,"suffix":""},{"dropping-particle":"","family":"Schäfer","given":"Jacob","non-dropping-particle":"","parse-names":false,"suffix":""},{"dropping-particle":"","family":"Maurer","given":"Katharina","non-dropping-particle":"","parse-names":false,"suffix":""},{"dropping-particle":"","family":"Glessner","given":"Udo","non-dropping-particle":"","parse-names":false,"suffix":""},{"dropping-particle":"","family":"Friedrich","given":"Thorsten","non-dropping-particle":"","parse-names":false,"suffix":""}],"container-title":"Molecular microbiology","id":"ITEM-1","issue":"1","issued":{"date-parts":[["2015","10"]]},"language":"eng","page":"151-161","publisher-place":"England","title":"Cysteine scanning reveals minor local rearrangements of the horizontal helix of  respiratory complex I.","type":"article-journal","volume":"98"},"uris":["http://www.mendeley.com/documents/?uuid=94fe39a8-c0b1-4e09-9d05-5b84b6653b57"]}],"mendeley":{"formattedCitation":"(Steimle &lt;i&gt;et al&lt;/i&gt;, 2015)","plainTextFormattedCitation":"(Steimle et al, 2015)","previouslyFormattedCitation":"(Steimle &lt;i&gt;et al&lt;/i&gt;, 2015)"},"properties":{"noteIndex":0},"schema":"https://github.com/citation-style-language/schema/raw/master/csl-citation.json"}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(Steimle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2015)</w:t>
            </w:r>
            <w:r w:rsidRPr="00E97FC1">
              <w:rPr>
                <w:rFonts w:ascii="Helvetica" w:hAnsi="Helvetica" w:cs="Helvetica"/>
                <w:b/>
                <w:bCs/>
                <w:sz w:val="16"/>
                <w:szCs w:val="20"/>
                <w:lang w:val="en-GB"/>
              </w:rPr>
              <w:fldChar w:fldCharType="end"/>
            </w:r>
          </w:p>
        </w:tc>
      </w:tr>
      <w:tr w:rsidR="002471A8" w:rsidRPr="00E97FC1" w14:paraId="1146F92A" w14:textId="77777777" w:rsidTr="002471A8">
        <w:trPr>
          <w:trHeight w:val="65"/>
        </w:trPr>
        <w:tc>
          <w:tcPr>
            <w:tcW w:w="1075" w:type="dxa"/>
          </w:tcPr>
          <w:p w14:paraId="54E0311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D563N</w:t>
            </w:r>
          </w:p>
        </w:tc>
        <w:tc>
          <w:tcPr>
            <w:tcW w:w="2790" w:type="dxa"/>
            <w:vMerge/>
          </w:tcPr>
          <w:p w14:paraId="37C7642B" w14:textId="77777777" w:rsidR="002471A8" w:rsidRPr="00E97FC1" w:rsidRDefault="002471A8" w:rsidP="002471A8">
            <w:pPr>
              <w:rPr>
                <w:rFonts w:ascii="Helvetica" w:hAnsi="Helvetica" w:cs="Helvetica"/>
                <w:bCs/>
                <w:sz w:val="20"/>
                <w:szCs w:val="20"/>
                <w:lang w:val="en-GB"/>
              </w:rPr>
            </w:pPr>
          </w:p>
        </w:tc>
        <w:tc>
          <w:tcPr>
            <w:tcW w:w="1440" w:type="dxa"/>
          </w:tcPr>
          <w:p w14:paraId="775A9D4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6A50E74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3CC5DFC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75%</w:t>
            </w:r>
          </w:p>
        </w:tc>
        <w:tc>
          <w:tcPr>
            <w:tcW w:w="1080" w:type="dxa"/>
          </w:tcPr>
          <w:p w14:paraId="0E2652E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49%</w:t>
            </w:r>
          </w:p>
        </w:tc>
        <w:tc>
          <w:tcPr>
            <w:tcW w:w="1260" w:type="dxa"/>
          </w:tcPr>
          <w:p w14:paraId="6F46FC39" w14:textId="2D9CA86C"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{"citationItems":[{"id":"ITEM-1","itemData":{"DOI":"10.1016/j.febslet.2012.01.056","ISSN":"1873-3468 (Electronic)","PMID":"22326235","abstract":"The NADH:ubiquinone oxidoreductase couples the electron transfer from NADH to  ubiquinone with the translocation of protons across the membrane. It contains a 110Å long helix running parallel to the membrane part of the complex. Deletion of the helix resulted in a reduced H(+)/e(-) stoichiometry indicating its direct involvement in proton translocation. Here, we show that the mutation of the conserved amino acid D563(L), which is part of the horizontal helix of the Escherichia coli complex I, leads to a reduced H(+)/e(-) stoichiometry. It is discussed that this residue is involved in transferring protons to the membranous proton translocation site.","author":[{"dropping-particle":"","family":"Steimle","given":"Stefan","non-dropping-particle":"","parse-names":false,"suffix":""},{"dropping-particle":"","family":"Willistein","given":"Max","non-dropping-particle":"","parse-names":false,"suffix":""},{"dropping-particle":"","family":"Hegger","given":"Patricia","non-dropping-particle":"","parse-names":false,"suffix":""},{"dropping-particle":"","family":"Janoschke","given":"Marco","non-dropping-particle":"","parse-names":false,"suffix":""},{"dropping-particle":"","family":"Erhardt","given":"Heiko","non-dropping-particle":"","parse-names":false,"suffix":""},{"dropping-particle":"","family":"Friedrich","given":"Thorsten","non-dropping-particle":"","parse-names":false,"suffix":""}],"container-title":"FEBS letters","id":"ITEM-1","issue":"6","issued":{"date-parts":[["2012","3"]]},"language":"eng","page":"699-704","publisher-place":"England","title":"Asp563 of the horizontal helix of subunit NuoL is involved in proton translocation  by the respiratory complex I.","type":"article-journal","volume":"586"},"uris":["http://www.mendeley.com/documents/?uuid=d787a173-c5cf-4bc2-8d0e-dbda5a2b5a19"]}],"mendeley":{"formattedCitation":"(Steimle &lt;i&gt;et al&lt;/i&gt;, 2012)","plainTextFormattedCitation":"(Steimle et al, 2012)","previouslyFormattedCitation":"(Steimle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(Steimle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53F146E1" w14:textId="77777777" w:rsidTr="002471A8">
        <w:trPr>
          <w:trHeight w:val="65"/>
        </w:trPr>
        <w:tc>
          <w:tcPr>
            <w:tcW w:w="1075" w:type="dxa"/>
          </w:tcPr>
          <w:p w14:paraId="6AD18DC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D563E</w:t>
            </w:r>
          </w:p>
        </w:tc>
        <w:tc>
          <w:tcPr>
            <w:tcW w:w="2790" w:type="dxa"/>
            <w:vMerge/>
          </w:tcPr>
          <w:p w14:paraId="043A17F8" w14:textId="77777777" w:rsidR="002471A8" w:rsidRPr="00E97FC1" w:rsidRDefault="002471A8" w:rsidP="002471A8">
            <w:pPr>
              <w:rPr>
                <w:rFonts w:ascii="Helvetica" w:hAnsi="Helvetica" w:cs="Helvetica"/>
                <w:bCs/>
                <w:sz w:val="20"/>
                <w:szCs w:val="20"/>
                <w:lang w:val="en-GB"/>
              </w:rPr>
            </w:pPr>
          </w:p>
        </w:tc>
        <w:tc>
          <w:tcPr>
            <w:tcW w:w="1440" w:type="dxa"/>
          </w:tcPr>
          <w:p w14:paraId="43B6299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3E662494"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6F96075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106%</w:t>
            </w:r>
          </w:p>
        </w:tc>
        <w:tc>
          <w:tcPr>
            <w:tcW w:w="1080" w:type="dxa"/>
          </w:tcPr>
          <w:p w14:paraId="69A5BDE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74%</w:t>
            </w:r>
          </w:p>
        </w:tc>
        <w:tc>
          <w:tcPr>
            <w:tcW w:w="1260" w:type="dxa"/>
          </w:tcPr>
          <w:p w14:paraId="1672FA19" w14:textId="591E82D2"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{"citationItems":[{"id":"ITEM-1","itemData":{"DOI":"10.1016/j.febslet.2012.01.056","ISSN":"1873-3468 (Electronic)","PMID":"22326235","abstract":"The NADH:ubiquinone oxidoreductase couples the electron transfer from NADH to  ubiquinone with the translocation of protons across the membrane. It contains a 110Å long helix running parallel to the membrane part of the complex. Deletion of the helix resulted in a reduced H(+)/e(-) stoichiometry indicating its direct involvement in proton translocation. Here, we show that the mutation of the conserved amino acid D563(L), which is part of the horizontal helix of the Escherichia coli complex I, leads to a reduced H(+)/e(-) stoichiometry. It is discussed that this residue is involved in transferring protons to the membranous proton translocation site.","author":[{"dropping-particle":"","family":"Steimle","given":"Stefan","non-dropping-particle":"","parse-names":false,"suffix":""},{"dropping-particle":"","family":"Willistein","given":"Max","non-dropping-particle":"","parse-names":false,"suffix":""},{"dropping-particle":"","family":"Hegger","given":"Patricia","non-dropping-particle":"","parse-names":false,"suffix":""},{"dropping-particle":"","family":"Janoschke","given":"Marco","non-dropping-particle":"","parse-names":false,"suffix":""},{"dropping-particle":"","family":"Erhardt","given":"Heiko","non-dropping-particle":"","parse-names":false,"suffix":""},{"dropping-particle":"","family":"Friedrich","given":"Thorsten","non-dropping-particle":"","parse-names":false,"suffix":""}],"container-title":"FEBS letters","id":"ITEM-1","issue":"6","issued":{"date-parts":[["2012","3"]]},"language":"eng","page":"699-704","publisher-place":"England","title":"Asp563 of the horizontal helix of subunit NuoL is involved in proton translocation  by the respiratory complex I.","type":"article-journal","volume":"586"},"uris":["http://www.mendeley.com/documents/?uuid=d787a173-c5cf-4bc2-8d0e-dbda5a2b5a19"]}],"mendeley":{"formattedCitation":"(Steimle &lt;i&gt;et al&lt;/i&gt;, 2012)","plainTextFormattedCitation":"(Steimle et al, 2012)","previouslyFormattedCitation":"(Steimle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(Steimle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64965E17" w14:textId="77777777" w:rsidTr="002471A8">
        <w:trPr>
          <w:trHeight w:val="65"/>
        </w:trPr>
        <w:tc>
          <w:tcPr>
            <w:tcW w:w="1075" w:type="dxa"/>
          </w:tcPr>
          <w:p w14:paraId="6A390F9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D563Q</w:t>
            </w:r>
          </w:p>
        </w:tc>
        <w:tc>
          <w:tcPr>
            <w:tcW w:w="2790" w:type="dxa"/>
            <w:vMerge/>
          </w:tcPr>
          <w:p w14:paraId="2A18C6C3" w14:textId="77777777" w:rsidR="002471A8" w:rsidRPr="00E97FC1" w:rsidRDefault="002471A8" w:rsidP="002471A8">
            <w:pPr>
              <w:rPr>
                <w:rFonts w:ascii="Helvetica" w:hAnsi="Helvetica" w:cs="Helvetica"/>
                <w:bCs/>
                <w:sz w:val="20"/>
                <w:szCs w:val="20"/>
                <w:lang w:val="en-GB"/>
              </w:rPr>
            </w:pPr>
          </w:p>
        </w:tc>
        <w:tc>
          <w:tcPr>
            <w:tcW w:w="1440" w:type="dxa"/>
          </w:tcPr>
          <w:p w14:paraId="138E00A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49BCE4E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6EA58B7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81%</w:t>
            </w:r>
          </w:p>
        </w:tc>
        <w:tc>
          <w:tcPr>
            <w:tcW w:w="1080" w:type="dxa"/>
          </w:tcPr>
          <w:p w14:paraId="5FE52EF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56%</w:t>
            </w:r>
          </w:p>
        </w:tc>
        <w:tc>
          <w:tcPr>
            <w:tcW w:w="1260" w:type="dxa"/>
          </w:tcPr>
          <w:p w14:paraId="7648DEC0" w14:textId="6D86B301"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{"citationItems":[{"id":"ITEM-1","itemData":{"DOI":"10.1016/j.febslet.2012.01.056","ISSN":"1873-3468 (Electronic)","PMID":"22326235","abstract":"The NADH:ubiquinone oxidoreductase couples the electron transfer from NADH to  ubiquinone with the translocation of protons across the membrane. It contains a 110Å long helix running parallel to the membrane part of the complex. Deletion of the helix resulted in a reduced H(+)/e(-) stoichiometry indicating its direct involvement in proton translocation. Here, we show that the mutation of the conserved amino acid D563(L), which is part of the horizontal helix of the Escherichia coli complex I, leads to a reduced H(+)/e(-) stoichiometry. It is discussed that this residue is involved in transferring protons to the membranous proton translocation site.","author":[{"dropping-particle":"","family":"Steimle","given":"Stefan","non-dropping-particle":"","parse-names":false,"suffix":""},{"dropping-particle":"","family":"Willistein","given":"Max","non-dropping-particle":"","parse-names":false,"suffix":""},{"dropping-particle":"","family":"Hegger","given":"Patricia","non-dropping-particle":"","parse-names":false,"suffix":""},{"dropping-particle":"","family":"Janoschke","given":"Marco","non-dropping-particle":"","parse-names":false,"suffix":""},{"dropping-particle":"","family":"Erhardt","given":"Heiko","non-dropping-particle":"","parse-names":false,"suffix":""},{"dropping-particle":"","family":"Friedrich","given":"Thorsten","non-dropping-particle":"","parse-names":false,"suffix":""}],"container-title":"FEBS letters","id":"ITEM-1","issue":"6","issued":{"date-parts":[["2012","3"]]},"language":"eng","page":"699-704","publisher-place":"England","title":"Asp563 of the horizontal helix of subunit NuoL is involved in proton translocation  by the respiratory complex I.","type":"article-journal","volume":"586"},"uris":["http://www.mendeley.com/documents/?uuid=d787a173-c5cf-4bc2-8d0e-dbda5a2b5a19"]}],"mendeley":{"formattedCitation":"(Steimle &lt;i&gt;et al&lt;/i&gt;, 2012)","plainTextFormattedCitation":"(Steimle et al, 2012)","previouslyFormattedCitation":"(Steimle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(Steimle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41F92F4F" w14:textId="77777777" w:rsidTr="002471A8">
        <w:trPr>
          <w:trHeight w:val="65"/>
        </w:trPr>
        <w:tc>
          <w:tcPr>
            <w:tcW w:w="1075" w:type="dxa"/>
          </w:tcPr>
          <w:p w14:paraId="77A4796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D563A</w:t>
            </w:r>
          </w:p>
        </w:tc>
        <w:tc>
          <w:tcPr>
            <w:tcW w:w="2790" w:type="dxa"/>
            <w:vMerge/>
          </w:tcPr>
          <w:p w14:paraId="7BD1AD6B" w14:textId="77777777" w:rsidR="002471A8" w:rsidRPr="00E97FC1" w:rsidRDefault="002471A8" w:rsidP="002471A8">
            <w:pPr>
              <w:rPr>
                <w:rFonts w:ascii="Helvetica" w:hAnsi="Helvetica" w:cs="Helvetica"/>
                <w:bCs/>
                <w:sz w:val="20"/>
                <w:szCs w:val="20"/>
                <w:lang w:val="en-GB"/>
              </w:rPr>
            </w:pPr>
          </w:p>
        </w:tc>
        <w:tc>
          <w:tcPr>
            <w:tcW w:w="1440" w:type="dxa"/>
          </w:tcPr>
          <w:p w14:paraId="35F6D5C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597459DB"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5FA81E9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118%</w:t>
            </w:r>
          </w:p>
        </w:tc>
        <w:tc>
          <w:tcPr>
            <w:tcW w:w="1080" w:type="dxa"/>
          </w:tcPr>
          <w:p w14:paraId="4FAA869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82%</w:t>
            </w:r>
          </w:p>
        </w:tc>
        <w:tc>
          <w:tcPr>
            <w:tcW w:w="1260" w:type="dxa"/>
          </w:tcPr>
          <w:p w14:paraId="5BFADCE5" w14:textId="130213AA"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{"citationItems":[{"id":"ITEM-1","itemData":{"DOI":"10.1016/j.febslet.2012.01.056","ISSN":"1873-3468 (Electronic)","PMID":"22326235","abstract":"The NADH:ubiquinone oxidoreductase couples the electron transfer from NADH to  ubiquinone with the translocation of protons across the membrane. It contains a 110Å long helix running parallel to the membrane part of the complex. Deletion of the helix resulted in a reduced H(+)/e(-) stoichiometry indicating its direct involvement in proton translocation. Here, we show that the mutation of the conserved amino acid D563(L), which is part of the horizontal helix of the Escherichia coli complex I, leads to a reduced H(+)/e(-) stoichiometry. It is discussed that this residue is involved in transferring protons to the membranous proton translocation site.","author":[{"dropping-particle":"","family":"Steimle","given":"Stefan","non-dropping-particle":"","parse-names":false,"suffix":""},{"dropping-particle":"","family":"Willistein","given":"Max","non-dropping-particle":"","parse-names":false,"suffix":""},{"dropping-particle":"","family":"Hegger","given":"Patricia","non-dropping-particle":"","parse-names":false,"suffix":""},{"dropping-particle":"","family":"Janoschke","given":"Marco","non-dropping-particle":"","parse-names":false,"suffix":""},{"dropping-particle":"","family":"Erhardt","given":"Heiko","non-dropping-particle":"","parse-names":false,"suffix":""},{"dropping-particle":"","family":"Friedrich","given":"Thorsten","non-dropping-particle":"","parse-names":false,"suffix":""}],"container-title":"FEBS letters","id":"ITEM-1","issue":"6","issued":{"date-parts":[["2012","3"]]},"language":"eng","page":"699-704","publisher-place":"England","title":"Asp563 of the horizontal helix of subunit NuoL is involved in proton translocation  by the respiratory complex I.","type":"article-journal","volume":"586"},"uris":["http://www.mendeley.com/documents/?uuid=d787a173-c5cf-4bc2-8d0e-dbda5a2b5a19"]}],"mendeley":{"formattedCitation":"(Steimle &lt;i&gt;et al&lt;/i&gt;, 2012)","plainTextFormattedCitation":"(Steimle et al, 2012)","previouslyFormattedCitation":"(Steimle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(Steimle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667BD6F3" w14:textId="77777777" w:rsidTr="002471A8">
        <w:trPr>
          <w:trHeight w:val="65"/>
        </w:trPr>
        <w:tc>
          <w:tcPr>
            <w:tcW w:w="1075" w:type="dxa"/>
          </w:tcPr>
          <w:p w14:paraId="0F98B5A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lastRenderedPageBreak/>
              <w:t>N566C</w:t>
            </w:r>
          </w:p>
        </w:tc>
        <w:tc>
          <w:tcPr>
            <w:tcW w:w="2790" w:type="dxa"/>
            <w:vMerge/>
          </w:tcPr>
          <w:p w14:paraId="707E8EBA" w14:textId="77777777" w:rsidR="002471A8" w:rsidRPr="00E97FC1" w:rsidRDefault="002471A8" w:rsidP="002471A8">
            <w:pPr>
              <w:rPr>
                <w:rFonts w:ascii="Helvetica" w:hAnsi="Helvetica" w:cs="Helvetica"/>
                <w:bCs/>
                <w:sz w:val="20"/>
                <w:szCs w:val="20"/>
                <w:lang w:val="en-GB"/>
              </w:rPr>
            </w:pPr>
          </w:p>
        </w:tc>
        <w:tc>
          <w:tcPr>
            <w:tcW w:w="1440" w:type="dxa"/>
          </w:tcPr>
          <w:p w14:paraId="42367074"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3D84E7C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2EBCD51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69%</w:t>
            </w:r>
          </w:p>
        </w:tc>
        <w:tc>
          <w:tcPr>
            <w:tcW w:w="1080" w:type="dxa"/>
          </w:tcPr>
          <w:p w14:paraId="1D47FA1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6D516425" w14:textId="68F6D23B"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{"citationItems":[{"id":"ITEM-1","itemData":{"DOI":"10.1111/mmi.13112","ISSN":"1365-2958 (Electronic)","PMID":"26115017","abstract":"The NADH:ubiquinone oxidoreductase, respiratory complex I, couples electron transfer  from NADH to ubiquinone with the translocation of protons across the membrane. The complex consists of a peripheral arm catalyzing the redox reaction and a membrane arm catalyzing proton translocation. The membrane arm is almost completely aligned by a 110 Å unique horizontal helix that is discussed to transmit conformational changes induced by the redox reaction in a piston-like movement to the membrane arm driving proton translocation. Here, we analyzed such a proposed movement by cysteine-scanning of the helix of the Escherichia coli complex I. The accessibility of engineered cysteine residues and the flexibility of individual positions were determined by labeling the preparations with a fluorescent marker and a spin-probe, respectively, in the oxidized and reduced states. The differences in fluorescence labeling and the rotational flexibility of the spin probe between both redox states indicate only slight conformational changes at distinct positions of the helix but not a large movement.","author":[{"dropping-particle":"","family":"Steimle","given":"Stefan","non-dropping-particle":"","parse-names":false,"suffix":""},{"dropping-particle":"","family":"Schnick","given":"Christian","non-dropping-particle":"","parse-names":false,"suffix":""},{"dropping-particle":"","family":"Burger","given":"Eva-Maria","non-dropping-particle":"","parse-names":false,"suffix":""},{"dropping-particle":"","family":"Nuber","given":"Franziska","non-dropping-particle":"","parse-names":false,"suffix":""},{"dropping-particle":"","family":"Krämer","given":"Dorothée","non-dropping-particle":"","parse-names":false,"suffix":""},{"dropping-particle":"","family":"Dawitz","given":"Hannah","non-dropping-particle":"","parse-names":false,"suffix":""},{"dropping-particle":"","family":"Brander","given":"Sofia","non-dropping-particle":"","parse-names":false,"suffix":""},{"dropping-particle":"","family":"Matlosz","given":"Bartlomiej","non-dropping-particle":"","parse-names":false,"suffix":""},{"dropping-particle":"","family":"Schäfer","given":"Jacob","non-dropping-particle":"","parse-names":false,"suffix":""},{"dropping-particle":"","family":"Maurer","given":"Katharina","non-dropping-particle":"","parse-names":false,"suffix":""},{"dropping-particle":"","family":"Glessner","given":"Udo","non-dropping-particle":"","parse-names":false,"suffix":""},{"dropping-particle":"","family":"Friedrich","given":"Thorsten","non-dropping-particle":"","parse-names":false,"suffix":""}],"container-title":"Molecular microbiology","id":"ITEM-1","issue":"1","issued":{"date-parts":[["2015","10"]]},"language":"eng","page":"151-161","publisher-place":"England","title":"Cysteine scanning reveals minor local rearrangements of the horizontal helix of  respiratory complex I.","type":"article-journal","volume":"98"},"uris":["http://www.mendeley.com/documents/?uuid=94fe39a8-c0b1-4e09-9d05-5b84b6653b57"]}],"mendeley":{"formattedCitation":"(Steimle &lt;i&gt;et al&lt;/i&gt;, 2015)","plainTextFormattedCitation":"(Steimle et al, 2015)","previouslyFormattedCitation":"(Steimle &lt;i&gt;et al&lt;/i&gt;, 2015)"},"properties":{"noteIndex":0},"schema":"https://github.com/citation-style-language/schema/raw/master/csl-citation.json"}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(Steimle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2015)</w:t>
            </w:r>
            <w:r w:rsidRPr="00E97FC1">
              <w:rPr>
                <w:rFonts w:ascii="Helvetica" w:hAnsi="Helvetica" w:cs="Helvetica"/>
                <w:b/>
                <w:bCs/>
                <w:sz w:val="16"/>
                <w:szCs w:val="20"/>
                <w:lang w:val="en-GB"/>
              </w:rPr>
              <w:fldChar w:fldCharType="end"/>
            </w:r>
          </w:p>
        </w:tc>
      </w:tr>
      <w:tr w:rsidR="002471A8" w:rsidRPr="00E97FC1" w14:paraId="62FA2F91" w14:textId="77777777" w:rsidTr="002471A8">
        <w:trPr>
          <w:trHeight w:val="65"/>
        </w:trPr>
        <w:tc>
          <w:tcPr>
            <w:tcW w:w="1075" w:type="dxa"/>
          </w:tcPr>
          <w:p w14:paraId="37F21DB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lastRenderedPageBreak/>
              <w:t>I571C</w:t>
            </w:r>
          </w:p>
        </w:tc>
        <w:tc>
          <w:tcPr>
            <w:tcW w:w="2790" w:type="dxa"/>
            <w:vMerge/>
          </w:tcPr>
          <w:p w14:paraId="5E69DAFA" w14:textId="77777777" w:rsidR="002471A8" w:rsidRPr="00E97FC1" w:rsidRDefault="002471A8" w:rsidP="002471A8">
            <w:pPr>
              <w:rPr>
                <w:rFonts w:ascii="Helvetica" w:hAnsi="Helvetica" w:cs="Helvetica"/>
                <w:bCs/>
                <w:sz w:val="20"/>
                <w:szCs w:val="20"/>
                <w:lang w:val="en-GB"/>
              </w:rPr>
            </w:pPr>
          </w:p>
        </w:tc>
        <w:tc>
          <w:tcPr>
            <w:tcW w:w="1440" w:type="dxa"/>
          </w:tcPr>
          <w:p w14:paraId="1E02943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63FC00C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55B7B2F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80%</w:t>
            </w:r>
          </w:p>
        </w:tc>
        <w:tc>
          <w:tcPr>
            <w:tcW w:w="1080" w:type="dxa"/>
          </w:tcPr>
          <w:p w14:paraId="035A205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3397D604" w14:textId="19C816BF"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{"citationItems":[{"id":"ITEM-1","itemData":{"DOI":"10.1111/mmi.13112","ISSN":"1365-2958 (Electronic)","PMID":"26115017","abstract":"The NADH:ubiquinone oxidoreductase, respiratory complex I, couples electron transfer  from NADH to ubiquinone with the translocation of protons across the membrane. The complex consists of a peripheral arm catalyzing the redox reaction and a membrane arm catalyzing proton translocation. The membrane arm is almost completely aligned by a 110 Å unique horizontal helix that is discussed to transmit conformational changes induced by the redox reaction in a piston-like movement to the membrane arm driving proton translocation. Here, we analyzed such a proposed movement by cysteine-scanning of the helix of the Escherichia coli complex I. The accessibility of engineered cysteine residues and the flexibility of individual positions were determined by labeling the preparations with a fluorescent marker and a spin-probe, respectively, in the oxidized and reduced states. The differences in fluorescence labeling and the rotational flexibility of the spin probe between both redox states indicate only slight conformational changes at distinct positions of the helix but not a large movement.","author":[{"dropping-particle":"","family":"Steimle","given":"Stefan","non-dropping-particle":"","parse-names":false,"suffix":""},{"dropping-particle":"","family":"Schnick","given":"Christian","non-dropping-particle":"","parse-names":false,"suffix":""},{"dropping-particle":"","family":"Burger","given":"Eva-Maria","non-dropping-particle":"","parse-names":false,"suffix":""},{"dropping-particle":"","family":"Nuber","given":"Franziska","non-dropping-particle":"","parse-names":false,"suffix":""},{"dropping-particle":"","family":"Krämer","given":"Dorothée","non-dropping-particle":"","parse-names":false,"suffix":""},{"dropping-particle":"","family":"Dawitz","given":"Hannah","non-dropping-particle":"","parse-names":false,"suffix":""},{"dropping-particle":"","family":"Brander","given":"Sofia","non-dropping-particle":"","parse-names":false,"suffix":""},{"dropping-particle":"","family":"Matlosz","given":"Bartlomiej","non-dropping-particle":"","parse-names":false,"suffix":""},{"dropping-particle":"","family":"Schäfer","given":"Jacob","non-dropping-particle":"","parse-names":false,"suffix":""},{"dropping-particle":"","family":"Maurer","given":"Katharina","non-dropping-particle":"","parse-names":false,"suffix":""},{"dropping-particle":"","family":"Glessner","given":"Udo","non-dropping-particle":"","parse-names":false,"suffix":""},{"dropping-particle":"","family":"Friedrich","given":"Thorsten","non-dropping-particle":"","parse-names":false,"suffix":""}],"container-title":"Molecular microbiology","id":"ITEM-1","issue":"1","issued":{"date-parts":[["2015","10"]]},"language":"eng","page":"151-161","publisher-place":"England","title":"Cysteine scanning reveals minor local rearrangements of the horizontal helix of  respiratory complex I.","type":"article-journal","volume":"98"},"uris":["http://www.mendeley.com/documents/?uuid=94fe39a8-c0b1-4e09-9d05-5b84b6653b57"]}],"mendeley":{"formattedCitation":"(Steimle &lt;i&gt;et al&lt;/i&gt;, 2015)","plainTextFormattedCitation":"(Steimle et al, 2015)","previouslyFormattedCitation":"(Steimle &lt;i&gt;et al&lt;/i&gt;, 2015)"},"properties":{"noteIndex":0},"schema":"https://github.com/citation-style-language/schema/raw/master/csl-citation.json"}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(Steimle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2015)</w:t>
            </w:r>
            <w:r w:rsidRPr="00E97FC1">
              <w:rPr>
                <w:rFonts w:ascii="Helvetica" w:hAnsi="Helvetica" w:cs="Helvetica"/>
                <w:b/>
                <w:bCs/>
                <w:sz w:val="16"/>
                <w:szCs w:val="20"/>
                <w:lang w:val="en-GB"/>
              </w:rPr>
              <w:fldChar w:fldCharType="end"/>
            </w:r>
          </w:p>
        </w:tc>
      </w:tr>
      <w:tr w:rsidR="002471A8" w:rsidRPr="00E97FC1" w14:paraId="4EB56751" w14:textId="77777777" w:rsidTr="002471A8">
        <w:trPr>
          <w:trHeight w:val="65"/>
        </w:trPr>
        <w:tc>
          <w:tcPr>
            <w:tcW w:w="1075" w:type="dxa"/>
          </w:tcPr>
          <w:p w14:paraId="32FFBEE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P572C</w:t>
            </w:r>
          </w:p>
        </w:tc>
        <w:tc>
          <w:tcPr>
            <w:tcW w:w="2790" w:type="dxa"/>
            <w:vMerge/>
          </w:tcPr>
          <w:p w14:paraId="184B1C47" w14:textId="77777777" w:rsidR="002471A8" w:rsidRPr="00E97FC1" w:rsidRDefault="002471A8" w:rsidP="002471A8">
            <w:pPr>
              <w:rPr>
                <w:rFonts w:ascii="Helvetica" w:hAnsi="Helvetica" w:cs="Helvetica"/>
                <w:bCs/>
                <w:sz w:val="20"/>
                <w:szCs w:val="20"/>
                <w:lang w:val="en-GB"/>
              </w:rPr>
            </w:pPr>
          </w:p>
        </w:tc>
        <w:tc>
          <w:tcPr>
            <w:tcW w:w="1440" w:type="dxa"/>
          </w:tcPr>
          <w:p w14:paraId="1488956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56D86071"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45F8A89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119%</w:t>
            </w:r>
          </w:p>
        </w:tc>
        <w:tc>
          <w:tcPr>
            <w:tcW w:w="1080" w:type="dxa"/>
          </w:tcPr>
          <w:p w14:paraId="6F688504"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17C3D454" w14:textId="46C0AF4B"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{"citationItems":[{"id":"ITEM-1","itemData":{"DOI":"10.1111/mmi.13112","ISSN":"1365-2958 (Electronic)","PMID":"26115017","abstract":"The NADH:ubiquinone oxidoreductase, respiratory complex I, couples electron transfer  from NADH to ubiquinone with the translocation of protons across the membrane. The complex consists of a peripheral arm catalyzing the redox reaction and a membrane arm catalyzing proton translocation. The membrane arm is almost completely aligned by a 110 Å unique horizontal helix that is discussed to transmit conformational changes induced by the redox reaction in a piston-like movement to the membrane arm driving proton translocation. Here, we analyzed such a proposed movement by cysteine-scanning of the helix of the Escherichia coli complex I. The accessibility of engineered cysteine residues and the flexibility of individual positions were determined by labeling the preparations with a fluorescent marker and a spin-probe, respectively, in the oxidized and reduced states. The differences in fluorescence labeling and the rotational flexibility of the spin probe between both redox states indicate only slight conformational changes at distinct positions of the helix but not a large movement.","author":[{"dropping-particle":"","family":"Steimle","given":"Stefan","non-dropping-particle":"","parse-names":false,"suffix":""},{"dropping-particle":"","family":"Schnick","given":"Christian","non-dropping-particle":"","parse-names":false,"suffix":""},{"dropping-particle":"","family":"Burger","given":"Eva-Maria","non-dropping-particle":"","parse-names":false,"suffix":""},{"dropping-particle":"","family":"Nuber","given":"Franziska","non-dropping-particle":"","parse-names":false,"suffix":""},{"dropping-particle":"","family":"Krämer","given":"Dorothée","non-dropping-particle":"","parse-names":false,"suffix":""},{"dropping-particle":"","family":"Dawitz","given":"Hannah","non-dropping-particle":"","parse-names":false,"suffix":""},{"dropping-particle":"","family":"Brander","given":"Sofia","non-dropping-particle":"","parse-names":false,"suffix":""},{"dropping-particle":"","family":"Matlosz","given":"Bartlomiej","non-dropping-particle":"","parse-names":false,"suffix":""},{"dropping-particle":"","family":"Schäfer","given":"Jacob","non-dropping-particle":"","parse-names":false,"suffix":""},{"dropping-particle":"","family":"Maurer","given":"Katharina","non-dropping-particle":"","parse-names":false,"suffix":""},{"dropping-particle":"","family":"Glessner","given":"Udo","non-dropping-particle":"","parse-names":false,"suffix":""},{"dropping-particle":"","family":"Friedrich","given":"Thorsten","non-dropping-particle":"","parse-names":false,"suffix":""}],"container-title":"Molecular microbiology","id":"ITEM-1","issue":"1","issued":{"date-parts":[["2015","10"]]},"language":"eng","page":"151-161","publisher-place":"England","title":"Cysteine scanning reveals minor local rearrangements of the horizontal helix of  respiratory complex I.","type":"article-journal","volume":"98"},"uris":["http://www.mendeley.com/documents/?uuid=94fe39a8-c0b1-4e09-9d05-5b84b6653b57"]}],"mendeley":{"formattedCitation":"(Steimle &lt;i&gt;et al&lt;/i&gt;, 2015)","plainTextFormattedCitation":"(Steimle et al, 2015)","previouslyFormattedCitation":"(Steimle &lt;i&gt;et al&lt;/i&gt;, 2015)"},"properties":{"noteIndex":0},"schema":"https://github.com/citation-style-language/schema/raw/master/csl-citation.json"}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(Steimle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2015)</w:t>
            </w:r>
            <w:r w:rsidRPr="00E97FC1">
              <w:rPr>
                <w:rFonts w:ascii="Helvetica" w:hAnsi="Helvetica" w:cs="Helvetica"/>
                <w:b/>
                <w:bCs/>
                <w:sz w:val="16"/>
                <w:szCs w:val="20"/>
                <w:lang w:val="en-GB"/>
              </w:rPr>
              <w:fldChar w:fldCharType="end"/>
            </w:r>
          </w:p>
        </w:tc>
      </w:tr>
      <w:tr w:rsidR="002471A8" w:rsidRPr="00E97FC1" w14:paraId="71D768B3" w14:textId="77777777" w:rsidTr="002471A8">
        <w:trPr>
          <w:trHeight w:val="65"/>
        </w:trPr>
        <w:tc>
          <w:tcPr>
            <w:tcW w:w="1075" w:type="dxa"/>
          </w:tcPr>
          <w:p w14:paraId="20496F3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A573C</w:t>
            </w:r>
          </w:p>
        </w:tc>
        <w:tc>
          <w:tcPr>
            <w:tcW w:w="2790" w:type="dxa"/>
            <w:vMerge/>
          </w:tcPr>
          <w:p w14:paraId="3C3D1E59" w14:textId="77777777" w:rsidR="002471A8" w:rsidRPr="00E97FC1" w:rsidRDefault="002471A8" w:rsidP="002471A8">
            <w:pPr>
              <w:rPr>
                <w:rFonts w:ascii="Helvetica" w:hAnsi="Helvetica" w:cs="Helvetica"/>
                <w:bCs/>
                <w:sz w:val="20"/>
                <w:szCs w:val="20"/>
                <w:lang w:val="en-GB"/>
              </w:rPr>
            </w:pPr>
          </w:p>
        </w:tc>
        <w:tc>
          <w:tcPr>
            <w:tcW w:w="1440" w:type="dxa"/>
          </w:tcPr>
          <w:p w14:paraId="0FC2161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23D687C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7824078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102%</w:t>
            </w:r>
          </w:p>
        </w:tc>
        <w:tc>
          <w:tcPr>
            <w:tcW w:w="1080" w:type="dxa"/>
          </w:tcPr>
          <w:p w14:paraId="1941BA4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09934554" w14:textId="61B4B3E9"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{"citationItems":[{"id":"ITEM-1","itemData":{"DOI":"10.1111/mmi.13112","ISSN":"1365-2958 (Electronic)","PMID":"26115017","abstract":"The NADH:ubiquinone oxidoreductase, respiratory complex I, couples electron transfer  from NADH to ubiquinone with the translocation of protons across the membrane. The complex consists of a peripheral arm catalyzing the redox reaction and a membrane arm catalyzing proton translocation. The membrane arm is almost completely aligned by a 110 Å unique horizontal helix that is discussed to transmit conformational changes induced by the redox reaction in a piston-like movement to the membrane arm driving proton translocation. Here, we analyzed such a proposed movement by cysteine-scanning of the helix of the Escherichia coli complex I. The accessibility of engineered cysteine residues and the flexibility of individual positions were determined by labeling the preparations with a fluorescent marker and a spin-probe, respectively, in the oxidized and reduced states. The differences in fluorescence labeling and the rotational flexibility of the spin probe between both redox states indicate only slight conformational changes at distinct positions of the helix but not a large movement.","author":[{"dropping-particle":"","family":"Steimle","given":"Stefan","non-dropping-particle":"","parse-names":false,"suffix":""},{"dropping-particle":"","family":"Schnick","given":"Christian","non-dropping-particle":"","parse-names":false,"suffix":""},{"dropping-particle":"","family":"Burger","given":"Eva-Maria","non-dropping-particle":"","parse-names":false,"suffix":""},{"dropping-particle":"","family":"Nuber","given":"Franziska","non-dropping-particle":"","parse-names":false,"suffix":""},{"dropping-particle":"","family":"Krämer","given":"Dorothée","non-dropping-particle":"","parse-names":false,"suffix":""},{"dropping-particle":"","family":"Dawitz","given":"Hannah","non-dropping-particle":"","parse-names":false,"suffix":""},{"dropping-particle":"","family":"Brander","given":"Sofia","non-dropping-particle":"","parse-names":false,"suffix":""},{"dropping-particle":"","family":"Matlosz","given":"Bartlomiej","non-dropping-particle":"","parse-names":false,"suffix":""},{"dropping-particle":"","family":"Schäfer","given":"Jacob","non-dropping-particle":"","parse-names":false,"suffix":""},{"dropping-particle":"","family":"Maurer","given":"Katharina","non-dropping-particle":"","parse-names":false,"suffix":""},{"dropping-particle":"","family":"Glessner","given":"Udo","non-dropping-particle":"","parse-names":false,"suffix":""},{"dropping-particle":"","family":"Friedrich","given":"Thorsten","non-dropping-particle":"","parse-names":false,"suffix":""}],"container-title":"Molecular microbiology","id":"ITEM-1","issue":"1","issued":{"date-parts":[["2015","10"]]},"language":"eng","page":"151-161","publisher-place":"England","title":"Cysteine scanning reveals minor local rearrangements of the horizontal helix of  respiratory complex I.","type":"article-journal","volume":"98"},"uris":["http://www.mendeley.com/documents/?uuid=94fe39a8-c0b1-4e09-9d05-5b84b6653b57"]}],"mendeley":{"formattedCitation":"(Steimle &lt;i&gt;et al&lt;/i&gt;, 2015)","plainTextFormattedCitation":"(Steimle et al, 2015)","previouslyFormattedCitation":"(Steimle &lt;i&gt;et al&lt;/i&gt;, 2015)"},"properties":{"noteIndex":0},"schema":"https://github.com/citation-style-language/schema/raw/master/csl-citation.json"}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(Steimle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2015)</w:t>
            </w:r>
            <w:r w:rsidRPr="00E97FC1">
              <w:rPr>
                <w:rFonts w:ascii="Helvetica" w:hAnsi="Helvetica" w:cs="Helvetica"/>
                <w:b/>
                <w:bCs/>
                <w:sz w:val="16"/>
                <w:szCs w:val="20"/>
                <w:lang w:val="en-GB"/>
              </w:rPr>
              <w:fldChar w:fldCharType="end"/>
            </w:r>
          </w:p>
        </w:tc>
      </w:tr>
      <w:tr w:rsidR="002471A8" w:rsidRPr="00E97FC1" w14:paraId="4D78560C" w14:textId="77777777" w:rsidTr="002471A8">
        <w:trPr>
          <w:trHeight w:val="65"/>
        </w:trPr>
        <w:tc>
          <w:tcPr>
            <w:tcW w:w="1075" w:type="dxa"/>
          </w:tcPr>
          <w:p w14:paraId="6FD89C4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V574C</w:t>
            </w:r>
          </w:p>
        </w:tc>
        <w:tc>
          <w:tcPr>
            <w:tcW w:w="2790" w:type="dxa"/>
            <w:vMerge/>
          </w:tcPr>
          <w:p w14:paraId="63F0365E" w14:textId="77777777" w:rsidR="002471A8" w:rsidRPr="00E97FC1" w:rsidRDefault="002471A8" w:rsidP="002471A8">
            <w:pPr>
              <w:rPr>
                <w:rFonts w:ascii="Helvetica" w:hAnsi="Helvetica" w:cs="Helvetica"/>
                <w:bCs/>
                <w:sz w:val="20"/>
                <w:szCs w:val="20"/>
                <w:lang w:val="en-GB"/>
              </w:rPr>
            </w:pPr>
          </w:p>
        </w:tc>
        <w:tc>
          <w:tcPr>
            <w:tcW w:w="1440" w:type="dxa"/>
          </w:tcPr>
          <w:p w14:paraId="1162A79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10C5085B"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 xml:space="preserve">NA </w:t>
            </w:r>
          </w:p>
        </w:tc>
        <w:tc>
          <w:tcPr>
            <w:tcW w:w="1260" w:type="dxa"/>
          </w:tcPr>
          <w:p w14:paraId="71DE481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86%</w:t>
            </w:r>
          </w:p>
        </w:tc>
        <w:tc>
          <w:tcPr>
            <w:tcW w:w="1080" w:type="dxa"/>
          </w:tcPr>
          <w:p w14:paraId="7781CEE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 xml:space="preserve">NA </w:t>
            </w:r>
          </w:p>
        </w:tc>
        <w:tc>
          <w:tcPr>
            <w:tcW w:w="1260" w:type="dxa"/>
          </w:tcPr>
          <w:p w14:paraId="49EABD98" w14:textId="598B261F"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{"citationItems":[{"id":"ITEM-1","itemData":{"DOI":"10.1111/mmi.13112","ISSN":"1365-2958 (Electronic)","PMID":"26115017","abstract":"The NADH:ubiquinone oxidoreductase, respiratory complex I, couples electron transfer  from NADH to ubiquinone with the translocation of protons across the membrane. The complex consists of a peripheral arm catalyzing the redox reaction and a membrane arm catalyzing proton translocation. The membrane arm is almost completely aligned by a 110 Å unique horizontal helix that is discussed to transmit conformational changes induced by the redox reaction in a piston-like movement to the membrane arm driving proton translocation. Here, we analyzed such a proposed movement by cysteine-scanning of the helix of the Escherichia coli complex I. The accessibility of engineered cysteine residues and the flexibility of individual positions were determined by labeling the preparations with a fluorescent marker and a spin-probe, respectively, in the oxidized and reduced states. The differences in fluorescence labeling and the rotational flexibility of the spin probe between both redox states indicate only slight conformational changes at distinct positions of the helix but not a large movement.","author":[{"dropping-particle":"","family":"Steimle","given":"Stefan","non-dropping-particle":"","parse-names":false,"suffix":""},{"dropping-particle":"","family":"Schnick","given":"Christian","non-dropping-particle":"","parse-names":false,"suffix":""},{"dropping-particle":"","family":"Burger","given":"Eva-Maria","non-dropping-particle":"","parse-names":false,"suffix":""},{"dropping-particle":"","family":"Nuber","given":"Franziska","non-dropping-particle":"","parse-names":false,"suffix":""},{"dropping-particle":"","family":"Krämer","given":"Dorothée","non-dropping-particle":"","parse-names":false,"suffix":""},{"dropping-particle":"","family":"Dawitz","given":"Hannah","non-dropping-particle":"","parse-names":false,"suffix":""},{"dropping-particle":"","family":"Brander","given":"Sofia","non-dropping-particle":"","parse-names":false,"suffix":""},{"dropping-particle":"","family":"Matlosz","given":"Bartlomiej","non-dropping-particle":"","parse-names":false,"suffix":""},{"dropping-particle":"","family":"Schäfer","given":"Jacob","non-dropping-particle":"","parse-names":false,"suffix":""},{"dropping-particle":"","family":"Maurer","given":"Katharina","non-dropping-particle":"","parse-names":false,"suffix":""},{"dropping-particle":"","family":"Glessner","given":"Udo","non-dropping-particle":"","parse-names":false,"suffix":""},{"dropping-particle":"","family":"Friedrich","given":"Thorsten","non-dropping-particle":"","parse-names":false,"suffix":""}],"container-title":"Molecular microbiology","id":"ITEM-1","issue":"1","issued":{"date-parts":[["2015","10"]]},"language":"eng","page":"151-161","publisher-place":"England","title":"Cysteine scanning reveals minor local rearrangements of the horizontal helix of  respiratory complex I.","type":"article-journal","volume":"98"},"uris":["http://www.mendeley.com/documents/?uuid=94fe39a8-c0b1-4e09-9d05-5b84b6653b57"]}],"mendeley":{"formattedCitation":"(Steimle &lt;i&gt;et al&lt;/i&gt;, 2015)","plainTextFormattedCitation":"(Steimle et al, 2015)","previouslyFormattedCitation":"(Steimle &lt;i&gt;et al&lt;/i&gt;, 2015)"},"properties":{"noteIndex":0},"schema":"https://github.com/citation-style-language/schema/raw/master/csl-citation.json"}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(Steimle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2015)</w:t>
            </w:r>
            <w:r w:rsidRPr="00E97FC1">
              <w:rPr>
                <w:rFonts w:ascii="Helvetica" w:hAnsi="Helvetica" w:cs="Helvetica"/>
                <w:b/>
                <w:bCs/>
                <w:sz w:val="16"/>
                <w:szCs w:val="20"/>
                <w:lang w:val="en-GB"/>
              </w:rPr>
              <w:fldChar w:fldCharType="end"/>
            </w:r>
          </w:p>
        </w:tc>
      </w:tr>
      <w:tr w:rsidR="002471A8" w:rsidRPr="00E97FC1" w14:paraId="6F749F82" w14:textId="77777777" w:rsidTr="002471A8">
        <w:trPr>
          <w:trHeight w:val="65"/>
        </w:trPr>
        <w:tc>
          <w:tcPr>
            <w:tcW w:w="1075" w:type="dxa"/>
          </w:tcPr>
          <w:p w14:paraId="1C89DE6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Y590C</w:t>
            </w:r>
          </w:p>
        </w:tc>
        <w:tc>
          <w:tcPr>
            <w:tcW w:w="2790" w:type="dxa"/>
            <w:vMerge/>
          </w:tcPr>
          <w:p w14:paraId="7026F428" w14:textId="77777777" w:rsidR="002471A8" w:rsidRPr="00E97FC1" w:rsidRDefault="002471A8" w:rsidP="002471A8">
            <w:pPr>
              <w:rPr>
                <w:rFonts w:ascii="Helvetica" w:hAnsi="Helvetica" w:cs="Helvetica"/>
                <w:bCs/>
                <w:sz w:val="20"/>
                <w:szCs w:val="20"/>
                <w:lang w:val="en-GB"/>
              </w:rPr>
            </w:pPr>
          </w:p>
        </w:tc>
        <w:tc>
          <w:tcPr>
            <w:tcW w:w="1440" w:type="dxa"/>
          </w:tcPr>
          <w:p w14:paraId="21718657"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1B3B68F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513759E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102%</w:t>
            </w:r>
          </w:p>
        </w:tc>
        <w:tc>
          <w:tcPr>
            <w:tcW w:w="1080" w:type="dxa"/>
          </w:tcPr>
          <w:p w14:paraId="53818C6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2BF4F556" w14:textId="05B9B072"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{"citationItems":[{"id":"ITEM-1","itemData":{"DOI":"10.1111/mmi.13112","ISSN":"1365-2958 (Electronic)","PMID":"26115017","abstract":"The NADH:ubiquinone oxidoreductase, respiratory complex I, couples electron transfer  from NADH to ubiquinone with the translocation of protons across the membrane. The complex consists of a peripheral arm catalyzing the redox reaction and a membrane arm catalyzing proton translocation. The membrane arm is almost completely aligned by a 110 Å unique horizontal helix that is discussed to transmit conformational changes induced by the redox reaction in a piston-like movement to the membrane arm driving proton translocation. Here, we analyzed such a proposed movement by cysteine-scanning of the helix of the Escherichia coli complex I. The accessibility of engineered cysteine residues and the flexibility of individual positions were determined by labeling the preparations with a fluorescent marker and a spin-probe, respectively, in the oxidized and reduced states. The differences in fluorescence labeling and the rotational flexibility of the spin probe between both redox states indicate only slight conformational changes at distinct positions of the helix but not a large movement.","author":[{"dropping-particle":"","family":"Steimle","given":"Stefan","non-dropping-particle":"","parse-names":false,"suffix":""},{"dropping-particle":"","family":"Schnick","given":"Christian","non-dropping-particle":"","parse-names":false,"suffix":""},{"dropping-particle":"","family":"Burger","given":"Eva-Maria","non-dropping-particle":"","parse-names":false,"suffix":""},{"dropping-particle":"","family":"Nuber","given":"Franziska","non-dropping-particle":"","parse-names":false,"suffix":""},{"dropping-particle":"","family":"Krämer","given":"Dorothée","non-dropping-particle":"","parse-names":false,"suffix":""},{"dropping-particle":"","family":"Dawitz","given":"Hannah","non-dropping-particle":"","parse-names":false,"suffix":""},{"dropping-particle":"","family":"Brander","given":"Sofia","non-dropping-particle":"","parse-names":false,"suffix":""},{"dropping-particle":"","family":"Matlosz","given":"Bartlomiej","non-dropping-particle":"","parse-names":false,"suffix":""},{"dropping-particle":"","family":"Schäfer","given":"Jacob","non-dropping-particle":"","parse-names":false,"suffix":""},{"dropping-particle":"","family":"Maurer","given":"Katharina","non-dropping-particle":"","parse-names":false,"suffix":""},{"dropping-particle":"","family":"Glessner","given":"Udo","non-dropping-particle":"","parse-names":false,"suffix":""},{"dropping-particle":"","family":"Friedrich","given":"Thorsten","non-dropping-particle":"","parse-names":false,"suffix":""}],"container-title":"Molecular microbiology","id":"ITEM-1","issue":"1","issued":{"date-parts":[["2015","10"]]},"language":"eng","page":"151-161","publisher-place":"England","title":"Cysteine scanning reveals minor local rearrangements of the horizontal helix of  respiratory complex I.","type":"article-journal","volume":"98"},"uris":["http://www.mendeley.com/documents/?uuid=94fe39a8-c0b1-4e09-9d05-5b84b6653b57"]}],"mendeley":{"formattedCitation":"(Steimle &lt;i&gt;et al&lt;/i&gt;, 2015)","plainTextFormattedCitation":"(Steimle et al, 2015)","previouslyFormattedCitation":"(Steimle &lt;i&gt;et al&lt;/i&gt;, 2015)"},"properties":{"noteIndex":0},"schema":"https://github.com/citation-style-language/schema/raw/master/csl-citation.json"}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(Steimle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2015)</w:t>
            </w:r>
            <w:r w:rsidRPr="00E97FC1">
              <w:rPr>
                <w:rFonts w:ascii="Helvetica" w:hAnsi="Helvetica" w:cs="Helvetica"/>
                <w:b/>
                <w:bCs/>
                <w:sz w:val="16"/>
                <w:szCs w:val="20"/>
                <w:lang w:val="en-GB"/>
              </w:rPr>
              <w:fldChar w:fldCharType="end"/>
            </w:r>
          </w:p>
        </w:tc>
      </w:tr>
      <w:tr w:rsidR="002471A8" w:rsidRPr="00E97FC1" w14:paraId="03458920" w14:textId="77777777" w:rsidTr="002471A8">
        <w:trPr>
          <w:trHeight w:val="65"/>
        </w:trPr>
        <w:tc>
          <w:tcPr>
            <w:tcW w:w="10075" w:type="dxa"/>
            <w:gridSpan w:val="7"/>
          </w:tcPr>
          <w:p w14:paraId="68183210" w14:textId="77777777" w:rsidR="002471A8" w:rsidRPr="00E97FC1" w:rsidRDefault="002471A8" w:rsidP="002471A8">
            <w:pPr>
              <w:rPr>
                <w:rFonts w:ascii="Helvetica" w:hAnsi="Helvetica" w:cs="Helvetica"/>
                <w:b/>
                <w:bCs/>
                <w:sz w:val="22"/>
                <w:lang w:val="en-GB"/>
              </w:rPr>
            </w:pPr>
            <w:r w:rsidRPr="00E97FC1">
              <w:rPr>
                <w:rFonts w:ascii="Helvetica" w:hAnsi="Helvetica" w:cs="Helvetica"/>
                <w:b/>
                <w:sz w:val="28"/>
                <w:lang w:val="en-GB"/>
              </w:rPr>
              <w:t>NuoM</w:t>
            </w:r>
          </w:p>
        </w:tc>
      </w:tr>
      <w:tr w:rsidR="002471A8" w:rsidRPr="00E97FC1" w14:paraId="5389FE39" w14:textId="77777777" w:rsidTr="002471A8">
        <w:trPr>
          <w:trHeight w:val="65"/>
        </w:trPr>
        <w:tc>
          <w:tcPr>
            <w:tcW w:w="1075" w:type="dxa"/>
          </w:tcPr>
          <w:p w14:paraId="1DAA470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D84A</w:t>
            </w:r>
          </w:p>
        </w:tc>
        <w:tc>
          <w:tcPr>
            <w:tcW w:w="2790" w:type="dxa"/>
            <w:vMerge w:val="restart"/>
          </w:tcPr>
          <w:p w14:paraId="28738614" w14:textId="77777777" w:rsidR="002471A8" w:rsidRPr="00E97FC1" w:rsidRDefault="002471A8" w:rsidP="002471A8">
            <w:pPr>
              <w:rPr>
                <w:rFonts w:ascii="Helvetica" w:hAnsi="Helvetica" w:cs="Helvetica"/>
                <w:bCs/>
                <w:sz w:val="20"/>
                <w:lang w:val="en-GB"/>
              </w:rPr>
            </w:pPr>
            <w:r w:rsidRPr="00E97FC1">
              <w:rPr>
                <w:rFonts w:ascii="Helvetica" w:hAnsi="Helvetica" w:cs="Helvetica"/>
                <w:iCs/>
                <w:sz w:val="20"/>
                <w:lang w:val="en-GB"/>
              </w:rPr>
              <w:t xml:space="preserve">β-hairpin - </w:t>
            </w:r>
            <w:r w:rsidRPr="00E97FC1">
              <w:rPr>
                <w:rFonts w:ascii="Helvetica" w:hAnsi="Helvetica" w:cs="Helvetica"/>
                <w:bCs/>
                <w:sz w:val="20"/>
                <w:lang w:val="en-GB"/>
              </w:rPr>
              <w:t>TM8 SB</w:t>
            </w:r>
          </w:p>
        </w:tc>
        <w:tc>
          <w:tcPr>
            <w:tcW w:w="1440" w:type="dxa"/>
          </w:tcPr>
          <w:p w14:paraId="72EB700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4D359050"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92%</w:t>
            </w:r>
          </w:p>
        </w:tc>
        <w:tc>
          <w:tcPr>
            <w:tcW w:w="1260" w:type="dxa"/>
          </w:tcPr>
          <w:p w14:paraId="1AEE29E7"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83%</w:t>
            </w:r>
          </w:p>
        </w:tc>
        <w:tc>
          <w:tcPr>
            <w:tcW w:w="1080" w:type="dxa"/>
          </w:tcPr>
          <w:p w14:paraId="3DCA386B"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11E32EE0" w14:textId="04EFF92A"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{"citationItems":[{"id":"ITEM-1","itemData":{"DOI":"10.1074/jbc.M707855200","ISSN":"0021-9258 (Print)","PMID":"17977822","abstract":"The proton-translocating NADH-quinone (Q) oxidoreductase (NDH-1) from Escherichia  coli is composed of two segments: a peripheral arm and a membrane arm. The membrane arm contains 7 hydrophobic subunits. Of these subunits, NuoM, a homolog of the mitochondrial ND4 subunit, is proposed to be involved in proton translocation and Q-binding. Therefore, we conducted site-directed mutation of 15 amino acid residues of NuoM and investigated their properties. In all mutants, the assembly of the whole enzyme seemed intact. Mutation of highly conserved Glu144 and Lys234 leads to almost total elimination of energy-transducing NDH-1 activities as well as increased production of superoxide radicals. Their NADH dehydrogenase activities were almost normal. Because these two residues are predicted to be located in the transmembrane segments of NuoM, the results strongly suggest that they participate in proton translocation. Although it is hypothesized that His interacts with a Q head group, mutations at four His moderately inhibited NDH-1 activities and had almost no effect on the Km values for Q or IC50 values of capsaicin-40, a competitive inhibitor for the Q binding site. The data suggest that these His are not involved in the catalytic Q-binding. Functional roles of NuoM and advantages of NDH-1 research as a model for mitochondrial complex I study have been discussed.","author":[{"dropping-particle":"","family":"Torres-Bacete","given":"Jesus","non-dropping-particle":"","parse-names":false,"suffix":""},{"dropping-particle":"","family":"Nakamaru-Ogiso","given":"Eiko","non-dropping-particle":"","parse-names":false,"suffix":""},{"dropping-particle":"","family":"Matsuno-Yagi","given":"Akemi","non-dropping-particle":"","parse-names":false,"suffix":""},{"dropping-particle":"","family":"Yagi","given":"Takao","non-dropping-particle":"","parse-names":false,"suffix":""}],"container-title":"The Journal of biological chemistry","id":"ITEM-1","issue":"51","issued":{"date-parts":[["2007","12"]]},"language":"eng","page":"36914-36922","publisher-place":"United States","title":"Characterization of the NuoM (ND4) subunit in Escherichia coli NDH-1: conserved  charged residues essential for energy-coupled activities.","type":"article-journal","volume":"282"},"uris":["http://www.mendeley.com/documents/?uuid=c462412d-1d13-497a-9c25-389772e45063"]}],"mendeley":{"formattedCitation":"(Torres-Bacete &lt;i&gt;et al&lt;/i&gt;, 2007)","plainTextFormattedCitation":"(Torres-Bacete et al, 2007)","previouslyFormattedCitation":"(Torres-Bacete &lt;i&gt;et al&lt;/i&gt;, 2007)"},"properties":{"noteIndex":0},"schema":"https://github.com/citation-style-language/schema/raw/master/csl-citation.json"}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(Torres-Bacete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2007)</w:t>
            </w:r>
            <w:r w:rsidRPr="00E97FC1">
              <w:rPr>
                <w:rFonts w:ascii="Helvetica" w:hAnsi="Helvetica" w:cs="Helvetica"/>
                <w:b/>
                <w:bCs/>
                <w:sz w:val="16"/>
                <w:szCs w:val="20"/>
                <w:lang w:val="en-GB"/>
              </w:rPr>
              <w:fldChar w:fldCharType="end"/>
            </w:r>
          </w:p>
        </w:tc>
      </w:tr>
      <w:tr w:rsidR="002471A8" w:rsidRPr="00E97FC1" w14:paraId="5864623D" w14:textId="77777777" w:rsidTr="002471A8">
        <w:trPr>
          <w:trHeight w:val="65"/>
        </w:trPr>
        <w:tc>
          <w:tcPr>
            <w:tcW w:w="1075" w:type="dxa"/>
          </w:tcPr>
          <w:p w14:paraId="6FEAA90B"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D84N</w:t>
            </w:r>
          </w:p>
        </w:tc>
        <w:tc>
          <w:tcPr>
            <w:tcW w:w="2790" w:type="dxa"/>
            <w:vMerge/>
          </w:tcPr>
          <w:p w14:paraId="1864111F" w14:textId="77777777" w:rsidR="002471A8" w:rsidRPr="00E97FC1" w:rsidRDefault="002471A8" w:rsidP="002471A8">
            <w:pPr>
              <w:rPr>
                <w:rFonts w:ascii="Helvetica" w:hAnsi="Helvetica" w:cs="Helvetica"/>
                <w:bCs/>
                <w:sz w:val="20"/>
                <w:lang w:val="en-GB"/>
              </w:rPr>
            </w:pPr>
          </w:p>
        </w:tc>
        <w:tc>
          <w:tcPr>
            <w:tcW w:w="1440" w:type="dxa"/>
          </w:tcPr>
          <w:p w14:paraId="51F18B2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3A736C0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97%</w:t>
            </w:r>
          </w:p>
        </w:tc>
        <w:tc>
          <w:tcPr>
            <w:tcW w:w="1260" w:type="dxa"/>
          </w:tcPr>
          <w:p w14:paraId="7903DF6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89%</w:t>
            </w:r>
          </w:p>
        </w:tc>
        <w:tc>
          <w:tcPr>
            <w:tcW w:w="1080" w:type="dxa"/>
          </w:tcPr>
          <w:p w14:paraId="249E0EE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5EAE1B91" w14:textId="19CCAD68"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{"citationItems":[{"id":"ITEM-1","itemData":{"DOI":"10.1074/jbc.M707855200","ISSN":"0021-9258 (Print)","PMID":"17977822","abstract":"The proton-translocating NADH-quinone (Q) oxidoreductase (NDH-1) from Escherichia  coli is composed of two segments: a peripheral arm and a membrane arm. The membrane arm contains 7 hydrophobic subunits. Of these subunits, NuoM, a homolog of the mitochondrial ND4 subunit, is proposed to be involved in proton translocation and Q-binding. Therefore, we conducted site-directed mutation of 15 amino acid residues of NuoM and investigated their properties. In all mutants, the assembly of the whole enzyme seemed intact. Mutation of highly conserved Glu144 and Lys234 leads to almost total elimination of energy-transducing NDH-1 activities as well as increased production of superoxide radicals. Their NADH dehydrogenase activities were almost normal. Because these two residues are predicted to be located in the transmembrane segments of NuoM, the results strongly suggest that they participate in proton translocation. Although it is hypothesized that His interacts with a Q head group, mutations at four His moderately inhibited NDH-1 activities and had almost no effect on the Km values for Q or IC50 values of capsaicin-40, a competitive inhibitor for the Q binding site. The data suggest that these His are not involved in the catalytic Q-binding. Functional roles of NuoM and advantages of NDH-1 research as a model for mitochondrial complex I study have been discussed.","author":[{"dropping-particle":"","family":"Torres-Bacete","given":"Jesus","non-dropping-particle":"","parse-names":false,"suffix":""},{"dropping-particle":"","family":"Nakamaru-Ogiso","given":"Eiko","non-dropping-particle":"","parse-names":false,"suffix":""},{"dropping-particle":"","family":"Matsuno-Yagi","given":"Akemi","non-dropping-particle":"","parse-names":false,"suffix":""},{"dropping-particle":"","family":"Yagi","given":"Takao","non-dropping-particle":"","parse-names":false,"suffix":""}],"container-title":"The Journal of biological chemistry","id":"ITEM-1","issue":"51","issued":{"date-parts":[["2007","12"]]},"language":"eng","page":"36914-36922","publisher-place":"United States","title":"Characterization of the NuoM (ND4) subunit in Escherichia coli NDH-1: conserved  charged residues essential for energy-coupled activities.","type":"article-journal","volume":"282"},"uris":["http://www.mendeley.com/documents/?uuid=c462412d-1d13-497a-9c25-389772e45063"]}],"mendeley":{"formattedCitation":"(Torres-Bacete &lt;i&gt;et al&lt;/i&gt;, 2007)","plainTextFormattedCitation":"(Torres-Bacete et al, 2007)","previouslyFormattedCitation":"(Torres-Bacete &lt;i&gt;et al&lt;/i&gt;, 2007)"},"properties":{"noteIndex":0},"schema":"https://github.com/citation-style-language/schema/raw/master/csl-citation.json"}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(Torres-Bacete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2007)</w:t>
            </w:r>
            <w:r w:rsidRPr="00E97FC1">
              <w:rPr>
                <w:rFonts w:ascii="Helvetica" w:hAnsi="Helvetica" w:cs="Helvetica"/>
                <w:b/>
                <w:bCs/>
                <w:sz w:val="16"/>
                <w:szCs w:val="20"/>
                <w:lang w:val="en-GB"/>
              </w:rPr>
              <w:fldChar w:fldCharType="end"/>
            </w:r>
          </w:p>
        </w:tc>
      </w:tr>
      <w:tr w:rsidR="002471A8" w:rsidRPr="00E97FC1" w14:paraId="36761849" w14:textId="77777777" w:rsidTr="002471A8">
        <w:trPr>
          <w:trHeight w:val="65"/>
        </w:trPr>
        <w:tc>
          <w:tcPr>
            <w:tcW w:w="1075" w:type="dxa"/>
          </w:tcPr>
          <w:p w14:paraId="1E19B2D3" w14:textId="77777777" w:rsidR="002471A8" w:rsidRPr="00E97FC1" w:rsidRDefault="002471A8" w:rsidP="002471A8">
            <w:pPr>
              <w:rPr>
                <w:rFonts w:ascii="Helvetica" w:hAnsi="Helvetica" w:cs="Helvetica"/>
                <w:i/>
                <w:iCs/>
                <w:sz w:val="20"/>
                <w:szCs w:val="20"/>
                <w:lang w:val="en-GB"/>
              </w:rPr>
            </w:pPr>
            <w:r w:rsidRPr="00E97FC1">
              <w:rPr>
                <w:rFonts w:ascii="Helvetica" w:hAnsi="Helvetica" w:cs="Helvetica"/>
                <w:i/>
                <w:iCs/>
                <w:sz w:val="20"/>
                <w:szCs w:val="20"/>
                <w:lang w:val="en-GB"/>
              </w:rPr>
              <w:t>D135A</w:t>
            </w:r>
          </w:p>
        </w:tc>
        <w:tc>
          <w:tcPr>
            <w:tcW w:w="2790" w:type="dxa"/>
            <w:vMerge w:val="restart"/>
            <w:vAlign w:val="center"/>
          </w:tcPr>
          <w:p w14:paraId="5AEE1B5F" w14:textId="77777777" w:rsidR="002471A8" w:rsidRPr="00E97FC1" w:rsidRDefault="002471A8" w:rsidP="002471A8">
            <w:pPr>
              <w:rPr>
                <w:rFonts w:ascii="Helvetica" w:hAnsi="Helvetica" w:cs="Helvetica"/>
                <w:i/>
                <w:iCs/>
                <w:sz w:val="20"/>
                <w:lang w:val="en-GB"/>
              </w:rPr>
            </w:pPr>
            <w:r w:rsidRPr="00E97FC1">
              <w:rPr>
                <w:rFonts w:ascii="Helvetica" w:hAnsi="Helvetica" w:cs="Helvetica"/>
                <w:iCs/>
                <w:sz w:val="20"/>
                <w:lang w:val="en-GB"/>
              </w:rPr>
              <w:t xml:space="preserve">surface, interacts with β -hairpin </w:t>
            </w:r>
          </w:p>
        </w:tc>
        <w:tc>
          <w:tcPr>
            <w:tcW w:w="1440" w:type="dxa"/>
          </w:tcPr>
          <w:p w14:paraId="7B9CF9BA"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reduced</w:t>
            </w:r>
          </w:p>
        </w:tc>
        <w:tc>
          <w:tcPr>
            <w:tcW w:w="1170" w:type="dxa"/>
          </w:tcPr>
          <w:p w14:paraId="50255C31"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80%</w:t>
            </w:r>
          </w:p>
        </w:tc>
        <w:tc>
          <w:tcPr>
            <w:tcW w:w="1260" w:type="dxa"/>
          </w:tcPr>
          <w:p w14:paraId="444E94F3"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44%</w:t>
            </w:r>
          </w:p>
        </w:tc>
        <w:tc>
          <w:tcPr>
            <w:tcW w:w="1080" w:type="dxa"/>
          </w:tcPr>
          <w:p w14:paraId="15B4FD41"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normal</w:t>
            </w:r>
          </w:p>
        </w:tc>
        <w:tc>
          <w:tcPr>
            <w:tcW w:w="1260" w:type="dxa"/>
          </w:tcPr>
          <w:p w14:paraId="5B646B52" w14:textId="78487112"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{"citationItems":[{"id":"ITEM-1","itemData":{"DOI":"10.1074/jbc.M707855200","ISSN":"0021-9258 (Print)","PMID":"17977822","abstract":"The proton-translocating NADH-quinone (Q) oxidoreductase (NDH-1) from Escherichia  coli is composed of two segments: a peripheral arm and a membrane arm. The membrane arm contains 7 hydrophobic subunits. Of these subunits, NuoM, a homolog of the mitochondrial ND4 subunit, is proposed to be involved in proton translocation and Q-binding. Therefore, we conducted site-directed mutation of 15 amino acid residues of NuoM and investigated their properties. In all mutants, the assembly of the whole enzyme seemed intact. Mutation of highly conserved Glu144 and Lys234 leads to almost total elimination of energy-transducing NDH-1 activities as well as increased production of superoxide radicals. Their NADH dehydrogenase activities were almost normal. Because these two residues are predicted to be located in the transmembrane segments of NuoM, the results strongly suggest that they participate in proton translocation. Although it is hypothesized that His interacts with a Q head group, mutations at four His moderately inhibited NDH-1 activities and had almost no effect on the Km values for Q or IC50 values of capsaicin-40, a competitive inhibitor for the Q binding site. The data suggest that these His are not involved in the catalytic Q-binding. Functional roles of NuoM and advantages of NDH-1 research as a model for mitochondrial complex I study have been discussed.","author":[{"dropping-particle":"","family":"Torres-Bacete","given":"Jesus","non-dropping-particle":"","parse-names":false,"suffix":""},{"dropping-particle":"","family":"Nakamaru-Ogiso","given":"Eiko","non-dropping-particle":"","parse-names":false,"suffix":""},{"dropping-particle":"","family":"Matsuno-Yagi","given":"Akemi","non-dropping-particle":"","parse-names":false,"suffix":""},{"dropping-particle":"","family":"Yagi","given":"Takao","non-dropping-particle":"","parse-names":false,"suffix":""}],"container-title":"The Journal of biological chemistry","id":"ITEM-1","issue":"51","issued":{"date-parts":[["2007","12"]]},"language":"eng","page":"36914-36922","publisher-place":"United States","title":"Characterization of the NuoM (ND4) subunit in Escherichia coli NDH-1: conserved  charged residues essential for energy-coupled activities.","type":"article-journal","volume":"282"},"uris":["http://www.mendeley.com/documents/?uuid=c462412d-1d13-497a-9c25-389772e45063"]}],"mendeley":{"formattedCitation":"(Torres-Bacete &lt;i&gt;et al&lt;/i&gt;, 2007)","plainTextFormattedCitation":"(Torres-Bacete et al, 2007)","previouslyFormattedCitation":"(Torres-Bacete &lt;i&gt;et al&lt;/i&gt;, 2007)"},"properties":{"noteIndex":0},"schema":"https://github.com/citation-style-language/schema/raw/master/csl-citation.json"}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(Torres-Bacete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2007)</w:t>
            </w:r>
            <w:r w:rsidRPr="00E97FC1">
              <w:rPr>
                <w:rFonts w:ascii="Helvetica" w:hAnsi="Helvetica" w:cs="Helvetica"/>
                <w:b/>
                <w:bCs/>
                <w:sz w:val="16"/>
                <w:szCs w:val="20"/>
                <w:lang w:val="en-GB"/>
              </w:rPr>
              <w:fldChar w:fldCharType="end"/>
            </w:r>
          </w:p>
        </w:tc>
      </w:tr>
      <w:tr w:rsidR="002471A8" w:rsidRPr="00E97FC1" w14:paraId="3B1F3511" w14:textId="77777777" w:rsidTr="002471A8">
        <w:trPr>
          <w:trHeight w:val="65"/>
        </w:trPr>
        <w:tc>
          <w:tcPr>
            <w:tcW w:w="1075" w:type="dxa"/>
          </w:tcPr>
          <w:p w14:paraId="6B8E66C8" w14:textId="77777777" w:rsidR="002471A8" w:rsidRPr="00E97FC1" w:rsidRDefault="002471A8" w:rsidP="002471A8">
            <w:pPr>
              <w:rPr>
                <w:rFonts w:ascii="Helvetica" w:hAnsi="Helvetica" w:cs="Helvetica"/>
                <w:i/>
                <w:iCs/>
                <w:sz w:val="20"/>
                <w:szCs w:val="20"/>
                <w:lang w:val="en-GB"/>
              </w:rPr>
            </w:pPr>
            <w:r w:rsidRPr="00E97FC1">
              <w:rPr>
                <w:rFonts w:ascii="Helvetica" w:hAnsi="Helvetica" w:cs="Helvetica"/>
                <w:i/>
                <w:iCs/>
                <w:sz w:val="20"/>
                <w:szCs w:val="20"/>
                <w:lang w:val="en-GB"/>
              </w:rPr>
              <w:t>D135N</w:t>
            </w:r>
          </w:p>
        </w:tc>
        <w:tc>
          <w:tcPr>
            <w:tcW w:w="2790" w:type="dxa"/>
            <w:vMerge/>
          </w:tcPr>
          <w:p w14:paraId="510A04AF" w14:textId="77777777" w:rsidR="002471A8" w:rsidRPr="00E97FC1" w:rsidRDefault="002471A8" w:rsidP="002471A8">
            <w:pPr>
              <w:rPr>
                <w:rFonts w:ascii="Helvetica" w:hAnsi="Helvetica" w:cs="Helvetica"/>
                <w:iCs/>
                <w:sz w:val="20"/>
                <w:lang w:val="en-GB"/>
              </w:rPr>
            </w:pPr>
          </w:p>
        </w:tc>
        <w:tc>
          <w:tcPr>
            <w:tcW w:w="1440" w:type="dxa"/>
          </w:tcPr>
          <w:p w14:paraId="08629B7F"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normal</w:t>
            </w:r>
          </w:p>
        </w:tc>
        <w:tc>
          <w:tcPr>
            <w:tcW w:w="1170" w:type="dxa"/>
          </w:tcPr>
          <w:p w14:paraId="49F41C8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86%</w:t>
            </w:r>
          </w:p>
        </w:tc>
        <w:tc>
          <w:tcPr>
            <w:tcW w:w="1260" w:type="dxa"/>
          </w:tcPr>
          <w:p w14:paraId="34F6FBCD"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78%</w:t>
            </w:r>
          </w:p>
        </w:tc>
        <w:tc>
          <w:tcPr>
            <w:tcW w:w="1080" w:type="dxa"/>
          </w:tcPr>
          <w:p w14:paraId="0226A704"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normal</w:t>
            </w:r>
          </w:p>
        </w:tc>
        <w:tc>
          <w:tcPr>
            <w:tcW w:w="1260" w:type="dxa"/>
          </w:tcPr>
          <w:p w14:paraId="1FE1F921" w14:textId="3C53A45A"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{"citationItems":[{"id":"ITEM-1","itemData":{"DOI":"10.1074/jbc.M707855200","ISSN":"0021-9258 (Print)","PMID":"17977822","abstract":"The proton-translocating NADH-quinone (Q) oxidoreductase (NDH-1) from Escherichia  coli is composed of two segments: a peripheral arm and a membrane arm. The membrane arm contains 7 hydrophobic subunits. Of these subunits, NuoM, a homolog of the mitochondrial ND4 subunit, is proposed to be involved in proton translocation and Q-binding. Therefore, we conducted site-directed mutation of 15 amino acid residues of NuoM and investigated their properties. In all mutants, the assembly of the whole enzyme seemed intact. Mutation of highly conserved Glu144 and Lys234 leads to almost total elimination of energy-transducing NDH-1 activities as well as increased production of superoxide radicals. Their NADH dehydrogenase activities were almost normal. Because these two residues are predicted to be located in the transmembrane segments of NuoM, the results strongly suggest that they participate in proton translocation. Although it is hypothesized that His interacts with a Q head group, mutations at four His moderately inhibited NDH-1 activities and had almost no effect on the Km values for Q or IC50 values of capsaicin-40, a competitive inhibitor for the Q binding site. The data suggest that these His are not involved in the catalytic Q-binding. Functional roles of NuoM and advantages of NDH-1 research as a model for mitochondrial complex I study have been discussed.","author":[{"dropping-particle":"","family":"Torres-Bacete","given":"Jesus","non-dropping-particle":"","parse-names":false,"suffix":""},{"dropping-particle":"","family":"Nakamaru-Ogiso","given":"Eiko","non-dropping-particle":"","parse-names":false,"suffix":""},{"dropping-particle":"","family":"Matsuno-Yagi","given":"Akemi","non-dropping-particle":"","parse-names":false,"suffix":""},{"dropping-particle":"","family":"Yagi","given":"Takao","non-dropping-particle":"","parse-names":false,"suffix":""}],"container-title":"The Journal of biological chemistry","id":"ITEM-1","issue":"51","issued":{"date-parts":[["2007","12"]]},"language":"eng","page":"36914-36922","publisher-place":"United States","title":"Characterization of the NuoM (ND4) subunit in Escherichia coli NDH-1: conserved  charged residues essential for energy-coupled activities.","type":"article-journal","volume":"282"},"uris":["http://www.mendeley.com/documents/?uuid=c462412d-1d13-497a-9c25-389772e45063"]}],"mendeley":{"formattedCitation":"(Torres-Bacete &lt;i&gt;et al&lt;/i&gt;, 2007)","plainTextFormattedCitation":"(Torres-Bacete et al, 2007)","previouslyFormattedCitation":"(Torres-Bacete &lt;i&gt;et al&lt;/i&gt;, 2007)"},"properties":{"noteIndex":0},"schema":"https://github.com/citation-style-language/schema/raw/master/csl-citation.json"}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(Torres-Bacete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2007)</w:t>
            </w:r>
            <w:r w:rsidRPr="00E97FC1">
              <w:rPr>
                <w:rFonts w:ascii="Helvetica" w:hAnsi="Helvetica" w:cs="Helvetica"/>
                <w:b/>
                <w:bCs/>
                <w:sz w:val="16"/>
                <w:szCs w:val="20"/>
                <w:lang w:val="en-GB"/>
              </w:rPr>
              <w:fldChar w:fldCharType="end"/>
            </w:r>
          </w:p>
        </w:tc>
      </w:tr>
      <w:tr w:rsidR="002471A8" w:rsidRPr="00E97FC1" w14:paraId="47392B17" w14:textId="77777777" w:rsidTr="002471A8">
        <w:trPr>
          <w:trHeight w:val="65"/>
        </w:trPr>
        <w:tc>
          <w:tcPr>
            <w:tcW w:w="1075" w:type="dxa"/>
          </w:tcPr>
          <w:p w14:paraId="3743A1FF" w14:textId="77777777" w:rsidR="002471A8" w:rsidRPr="00E97FC1" w:rsidRDefault="002471A8" w:rsidP="002471A8">
            <w:pPr>
              <w:rPr>
                <w:rFonts w:ascii="Helvetica" w:hAnsi="Helvetica" w:cs="Helvetica"/>
                <w:i/>
                <w:iCs/>
                <w:sz w:val="20"/>
                <w:szCs w:val="20"/>
                <w:lang w:val="en-GB"/>
              </w:rPr>
            </w:pPr>
            <w:r w:rsidRPr="00E97FC1">
              <w:rPr>
                <w:rFonts w:ascii="Helvetica" w:hAnsi="Helvetica" w:cs="Helvetica"/>
                <w:i/>
                <w:iCs/>
                <w:sz w:val="20"/>
                <w:szCs w:val="20"/>
                <w:lang w:val="en-GB"/>
              </w:rPr>
              <w:t>D135E</w:t>
            </w:r>
          </w:p>
        </w:tc>
        <w:tc>
          <w:tcPr>
            <w:tcW w:w="2790" w:type="dxa"/>
            <w:vMerge/>
          </w:tcPr>
          <w:p w14:paraId="38AA7ECA" w14:textId="77777777" w:rsidR="002471A8" w:rsidRPr="00E97FC1" w:rsidRDefault="002471A8" w:rsidP="002471A8">
            <w:pPr>
              <w:rPr>
                <w:rFonts w:ascii="Helvetica" w:hAnsi="Helvetica" w:cs="Helvetica"/>
                <w:iCs/>
                <w:sz w:val="20"/>
                <w:lang w:val="en-GB"/>
              </w:rPr>
            </w:pPr>
          </w:p>
        </w:tc>
        <w:tc>
          <w:tcPr>
            <w:tcW w:w="1440" w:type="dxa"/>
          </w:tcPr>
          <w:p w14:paraId="7FCEEC56"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normal</w:t>
            </w:r>
          </w:p>
        </w:tc>
        <w:tc>
          <w:tcPr>
            <w:tcW w:w="1170" w:type="dxa"/>
          </w:tcPr>
          <w:p w14:paraId="404DA11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93%</w:t>
            </w:r>
          </w:p>
        </w:tc>
        <w:tc>
          <w:tcPr>
            <w:tcW w:w="1260" w:type="dxa"/>
          </w:tcPr>
          <w:p w14:paraId="7D29E750"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87%</w:t>
            </w:r>
          </w:p>
        </w:tc>
        <w:tc>
          <w:tcPr>
            <w:tcW w:w="1080" w:type="dxa"/>
          </w:tcPr>
          <w:p w14:paraId="4B9BE0D9"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normal</w:t>
            </w:r>
          </w:p>
        </w:tc>
        <w:tc>
          <w:tcPr>
            <w:tcW w:w="1260" w:type="dxa"/>
          </w:tcPr>
          <w:p w14:paraId="360DB72E" w14:textId="591B0B70"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{"citationItems":[{"id":"ITEM-1","itemData":{"DOI":"10.1074/jbc.M707855200","ISSN":"0021-9258 (Print)","PMID":"17977822","abstract":"The proton-translocating NADH-quinone (Q) oxidoreductase (NDH-1) from Escherichia  coli is composed of two segments: a peripheral arm and a membrane arm. The membrane arm contains 7 hydrophobic subunits. Of these subunits, NuoM, a homolog of the mitochondrial ND4 subunit, is proposed to be involved in proton translocation and Q-binding. Therefore, we conducted site-directed mutation of 15 amino acid residues of NuoM and investigated their properties. In all mutants, the assembly of the whole enzyme seemed intact. Mutation of highly conserved Glu144 and Lys234 leads to almost total elimination of energy-transducing NDH-1 activities as well as increased production of superoxide radicals. Their NADH dehydrogenase activities were almost normal. Because these two residues are predicted to be located in the transmembrane segments of NuoM, the results strongly suggest that they participate in proton translocation. Although it is hypothesized that His interacts with a Q head group, mutations at four His moderately inhibited NDH-1 activities and had almost no effect on the Km values for Q or IC50 values of capsaicin-40, a competitive inhibitor for the Q binding site. The data suggest that these His are not involved in the catalytic Q-binding. Functional roles of NuoM and advantages of NDH-1 research as a model for mitochondrial complex I study have been discussed.","author":[{"dropping-particle":"","family":"Torres-Bacete","given":"Jesus","non-dropping-particle":"","parse-names":false,"suffix":""},{"dropping-particle":"","family":"Nakamaru-Ogiso","given":"Eiko","non-dropping-particle":"","parse-names":false,"suffix":""},{"dropping-particle":"","family":"Matsuno-Yagi","given":"Akemi","non-dropping-particle":"","parse-names":false,"suffix":""},{"dropping-particle":"","family":"Yagi","given":"Takao","non-dropping-particle":"","parse-names":false,"suffix":""}],"container-title":"The Journal of biological chemistry","id":"ITEM-1","issue":"51","issued":{"date-parts":[["2007","12"]]},"language":"eng","page":"36914-36922","publisher-place":"United States","title":"Characterization of the NuoM (ND4) subunit in Escherichia coli NDH-1: conserved  charged residues essential for energy-coupled activities.","type":"article-journal","volume":"282"},"uris":["http://www.mendeley.com/documents/?uuid=c462412d-1d13-497a-9c25-389772e45063"]}],"mendeley":{"formattedCitation":"(Torres-Bacete &lt;i&gt;et al&lt;/i&gt;, 2007)","plainTextFormattedCitation":"(Torres-Bacete et al, 2007)","previouslyFormattedCitation":"(Torres-Bacete &lt;i&gt;et al&lt;/i&gt;, 2007)"},"properties":{"noteIndex":0},"schema":"https://github.com/citation-style-language/schema/raw/master/csl-citation.json"}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(Torres-Bacete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2007)</w:t>
            </w:r>
            <w:r w:rsidRPr="00E97FC1">
              <w:rPr>
                <w:rFonts w:ascii="Helvetica" w:hAnsi="Helvetica" w:cs="Helvetica"/>
                <w:b/>
                <w:bCs/>
                <w:sz w:val="16"/>
                <w:szCs w:val="20"/>
                <w:lang w:val="en-GB"/>
              </w:rPr>
              <w:fldChar w:fldCharType="end"/>
            </w:r>
          </w:p>
        </w:tc>
      </w:tr>
      <w:tr w:rsidR="002471A8" w:rsidRPr="00E97FC1" w14:paraId="2D71B96B" w14:textId="77777777" w:rsidTr="002471A8">
        <w:trPr>
          <w:trHeight w:val="65"/>
        </w:trPr>
        <w:tc>
          <w:tcPr>
            <w:tcW w:w="1075" w:type="dxa"/>
          </w:tcPr>
          <w:p w14:paraId="7736E0D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E144A</w:t>
            </w:r>
          </w:p>
        </w:tc>
        <w:tc>
          <w:tcPr>
            <w:tcW w:w="2790" w:type="dxa"/>
            <w:vMerge w:val="restart"/>
          </w:tcPr>
          <w:p w14:paraId="0F5D00B0"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TM5, central axe, interface with NuoN</w:t>
            </w:r>
          </w:p>
        </w:tc>
        <w:tc>
          <w:tcPr>
            <w:tcW w:w="1440" w:type="dxa"/>
          </w:tcPr>
          <w:p w14:paraId="7DF00C37" w14:textId="77777777" w:rsidR="002471A8" w:rsidRPr="00E97FC1" w:rsidRDefault="002471A8" w:rsidP="002471A8">
            <w:pPr>
              <w:rPr>
                <w:rFonts w:ascii="Helvetica" w:hAnsi="Helvetica" w:cs="Helvetica"/>
                <w:bCs/>
                <w:color w:val="1F497D"/>
                <w:sz w:val="20"/>
                <w:szCs w:val="20"/>
                <w:lang w:val="en-GB"/>
              </w:rPr>
            </w:pPr>
            <w:r w:rsidRPr="00E97FC1">
              <w:rPr>
                <w:rFonts w:ascii="Helvetica" w:hAnsi="Helvetica" w:cs="Helvetica"/>
                <w:bCs/>
                <w:sz w:val="20"/>
                <w:szCs w:val="20"/>
                <w:lang w:val="en-GB"/>
              </w:rPr>
              <w:t>normal</w:t>
            </w:r>
          </w:p>
        </w:tc>
        <w:tc>
          <w:tcPr>
            <w:tcW w:w="1170" w:type="dxa"/>
          </w:tcPr>
          <w:p w14:paraId="7D11A797"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103%</w:t>
            </w:r>
          </w:p>
        </w:tc>
        <w:tc>
          <w:tcPr>
            <w:tcW w:w="1260" w:type="dxa"/>
          </w:tcPr>
          <w:p w14:paraId="295757C0" w14:textId="77777777" w:rsidR="002471A8" w:rsidRPr="00E97FC1" w:rsidRDefault="002471A8" w:rsidP="002471A8">
            <w:pPr>
              <w:rPr>
                <w:rFonts w:ascii="Helvetica" w:hAnsi="Helvetica" w:cs="Helvetica"/>
                <w:bCs/>
                <w:color w:val="1F497D"/>
                <w:sz w:val="20"/>
                <w:szCs w:val="20"/>
                <w:lang w:val="en-GB"/>
              </w:rPr>
            </w:pPr>
            <w:r w:rsidRPr="00E97FC1">
              <w:rPr>
                <w:rFonts w:ascii="Helvetica" w:hAnsi="Helvetica" w:cs="Helvetica"/>
                <w:bCs/>
                <w:sz w:val="20"/>
                <w:szCs w:val="20"/>
                <w:lang w:val="en-GB"/>
              </w:rPr>
              <w:t>2-</w:t>
            </w:r>
            <w:r w:rsidRPr="00E97FC1">
              <w:rPr>
                <w:rFonts w:ascii="Helvetica" w:hAnsi="Helvetica" w:cs="Helvetica"/>
                <w:bCs/>
                <w:color w:val="000000" w:themeColor="text1"/>
                <w:sz w:val="20"/>
                <w:szCs w:val="20"/>
                <w:lang w:val="en-GB"/>
              </w:rPr>
              <w:t>10%</w:t>
            </w:r>
          </w:p>
        </w:tc>
        <w:tc>
          <w:tcPr>
            <w:tcW w:w="1080" w:type="dxa"/>
          </w:tcPr>
          <w:p w14:paraId="16CE190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0%</w:t>
            </w:r>
          </w:p>
        </w:tc>
        <w:tc>
          <w:tcPr>
            <w:tcW w:w="1260" w:type="dxa"/>
          </w:tcPr>
          <w:p w14:paraId="7BA2BE76" w14:textId="3EE46755"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{"citationItems":[{"id":"ITEM-1","itemData":{"DOI":"10.1074/jbc.M707855200","ISSN":"0021-9258 (Print)","PMID":"17977822","abstract":"The proton-translocating NADH-quinone (Q) oxidoreductase (NDH-1) from Escherichia  coli is composed of two segments: a peripheral arm and a membrane arm. The membrane arm contains 7 hydrophobic subunits. Of these subunits, NuoM, a homolog of the mitochondrial ND4 subunit, is proposed to be involved in proton translocation and Q-binding. Therefore, we conducted site-directed mutation of 15 amino acid residues of NuoM and investigated their properties. In all mutants, the assembly of the whole enzyme seemed intact. Mutation of highly conserved Glu144 and Lys234 leads to almost total elimination of energy-transducing NDH-1 activities as well as increased production of superoxide radicals. Their NADH dehydrogenase activities were almost normal. Because these two residues are predicted to be located in the transmembrane segments of NuoM, the results strongly suggest that they participate in proton translocation. Although it is hypothesized that His interacts with a Q head group, mutations at four His moderately inhibited NDH-1 activities and had almost no effect on the Km values for Q or IC50 values of capsaicin-40, a competitive inhibitor for the Q binding site. The data suggest that these His are not involved in the catalytic Q-binding. Functional roles of NuoM and advantages of NDH-1 research as a model for mitochondrial complex I study have been discussed.","author":[{"dropping-particle":"","family":"Torres-Bacete","given":"Jesus","non-dropping-particle":"","parse-names":false,"suffix":""},{"dropping-particle":"","family":"Nakamaru-Ogiso","given":"Eiko","non-dropping-particle":"","parse-names":false,"suffix":""},{"dropping-particle":"","family":"Matsuno-Yagi","given":"Akemi","non-dropping-particle":"","parse-names":false,"suffix":""},{"dropping-particle":"","family":"Yagi","given":"Takao","non-dropping-particle":"","parse-names":false,"suffix":""}],"container-title":"The Journal of biological chemistry","id":"ITEM-1","issue":"51","issued":{"date-parts":[["2007","12"]]},"language":"eng","page":"36914-36922","publisher-place":"United States","title":"Characterization of the NuoM (ND4) subunit in Escherichia coli NDH-1: conserved  charged residues essential for energy-coupled activities.","type":"article-journal","volume":"282"},"uris":["http://www.mendeley.com/documents/?uuid=c462412d-1d13-497a-9c25-389772e45063"]}],"mendeley":{"formattedCitation":"(Torres-Bacete &lt;i&gt;et al&lt;/i&gt;, 2007)","plainTextFormattedCitation":"(Torres-Bacete et al, 2007)","previouslyFormattedCitation":"(Torres-Bacete &lt;i&gt;et al&lt;/i&gt;, 2007)"},"properties":{"noteIndex":0},"schema":"https://github.com/citation-style-language/schema/raw/master/csl-citation.json"}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(Torres-Bacete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2007)</w:t>
            </w:r>
            <w:r w:rsidRPr="00E97FC1">
              <w:rPr>
                <w:rFonts w:ascii="Helvetica" w:hAnsi="Helvetica" w:cs="Helvetica"/>
                <w:b/>
                <w:bCs/>
                <w:sz w:val="16"/>
                <w:szCs w:val="20"/>
                <w:lang w:val="en-GB"/>
              </w:rPr>
              <w:fldChar w:fldCharType="end"/>
            </w:r>
          </w:p>
        </w:tc>
      </w:tr>
      <w:tr w:rsidR="002471A8" w:rsidRPr="00E97FC1" w14:paraId="64B2A8F1" w14:textId="77777777" w:rsidTr="002471A8">
        <w:trPr>
          <w:trHeight w:val="65"/>
        </w:trPr>
        <w:tc>
          <w:tcPr>
            <w:tcW w:w="1075" w:type="dxa"/>
          </w:tcPr>
          <w:p w14:paraId="7EE2FDC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E144Q</w:t>
            </w:r>
          </w:p>
        </w:tc>
        <w:tc>
          <w:tcPr>
            <w:tcW w:w="2790" w:type="dxa"/>
            <w:vMerge/>
          </w:tcPr>
          <w:p w14:paraId="652EDF89" w14:textId="77777777" w:rsidR="002471A8" w:rsidRPr="00E97FC1" w:rsidRDefault="002471A8" w:rsidP="002471A8">
            <w:pPr>
              <w:rPr>
                <w:rFonts w:ascii="Helvetica" w:hAnsi="Helvetica" w:cs="Helvetica"/>
                <w:bCs/>
                <w:sz w:val="20"/>
                <w:szCs w:val="20"/>
                <w:lang w:val="en-GB"/>
              </w:rPr>
            </w:pPr>
          </w:p>
        </w:tc>
        <w:tc>
          <w:tcPr>
            <w:tcW w:w="1440" w:type="dxa"/>
          </w:tcPr>
          <w:p w14:paraId="52426A9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59007BF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98%</w:t>
            </w:r>
          </w:p>
        </w:tc>
        <w:tc>
          <w:tcPr>
            <w:tcW w:w="1260" w:type="dxa"/>
          </w:tcPr>
          <w:p w14:paraId="02A1CE9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2%</w:t>
            </w:r>
          </w:p>
        </w:tc>
        <w:tc>
          <w:tcPr>
            <w:tcW w:w="1080" w:type="dxa"/>
          </w:tcPr>
          <w:p w14:paraId="148022D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0%</w:t>
            </w:r>
          </w:p>
        </w:tc>
        <w:tc>
          <w:tcPr>
            <w:tcW w:w="1260" w:type="dxa"/>
          </w:tcPr>
          <w:p w14:paraId="12C68395" w14:textId="3B6AD6A2"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{"citationItems":[{"id":"ITEM-1","itemData":{"DOI":"10.1074/jbc.M707855200","ISSN":"0021-9258 (Print)","PMID":"17977822","abstract":"The proton-translocating NADH-quinone (Q) oxidoreductase (NDH-1) from Escherichia  coli is composed of two segments: a peripheral arm and a membrane arm. The membrane arm contains 7 hydrophobic subunits. Of these subunits, NuoM, a homolog of the mitochondrial ND4 subunit, is proposed to be involved in proton translocation and Q-binding. Therefore, we conducted site-directed mutation of 15 amino acid residues of NuoM and investigated their properties. In all mutants, the assembly of the whole enzyme seemed intact. Mutation of highly conserved Glu144 and Lys234 leads to almost total elimination of energy-transducing NDH-1 activities as well as increased production of superoxide radicals. Their NADH dehydrogenase activities were almost normal. Because these two residues are predicted to be located in the transmembrane segments of NuoM, the results strongly suggest that they participate in proton translocation. Although it is hypothesized that His interacts with a Q head group, mutations at four His moderately inhibited NDH-1 activities and had almost no effect on the Km values for Q or IC50 values of capsaicin-40, a competitive inhibitor for the Q binding site. The data suggest that these His are not involved in the catalytic Q-binding. Functional roles of NuoM and advantages of NDH-1 research as a model for mitochondrial complex I study have been discussed.","author":[{"dropping-particle":"","family":"Torres-Bacete","given":"Jesus","non-dropping-particle":"","parse-names":false,"suffix":""},{"dropping-particle":"","family":"Nakamaru-Ogiso","given":"Eiko","non-dropping-particle":"","parse-names":false,"suffix":""},{"dropping-particle":"","family":"Matsuno-Yagi","given":"Akemi","non-dropping-particle":"","parse-names":false,"suffix":""},{"dropping-particle":"","family":"Yagi","given":"Takao","non-dropping-particle":"","parse-names":false,"suffix":""}],"container-title":"The Journal of biological chemistry","id":"ITEM-1","issue":"51","issued":{"date-parts":[["2007","12"]]},"language":"eng","page":"36914-36922","publisher-place":"United States","title":"Characterization of the NuoM (ND4) subunit in Escherichia coli NDH-1: conserved  charged residues essential for energy-coupled activities.","type":"article-journal","volume":"282"},"uris":["http://www.mendeley.com/documents/?uuid=c462412d-1d13-497a-9c25-389772e45063"]}],"mendeley":{"formattedCitation":"(Torres-Bacete &lt;i&gt;et al&lt;/i&gt;, 2007)","plainTextFormattedCitation":"(Torres-Bacete et al, 2007)","previouslyFormattedCitation":"(Torres-Bacete &lt;i&gt;et al&lt;/i&gt;, 2007)"},"properties":{"noteIndex":0},"schema":"https://github.com/citation-style-language/schema/raw/master/csl-citation.json"}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(Torres-Bacete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2007)</w:t>
            </w:r>
            <w:r w:rsidRPr="00E97FC1">
              <w:rPr>
                <w:rFonts w:ascii="Helvetica" w:hAnsi="Helvetica" w:cs="Helvetica"/>
                <w:b/>
                <w:bCs/>
                <w:sz w:val="16"/>
                <w:szCs w:val="20"/>
                <w:lang w:val="en-GB"/>
              </w:rPr>
              <w:fldChar w:fldCharType="end"/>
            </w:r>
          </w:p>
        </w:tc>
      </w:tr>
      <w:tr w:rsidR="002471A8" w:rsidRPr="00E97FC1" w14:paraId="032D0BE1" w14:textId="77777777" w:rsidTr="002471A8">
        <w:trPr>
          <w:trHeight w:val="65"/>
        </w:trPr>
        <w:tc>
          <w:tcPr>
            <w:tcW w:w="1075" w:type="dxa"/>
          </w:tcPr>
          <w:p w14:paraId="3508202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E144D</w:t>
            </w:r>
          </w:p>
        </w:tc>
        <w:tc>
          <w:tcPr>
            <w:tcW w:w="2790" w:type="dxa"/>
            <w:vMerge/>
          </w:tcPr>
          <w:p w14:paraId="13C5987D" w14:textId="77777777" w:rsidR="002471A8" w:rsidRPr="00E97FC1" w:rsidRDefault="002471A8" w:rsidP="002471A8">
            <w:pPr>
              <w:rPr>
                <w:rFonts w:ascii="Helvetica" w:hAnsi="Helvetica" w:cs="Helvetica"/>
                <w:bCs/>
                <w:sz w:val="20"/>
                <w:szCs w:val="20"/>
                <w:lang w:val="en-GB"/>
              </w:rPr>
            </w:pPr>
          </w:p>
        </w:tc>
        <w:tc>
          <w:tcPr>
            <w:tcW w:w="1440" w:type="dxa"/>
          </w:tcPr>
          <w:p w14:paraId="1E77A89D" w14:textId="77777777" w:rsidR="002471A8" w:rsidRPr="00E97FC1" w:rsidRDefault="002471A8" w:rsidP="002471A8">
            <w:pPr>
              <w:rPr>
                <w:rFonts w:ascii="Helvetica" w:hAnsi="Helvetica" w:cs="Helvetica"/>
                <w:bCs/>
                <w:color w:val="1F497D"/>
                <w:sz w:val="20"/>
                <w:szCs w:val="20"/>
                <w:lang w:val="en-GB"/>
              </w:rPr>
            </w:pPr>
            <w:r w:rsidRPr="00E97FC1">
              <w:rPr>
                <w:rFonts w:ascii="Helvetica" w:hAnsi="Helvetica" w:cs="Helvetica"/>
                <w:bCs/>
                <w:sz w:val="20"/>
                <w:szCs w:val="20"/>
                <w:lang w:val="en-GB"/>
              </w:rPr>
              <w:t>normal</w:t>
            </w:r>
          </w:p>
        </w:tc>
        <w:tc>
          <w:tcPr>
            <w:tcW w:w="1170" w:type="dxa"/>
          </w:tcPr>
          <w:p w14:paraId="6F8C412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100%</w:t>
            </w:r>
          </w:p>
        </w:tc>
        <w:tc>
          <w:tcPr>
            <w:tcW w:w="1260" w:type="dxa"/>
          </w:tcPr>
          <w:p w14:paraId="72ACAF9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89-100%</w:t>
            </w:r>
          </w:p>
        </w:tc>
        <w:tc>
          <w:tcPr>
            <w:tcW w:w="1080" w:type="dxa"/>
          </w:tcPr>
          <w:p w14:paraId="65D90AB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260" w:type="dxa"/>
          </w:tcPr>
          <w:p w14:paraId="527C3C95" w14:textId="07A6F556"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{"citationItems":[{"id":"ITEM-1","itemData":{"DOI":"10.1074/jbc.M707855200","ISSN":"0021-9258 (Print)","PMID":"17977822","abstract":"The proton-translocating NADH-quinone (Q) oxidoreductase (NDH-1) from Escherichia  coli is composed of two segments: a peripheral arm and a membrane arm. The membrane arm contains 7 hydrophobic subunits. Of these subunits, NuoM, a homolog of the mitochondrial ND4 subunit, is proposed to be involved in proton translocation and Q-binding. Therefore, we conducted site-directed mutation of 15 amino acid residues of NuoM and investigated their properties. In all mutants, the assembly of the whole enzyme seemed intact. Mutation of highly conserved Glu144 and Lys234 leads to almost total elimination of energy-transducing NDH-1 activities as well as increased production of superoxide radicals. Their NADH dehydrogenase activities were almost normal. Because these two residues are predicted to be located in the transmembrane segments of NuoM, the results strongly suggest that they participate in proton translocation. Although it is hypothesized that His interacts with a Q head group, mutations at four His moderately inhibited NDH-1 activities and had almost no effect on the Km values for Q or IC50 values of capsaicin-40, a competitive inhibitor for the Q binding site. The data suggest that these His are not involved in the catalytic Q-binding. Functional roles of NuoM and advantages of NDH-1 research as a model for mitochondrial complex I study have been discussed.","author":[{"dropping-particle":"","family":"Torres-Bacete","given":"Jesus","non-dropping-particle":"","parse-names":false,"suffix":""},{"dropping-particle":"","family":"Nakamaru-Ogiso","given":"Eiko","non-dropping-particle":"","parse-names":false,"suffix":""},{"dropping-particle":"","family":"Matsuno-Yagi","given":"Akemi","non-dropping-particle":"","parse-names":false,"suffix":""},{"dropping-particle":"","family":"Yagi","given":"Takao","non-dropping-particle":"","parse-names":false,"suffix":""}],"container-title":"The Journal of biological chemistry","id":"ITEM-1","issue":"51","issued":{"date-parts":[["2007","12"]]},"language":"eng","page":"36914-36922","publisher-place":"United States","title":"Characterization of the NuoM (ND4) subunit in Escherichia coli NDH-1: conserved  charged residues essential for energy-coupled activities.","type":"article-journal","volume":"282"},"uris":["http://www.mendeley.com/documents/?uuid=c462412d-1d13-497a-9c25-389772e45063"]}],"mendeley":{"formattedCitation":"(Torres-Bacete &lt;i&gt;et al&lt;/i&gt;, 2007)","plainTextFormattedCitation":"(Torres-Bacete et al, 2007)","previouslyFormattedCitation":"(Torres-Bacete &lt;i&gt;et al&lt;/i&gt;, 2007)"},"properties":{"noteIndex":0},"schema":"https://github.com/citation-style-language/schema/raw/master/csl-citation.json"}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(Torres-Bacete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2007)</w:t>
            </w:r>
            <w:r w:rsidRPr="00E97FC1">
              <w:rPr>
                <w:rFonts w:ascii="Helvetica" w:hAnsi="Helvetica" w:cs="Helvetica"/>
                <w:b/>
                <w:bCs/>
                <w:sz w:val="16"/>
                <w:szCs w:val="20"/>
                <w:lang w:val="en-GB"/>
              </w:rPr>
              <w:fldChar w:fldCharType="end"/>
            </w:r>
          </w:p>
        </w:tc>
      </w:tr>
      <w:tr w:rsidR="002471A8" w:rsidRPr="00E97FC1" w14:paraId="17818C06" w14:textId="77777777" w:rsidTr="002471A8">
        <w:trPr>
          <w:trHeight w:val="65"/>
        </w:trPr>
        <w:tc>
          <w:tcPr>
            <w:tcW w:w="1075" w:type="dxa"/>
          </w:tcPr>
          <w:p w14:paraId="722D71D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E144A/M145E</w:t>
            </w:r>
          </w:p>
        </w:tc>
        <w:tc>
          <w:tcPr>
            <w:tcW w:w="2790" w:type="dxa"/>
            <w:vMerge/>
          </w:tcPr>
          <w:p w14:paraId="5475C476" w14:textId="77777777" w:rsidR="002471A8" w:rsidRPr="00E97FC1" w:rsidRDefault="002471A8" w:rsidP="002471A8">
            <w:pPr>
              <w:rPr>
                <w:rFonts w:ascii="Helvetica" w:hAnsi="Helvetica" w:cs="Helvetica"/>
                <w:sz w:val="20"/>
                <w:szCs w:val="20"/>
                <w:lang w:val="en-GB"/>
              </w:rPr>
            </w:pPr>
          </w:p>
        </w:tc>
        <w:tc>
          <w:tcPr>
            <w:tcW w:w="1440" w:type="dxa"/>
          </w:tcPr>
          <w:p w14:paraId="44FED4F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7F3D938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86%</w:t>
            </w:r>
          </w:p>
        </w:tc>
        <w:tc>
          <w:tcPr>
            <w:tcW w:w="1260" w:type="dxa"/>
          </w:tcPr>
          <w:p w14:paraId="78515C8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3-10%</w:t>
            </w:r>
          </w:p>
        </w:tc>
        <w:tc>
          <w:tcPr>
            <w:tcW w:w="1080" w:type="dxa"/>
          </w:tcPr>
          <w:p w14:paraId="6458D4E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0%</w:t>
            </w:r>
          </w:p>
        </w:tc>
        <w:tc>
          <w:tcPr>
            <w:tcW w:w="1260" w:type="dxa"/>
          </w:tcPr>
          <w:p w14:paraId="3EECA4F8" w14:textId="7B341398"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{"citationItems":[{"id":"ITEM-1","itemData":{"DOI":"10.1074/jbc.M109.059154","ISSN":"1083-351X (Electronic)","PMID":"19815558","abstract":"The bacterial H(+)-pumping NADH-quinone oxidoreductase (NDH-1) is an L-shaped  membrane-bound enzymatic complex. Escherichia coli NDH-1 is composed of 13 subunits (NuoA-N). NuoM (ND4) subunit is one of the hydrophobic subunits that constitute the membrane arm of NDH-1 and was predicted to bear 14 helices. We attempted to clarify the membrane topology of NuoM by the introduction of histidine tags into different positions by chromosomal site-directed mutagenesis. From the data, we propose a topology model containing 12 helices (helices I-IX and XII-XIV) located in transmembrane position and two (helices X and XI) present in the cytoplasm. We reported previously that residue Glu(144) of NuoM was located in the membrane (helix V) and was essential for the energy-coupling activities of NDH-1 (Torres-Bacete, J., Nakamaru-Ogiso, E., Matsuno-Yagi, A., and Yagi, T. (2007) J. Biol. Chem. 282, 36914-36922). Using mutant E144A, we studied the effect of shifting the glutamate residue to all sites within helix V and three sites each in helix IV and VI on the function of NDH-1. Twenty double site-directed mutants including the mutation E144A were constructed and characterized. None of the mutants showed alteration in the detectable levels of expressed NuoM or on the NDH-1 assembly. In addition, most of the double mutants did not restore the energy transducing NDH-1 activities. Only two mutants E144A/F140E and E144A/L147E, one helix turn downstream and upstream restored the energy transducing activities of NDH-1. Based on these results, a role of Glu(144) for proton translocation has been discussed.","author":[{"dropping-particle":"","family":"Torres-Bacete","given":"Jesus","non-dropping-particle":"","parse-names":false,"suffix":""},{"dropping-particle":"","family":"Sinha","given":"Prem Kumar","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chemistry","id":"ITEM-1","issue":"48","issued":{"date-parts":[["2009","11"]]},"language":"eng","page":"33062-33069","title":"Features of subunit NuoM (ND4) in Escherichia coli NDH-1: TOPOLOGY AND IMPLICATION  OF CONSERVED GLU144 FOR COUPLING SITE 1.","type":"article-journal","volume":"284"},"uris":["http://www.mendeley.com/documents/?uuid=b3b27661-f8a0-44c2-a92d-9a101f514e21"]}],"mendeley":{"formattedCitation":"(Torres-Bacete &lt;i&gt;et al&lt;/i&gt;, 2009)","plainTextFormattedCitation":"(Torres-Bacete et al, 2009)","previouslyFormattedCitation":"(Torres-Bacete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(Torres-Bacete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295D66D0" w14:textId="77777777" w:rsidTr="002471A8">
        <w:trPr>
          <w:trHeight w:val="65"/>
        </w:trPr>
        <w:tc>
          <w:tcPr>
            <w:tcW w:w="1075" w:type="dxa"/>
          </w:tcPr>
          <w:p w14:paraId="5FE5720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E144A/W143E</w:t>
            </w:r>
          </w:p>
        </w:tc>
        <w:tc>
          <w:tcPr>
            <w:tcW w:w="2790" w:type="dxa"/>
            <w:vMerge/>
          </w:tcPr>
          <w:p w14:paraId="005585EA" w14:textId="77777777" w:rsidR="002471A8" w:rsidRPr="00E97FC1" w:rsidRDefault="002471A8" w:rsidP="002471A8">
            <w:pPr>
              <w:rPr>
                <w:rFonts w:ascii="Helvetica" w:hAnsi="Helvetica" w:cs="Helvetica"/>
                <w:sz w:val="20"/>
                <w:szCs w:val="20"/>
                <w:lang w:val="en-GB"/>
              </w:rPr>
            </w:pPr>
          </w:p>
        </w:tc>
        <w:tc>
          <w:tcPr>
            <w:tcW w:w="1440" w:type="dxa"/>
          </w:tcPr>
          <w:p w14:paraId="6BFF1B0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34BCBE27"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91%</w:t>
            </w:r>
          </w:p>
        </w:tc>
        <w:tc>
          <w:tcPr>
            <w:tcW w:w="1260" w:type="dxa"/>
          </w:tcPr>
          <w:p w14:paraId="47D7A18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13-15%</w:t>
            </w:r>
          </w:p>
        </w:tc>
        <w:tc>
          <w:tcPr>
            <w:tcW w:w="1080" w:type="dxa"/>
          </w:tcPr>
          <w:p w14:paraId="365C9D3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15%</w:t>
            </w:r>
          </w:p>
        </w:tc>
        <w:tc>
          <w:tcPr>
            <w:tcW w:w="1260" w:type="dxa"/>
          </w:tcPr>
          <w:p w14:paraId="1A07693F" w14:textId="4C7FD291"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{"citationItems":[{"id":"ITEM-1","itemData":{"DOI":"10.1074/jbc.M109.059154","ISSN":"1083-351X (Electronic)","PMID":"19815558","abstract":"The bacterial H(+)-pumping NADH-quinone oxidoreductase (NDH-1) is an L-shaped  membrane-bound enzymatic complex. Escherichia coli NDH-1 is composed of 13 subunits (NuoA-N). NuoM (ND4) subunit is one of the hydrophobic subunits that constitute the membrane arm of NDH-1 and was predicted to bear 14 helices. We attempted to clarify the membrane topology of NuoM by the introduction of histidine tags into different positions by chromosomal site-directed mutagenesis. From the data, we propose a topology model containing 12 helices (helices I-IX and XII-XIV) located in transmembrane position and two (helices X and XI) present in the cytoplasm. We reported previously that residue Glu(144) of NuoM was located in the membrane (helix V) and was essential for the energy-coupling activities of NDH-1 (Torres-Bacete, J., Nakamaru-Ogiso, E., Matsuno-Yagi, A., and Yagi, T. (2007) J. Biol. Chem. 282, 36914-36922). Using mutant E144A, we studied the effect of shifting the glutamate residue to all sites within helix V and three sites each in helix IV and VI on the function of NDH-1. Twenty double site-directed mutants including the mutation E144A were constructed and characterized. None of the mutants showed alteration in the detectable levels of expressed NuoM or on the NDH-1 assembly. In addition, most of the double mutants did not restore the energy transducing NDH-1 activities. Only two mutants E144A/F140E and E144A/L147E, one helix turn downstream and upstream restored the energy transducing activities of NDH-1. Based on these results, a role of Glu(144) for proton translocation has been discussed.","author":[{"dropping-particle":"","family":"Torres-Bacete","given":"Jesus","non-dropping-particle":"","parse-names":false,"suffix":""},{"dropping-particle":"","family":"Sinha","given":"Prem Kumar","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chemistry","id":"ITEM-1","issue":"48","issued":{"date-parts":[["2009","11"]]},"language":"eng","page":"33062-33069","title":"Features of subunit NuoM (ND4) in Escherichia coli NDH-1: TOPOLOGY AND IMPLICATION  OF CONSERVED GLU144 FOR COUPLING SITE 1.","type":"article-journal","volume":"284"},"uris":["http://www.mendeley.com/documents/?uuid=b3b27661-f8a0-44c2-a92d-9a101f514e21"]}],"mendeley":{"formattedCitation":"(Torres-Bacete &lt;i&gt;et al&lt;/i&gt;, 2009)","plainTextFormattedCitation":"(Torres-Bacete et al, 2009)","previouslyFormattedCitation":"(Torres-Bacete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(Torres-Bacete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bl>
    <w:p w14:paraId="344F5F70" w14:textId="77777777" w:rsidR="002471A8" w:rsidRPr="00E97FC1" w:rsidRDefault="002471A8" w:rsidP="002471A8">
      <w:pPr>
        <w:rPr>
          <w:rFonts w:ascii="Helvetica" w:hAnsi="Helvetica" w:cs="Helvetica"/>
          <w:lang w:val="en-GB"/>
        </w:rPr>
      </w:pPr>
    </w:p>
    <w:p w14:paraId="640D0A8D" w14:textId="77777777" w:rsidR="002471A8" w:rsidRPr="00E97FC1" w:rsidRDefault="002471A8" w:rsidP="002471A8">
      <w:pPr>
        <w:ind w:left="720"/>
        <w:rPr>
          <w:rFonts w:ascii="Helvetica" w:hAnsi="Helvetica" w:cs="Helvetica"/>
          <w:b/>
          <w:lang w:val="en-GB"/>
        </w:rPr>
      </w:pPr>
      <w:r w:rsidRPr="00E97FC1">
        <w:rPr>
          <w:rFonts w:ascii="Helvetica" w:hAnsi="Helvetica" w:cs="Helvetica"/>
          <w:b/>
          <w:lang w:val="en-GB"/>
        </w:rPr>
        <w:t>b) Mutations in the membrane arm, continuation</w:t>
      </w:r>
    </w:p>
    <w:p w14:paraId="635AAC45" w14:textId="77777777" w:rsidR="002471A8" w:rsidRPr="00E97FC1" w:rsidRDefault="002471A8" w:rsidP="002471A8">
      <w:pPr>
        <w:rPr>
          <w:rFonts w:ascii="Helvetica" w:hAnsi="Helvetica" w:cs="Helvetica"/>
          <w:lang w:val="en-GB"/>
        </w:rPr>
      </w:pPr>
    </w:p>
    <w:tbl>
      <w:tblPr>
        <w:tblW w:w="10075" w:type="dxa"/>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0A0" w:firstRow="1" w:lastRow="0" w:firstColumn="1" w:lastColumn="0" w:noHBand="0" w:noVBand="0"/>
      </w:tblPr>
      <w:tblGrid>
        <w:gridCol w:w="1705"/>
        <w:gridCol w:w="2160"/>
        <w:gridCol w:w="1440"/>
        <w:gridCol w:w="1170"/>
        <w:gridCol w:w="1260"/>
        <w:gridCol w:w="1080"/>
        <w:gridCol w:w="1260"/>
      </w:tblGrid>
      <w:tr w:rsidR="002471A8" w:rsidRPr="00E97FC1" w14:paraId="720DBE29" w14:textId="77777777" w:rsidTr="002471A8">
        <w:tc>
          <w:tcPr>
            <w:tcW w:w="1705" w:type="dxa"/>
            <w:vMerge w:val="restart"/>
          </w:tcPr>
          <w:p w14:paraId="288FC63C" w14:textId="77777777" w:rsidR="002471A8" w:rsidRPr="00E97FC1" w:rsidRDefault="002471A8" w:rsidP="002471A8">
            <w:pPr>
              <w:rPr>
                <w:rFonts w:ascii="Helvetica" w:hAnsi="Helvetica" w:cs="Helvetica"/>
                <w:sz w:val="22"/>
                <w:lang w:val="en-GB"/>
              </w:rPr>
            </w:pPr>
            <w:r w:rsidRPr="00E97FC1">
              <w:rPr>
                <w:rFonts w:ascii="Helvetica" w:hAnsi="Helvetica" w:cs="Helvetica"/>
                <w:sz w:val="22"/>
                <w:lang w:val="en-GB"/>
              </w:rPr>
              <w:lastRenderedPageBreak/>
              <w:t>Mutation</w:t>
            </w:r>
          </w:p>
        </w:tc>
        <w:tc>
          <w:tcPr>
            <w:tcW w:w="2160" w:type="dxa"/>
            <w:vMerge w:val="restart"/>
          </w:tcPr>
          <w:p w14:paraId="2EB4A63E"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Amino acid location</w:t>
            </w:r>
          </w:p>
        </w:tc>
        <w:tc>
          <w:tcPr>
            <w:tcW w:w="1440" w:type="dxa"/>
            <w:vMerge w:val="restart"/>
          </w:tcPr>
          <w:p w14:paraId="635A6613"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 xml:space="preserve">Expression/assembly </w:t>
            </w:r>
          </w:p>
        </w:tc>
        <w:tc>
          <w:tcPr>
            <w:tcW w:w="3510" w:type="dxa"/>
            <w:gridSpan w:val="3"/>
          </w:tcPr>
          <w:p w14:paraId="1E0AC0AB"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Effect</w:t>
            </w:r>
          </w:p>
        </w:tc>
        <w:tc>
          <w:tcPr>
            <w:tcW w:w="1260" w:type="dxa"/>
            <w:vMerge w:val="restart"/>
          </w:tcPr>
          <w:p w14:paraId="1D8E2AD4"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Reference and comments</w:t>
            </w:r>
          </w:p>
        </w:tc>
      </w:tr>
      <w:tr w:rsidR="002471A8" w:rsidRPr="00E97FC1" w14:paraId="1D99046B" w14:textId="77777777" w:rsidTr="002471A8">
        <w:tc>
          <w:tcPr>
            <w:tcW w:w="1705" w:type="dxa"/>
            <w:vMerge/>
          </w:tcPr>
          <w:p w14:paraId="14451F1C" w14:textId="77777777" w:rsidR="002471A8" w:rsidRPr="00E97FC1" w:rsidRDefault="002471A8" w:rsidP="002471A8">
            <w:pPr>
              <w:jc w:val="center"/>
              <w:rPr>
                <w:rFonts w:ascii="Helvetica" w:hAnsi="Helvetica" w:cs="Helvetica"/>
                <w:sz w:val="22"/>
                <w:lang w:val="en-GB"/>
              </w:rPr>
            </w:pPr>
          </w:p>
        </w:tc>
        <w:tc>
          <w:tcPr>
            <w:tcW w:w="2160" w:type="dxa"/>
            <w:vMerge/>
          </w:tcPr>
          <w:p w14:paraId="3AC74486" w14:textId="77777777" w:rsidR="002471A8" w:rsidRPr="00E97FC1" w:rsidRDefault="002471A8" w:rsidP="002471A8">
            <w:pPr>
              <w:jc w:val="center"/>
              <w:rPr>
                <w:rFonts w:ascii="Helvetica" w:hAnsi="Helvetica" w:cs="Helvetica"/>
                <w:sz w:val="22"/>
                <w:lang w:val="en-GB"/>
              </w:rPr>
            </w:pPr>
          </w:p>
        </w:tc>
        <w:tc>
          <w:tcPr>
            <w:tcW w:w="1440" w:type="dxa"/>
            <w:vMerge/>
          </w:tcPr>
          <w:p w14:paraId="099C89DF" w14:textId="77777777" w:rsidR="002471A8" w:rsidRPr="00E97FC1" w:rsidRDefault="002471A8" w:rsidP="002471A8">
            <w:pPr>
              <w:jc w:val="center"/>
              <w:rPr>
                <w:rFonts w:ascii="Helvetica" w:hAnsi="Helvetica" w:cs="Helvetica"/>
                <w:sz w:val="22"/>
                <w:lang w:val="en-GB"/>
              </w:rPr>
            </w:pPr>
          </w:p>
        </w:tc>
        <w:tc>
          <w:tcPr>
            <w:tcW w:w="1170" w:type="dxa"/>
          </w:tcPr>
          <w:p w14:paraId="5561E489"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FMN-site</w:t>
            </w:r>
          </w:p>
          <w:p w14:paraId="27894246"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activity</w:t>
            </w:r>
          </w:p>
        </w:tc>
        <w:tc>
          <w:tcPr>
            <w:tcW w:w="1260" w:type="dxa"/>
          </w:tcPr>
          <w:p w14:paraId="57C03D7D"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Oxido-reductase activity</w:t>
            </w:r>
          </w:p>
        </w:tc>
        <w:tc>
          <w:tcPr>
            <w:tcW w:w="1080" w:type="dxa"/>
          </w:tcPr>
          <w:p w14:paraId="0503B7E2"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Proton pumping activity</w:t>
            </w:r>
          </w:p>
        </w:tc>
        <w:tc>
          <w:tcPr>
            <w:tcW w:w="1260" w:type="dxa"/>
            <w:vMerge/>
          </w:tcPr>
          <w:p w14:paraId="7AB219E9" w14:textId="77777777" w:rsidR="002471A8" w:rsidRPr="00E97FC1" w:rsidRDefault="002471A8" w:rsidP="002471A8">
            <w:pPr>
              <w:jc w:val="center"/>
              <w:rPr>
                <w:rFonts w:ascii="Helvetica" w:hAnsi="Helvetica" w:cs="Helvetica"/>
                <w:sz w:val="22"/>
                <w:lang w:val="en-GB"/>
              </w:rPr>
            </w:pPr>
          </w:p>
        </w:tc>
      </w:tr>
      <w:tr w:rsidR="002471A8" w:rsidRPr="00E97FC1" w14:paraId="6E86DE95" w14:textId="77777777" w:rsidTr="002471A8">
        <w:trPr>
          <w:trHeight w:val="65"/>
        </w:trPr>
        <w:tc>
          <w:tcPr>
            <w:tcW w:w="10075" w:type="dxa"/>
            <w:gridSpan w:val="7"/>
          </w:tcPr>
          <w:p w14:paraId="124B519E" w14:textId="77777777" w:rsidR="002471A8" w:rsidRPr="00E97FC1" w:rsidRDefault="002471A8" w:rsidP="002471A8">
            <w:pPr>
              <w:rPr>
                <w:rFonts w:ascii="Helvetica" w:hAnsi="Helvetica" w:cs="Helvetica"/>
                <w:noProof/>
                <w:sz w:val="22"/>
                <w:lang w:val="en-GB"/>
              </w:rPr>
            </w:pPr>
            <w:r w:rsidRPr="00E97FC1">
              <w:rPr>
                <w:rFonts w:ascii="Helvetica" w:hAnsi="Helvetica" w:cs="Helvetica"/>
                <w:b/>
                <w:bCs/>
                <w:sz w:val="28"/>
                <w:lang w:val="en-GB"/>
              </w:rPr>
              <w:t>NuoM</w:t>
            </w:r>
          </w:p>
        </w:tc>
      </w:tr>
      <w:tr w:rsidR="002471A8" w:rsidRPr="00E97FC1" w14:paraId="71F4FF26" w14:textId="77777777" w:rsidTr="002471A8">
        <w:trPr>
          <w:trHeight w:val="65"/>
        </w:trPr>
        <w:tc>
          <w:tcPr>
            <w:tcW w:w="1705" w:type="dxa"/>
          </w:tcPr>
          <w:p w14:paraId="4715DF3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E144A/V148E</w:t>
            </w:r>
          </w:p>
        </w:tc>
        <w:tc>
          <w:tcPr>
            <w:tcW w:w="2160" w:type="dxa"/>
            <w:vMerge w:val="restart"/>
          </w:tcPr>
          <w:p w14:paraId="2D20CF7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bCs/>
                <w:sz w:val="20"/>
                <w:lang w:val="en-GB"/>
              </w:rPr>
              <w:t>TM5, central axe, interface with NuoN</w:t>
            </w:r>
          </w:p>
        </w:tc>
        <w:tc>
          <w:tcPr>
            <w:tcW w:w="1440" w:type="dxa"/>
          </w:tcPr>
          <w:p w14:paraId="5EC2FE1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799987B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113%</w:t>
            </w:r>
          </w:p>
        </w:tc>
        <w:tc>
          <w:tcPr>
            <w:tcW w:w="1260" w:type="dxa"/>
          </w:tcPr>
          <w:p w14:paraId="11F9A5B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3-12%</w:t>
            </w:r>
          </w:p>
        </w:tc>
        <w:tc>
          <w:tcPr>
            <w:tcW w:w="1080" w:type="dxa"/>
          </w:tcPr>
          <w:p w14:paraId="31575D1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0%</w:t>
            </w:r>
          </w:p>
        </w:tc>
        <w:tc>
          <w:tcPr>
            <w:tcW w:w="1260" w:type="dxa"/>
          </w:tcPr>
          <w:p w14:paraId="7F9AD547" w14:textId="65B52AED"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{"citationItems":[{"id":"ITEM-1","itemData":{"DOI":"10.1074/jbc.M109.059154","ISSN":"1083-351X (Electronic)","PMID":"19815558","abstract":"The bacterial H(+)-pumping NADH-quinone oxidoreductase (NDH-1) is an L-shaped  membrane-bound enzymatic complex. Escherichia coli NDH-1 is composed of 13 subunits (NuoA-N). NuoM (ND4) subunit is one of the hydrophobic subunits that constitute the membrane arm of NDH-1 and was predicted to bear 14 helices. We attempted to clarify the membrane topology of NuoM by the introduction of histidine tags into different positions by chromosomal site-directed mutagenesis. From the data, we propose a topology model containing 12 helices (helices I-IX and XII-XIV) located in transmembrane position and two (helices X and XI) present in the cytoplasm. We reported previously that residue Glu(144) of NuoM was located in the membrane (helix V) and was essential for the energy-coupling activities of NDH-1 (Torres-Bacete, J., Nakamaru-Ogiso, E., Matsuno-Yagi, A., and Yagi, T. (2007) J. Biol. Chem. 282, 36914-36922). Using mutant E144A, we studied the effect of shifting the glutamate residue to all sites within helix V and three sites each in helix IV and VI on the function of NDH-1. Twenty double site-directed mutants including the mutation E144A were constructed and characterized. None of the mutants showed alteration in the detectable levels of expressed NuoM or on the NDH-1 assembly. In addition, most of the double mutants did not restore the energy transducing NDH-1 activities. Only two mutants E144A/F140E and E144A/L147E, one helix turn downstream and upstream restored the energy transducing activities of NDH-1. Based on these results, a role of Glu(144) for proton translocation has been discussed.","author":[{"dropping-particle":"","family":"Torres-Bacete","given":"Jesus","non-dropping-particle":"","parse-names":false,"suffix":""},{"dropping-particle":"","family":"Sinha","given":"Prem Kumar","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chemistry","id":"ITEM-1","issue":"48","issued":{"date-parts":[["2009","11"]]},"language":"eng","page":"33062-33069","title":"Features of subunit NuoM (ND4) in Escherichia coli NDH-1: TOPOLOGY AND IMPLICATION  OF CONSERVED GLU144 FOR COUPLING SITE 1.","type":"article-journal","volume":"284"},"uris":["http://www.mendeley.com/documents/?uuid=b3b27661-f8a0-44c2-a92d-9a101f514e21"]}],"mendeley":{"formattedCitation":"(Torres-Bacete &lt;i&gt;et al&lt;/i&gt;, 2009)","plainTextFormattedCitation":"(Torres-Bacete et al, 2009)","previouslyFormattedCitation":"(Torres-Bacete &lt;i&gt;et al&lt;/i&gt;, 2009)"},"properties":{"noteIndex":0},"schema":"https://github.com/citation-style-language/schema/raw/master/csl-citation.json"}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(Torres-Bacete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2009)</w:t>
            </w:r>
            <w:r w:rsidRPr="00E97FC1">
              <w:rPr>
                <w:rFonts w:ascii="Helvetica" w:hAnsi="Helvetica" w:cs="Helvetica"/>
                <w:b/>
                <w:bCs/>
                <w:sz w:val="16"/>
                <w:szCs w:val="16"/>
                <w:lang w:val="en-GB"/>
              </w:rPr>
              <w:fldChar w:fldCharType="end"/>
            </w:r>
          </w:p>
        </w:tc>
      </w:tr>
      <w:tr w:rsidR="002471A8" w:rsidRPr="00E97FC1" w14:paraId="502989A9" w14:textId="77777777" w:rsidTr="002471A8">
        <w:trPr>
          <w:trHeight w:val="65"/>
        </w:trPr>
        <w:tc>
          <w:tcPr>
            <w:tcW w:w="1705" w:type="dxa"/>
          </w:tcPr>
          <w:p w14:paraId="5EED467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E144A/F140E</w:t>
            </w:r>
          </w:p>
        </w:tc>
        <w:tc>
          <w:tcPr>
            <w:tcW w:w="2160" w:type="dxa"/>
            <w:vMerge/>
          </w:tcPr>
          <w:p w14:paraId="4FB55890" w14:textId="77777777" w:rsidR="002471A8" w:rsidRPr="00E97FC1" w:rsidRDefault="002471A8" w:rsidP="002471A8">
            <w:pPr>
              <w:rPr>
                <w:rFonts w:ascii="Helvetica" w:hAnsi="Helvetica" w:cs="Helvetica"/>
                <w:sz w:val="20"/>
                <w:szCs w:val="20"/>
                <w:lang w:val="en-GB"/>
              </w:rPr>
            </w:pPr>
          </w:p>
        </w:tc>
        <w:tc>
          <w:tcPr>
            <w:tcW w:w="1440" w:type="dxa"/>
          </w:tcPr>
          <w:p w14:paraId="7B13668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3251173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88%</w:t>
            </w:r>
          </w:p>
        </w:tc>
        <w:tc>
          <w:tcPr>
            <w:tcW w:w="1260" w:type="dxa"/>
          </w:tcPr>
          <w:p w14:paraId="6BF39E0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39-60%</w:t>
            </w:r>
          </w:p>
        </w:tc>
        <w:tc>
          <w:tcPr>
            <w:tcW w:w="1080" w:type="dxa"/>
          </w:tcPr>
          <w:p w14:paraId="7C02233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60%</w:t>
            </w:r>
          </w:p>
        </w:tc>
        <w:tc>
          <w:tcPr>
            <w:tcW w:w="1260" w:type="dxa"/>
          </w:tcPr>
          <w:p w14:paraId="790F046C" w14:textId="77AD55C0"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{"citationItems":[{"id":"ITEM-1","itemData":{"DOI":"10.1074/jbc.M109.059154","ISSN":"1083-351X (Electronic)","PMID":"19815558","abstract":"The bacterial H(+)-pumping NADH-quinone oxidoreductase (NDH-1) is an L-shaped  membrane-bound enzymatic complex. Escherichia coli NDH-1 is composed of 13 subunits (NuoA-N). NuoM (ND4) subunit is one of the hydrophobic subunits that constitute the membrane arm of NDH-1 and was predicted to bear 14 helices. We attempted to clarify the membrane topology of NuoM by the introduction of histidine tags into different positions by chromosomal site-directed mutagenesis. From the data, we propose a topology model containing 12 helices (helices I-IX and XII-XIV) located in transmembrane position and two (helices X and XI) present in the cytoplasm. We reported previously that residue Glu(144) of NuoM was located in the membrane (helix V) and was essential for the energy-coupling activities of NDH-1 (Torres-Bacete, J., Nakamaru-Ogiso, E., Matsuno-Yagi, A., and Yagi, T. (2007) J. Biol. Chem. 282, 36914-36922). Using mutant E144A, we studied the effect of shifting the glutamate residue to all sites within helix V and three sites each in helix IV and VI on the function of NDH-1. Twenty double site-directed mutants including the mutation E144A were constructed and characterized. None of the mutants showed alteration in the detectable levels of expressed NuoM or on the NDH-1 assembly. In addition, most of the double mutants did not restore the energy transducing NDH-1 activities. Only two mutants E144A/F140E and E144A/L147E, one helix turn downstream and upstream restored the energy transducing activities of NDH-1. Based on these results, a role of Glu(144) for proton translocation has been discussed.","author":[{"dropping-particle":"","family":"Torres-Bacete","given":"Jesus","non-dropping-particle":"","parse-names":false,"suffix":""},{"dropping-particle":"","family":"Sinha","given":"Prem Kumar","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chemistry","id":"ITEM-1","issue":"48","issued":{"date-parts":[["2009","11"]]},"language":"eng","page":"33062-33069","title":"Features of subunit NuoM (ND4) in Escherichia coli NDH-1: TOPOLOGY AND IMPLICATION  OF CONSERVED GLU144 FOR COUPLING SITE 1.","type":"article-journal","volume":"284"},"uris":["http://www.mendeley.com/documents/?uuid=b3b27661-f8a0-44c2-a92d-9a101f514e21"]}],"mendeley":{"formattedCitation":"(Torres-Bacete &lt;i&gt;et al&lt;/i&gt;, 2009)","plainTextFormattedCitation":"(Torres-Bacete et al, 2009)","previouslyFormattedCitation":"(Torres-Bacete &lt;i&gt;et al&lt;/i&gt;, 2009)"},"properties":{"noteIndex":0},"schema":"https://github.com/citation-style-language/schema/raw/master/csl-citation.json"}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(Torres-Bacete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2009)</w:t>
            </w:r>
            <w:r w:rsidRPr="00E97FC1">
              <w:rPr>
                <w:rFonts w:ascii="Helvetica" w:hAnsi="Helvetica" w:cs="Helvetica"/>
                <w:b/>
                <w:bCs/>
                <w:sz w:val="16"/>
                <w:szCs w:val="16"/>
                <w:lang w:val="en-GB"/>
              </w:rPr>
              <w:fldChar w:fldCharType="end"/>
            </w:r>
          </w:p>
        </w:tc>
      </w:tr>
      <w:tr w:rsidR="002471A8" w:rsidRPr="00E97FC1" w14:paraId="70EFA792" w14:textId="77777777" w:rsidTr="002471A8">
        <w:trPr>
          <w:trHeight w:val="65"/>
        </w:trPr>
        <w:tc>
          <w:tcPr>
            <w:tcW w:w="1705" w:type="dxa"/>
          </w:tcPr>
          <w:p w14:paraId="6492FDE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E144A/F152E</w:t>
            </w:r>
          </w:p>
        </w:tc>
        <w:tc>
          <w:tcPr>
            <w:tcW w:w="2160" w:type="dxa"/>
            <w:vMerge/>
          </w:tcPr>
          <w:p w14:paraId="7624254A" w14:textId="77777777" w:rsidR="002471A8" w:rsidRPr="00E97FC1" w:rsidRDefault="002471A8" w:rsidP="002471A8">
            <w:pPr>
              <w:rPr>
                <w:rFonts w:ascii="Helvetica" w:hAnsi="Helvetica" w:cs="Helvetica"/>
                <w:sz w:val="20"/>
                <w:szCs w:val="20"/>
                <w:lang w:val="en-GB"/>
              </w:rPr>
            </w:pPr>
          </w:p>
        </w:tc>
        <w:tc>
          <w:tcPr>
            <w:tcW w:w="1440" w:type="dxa"/>
          </w:tcPr>
          <w:p w14:paraId="63B790E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143FB67B"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85%</w:t>
            </w:r>
          </w:p>
        </w:tc>
        <w:tc>
          <w:tcPr>
            <w:tcW w:w="1260" w:type="dxa"/>
          </w:tcPr>
          <w:p w14:paraId="6B48531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3-11%</w:t>
            </w:r>
          </w:p>
        </w:tc>
        <w:tc>
          <w:tcPr>
            <w:tcW w:w="1080" w:type="dxa"/>
          </w:tcPr>
          <w:p w14:paraId="50A975D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0%</w:t>
            </w:r>
          </w:p>
        </w:tc>
        <w:tc>
          <w:tcPr>
            <w:tcW w:w="1260" w:type="dxa"/>
          </w:tcPr>
          <w:p w14:paraId="101AD87B" w14:textId="34E816BB"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{"citationItems":[{"id":"ITEM-1","itemData":{"DOI":"10.1074/jbc.M109.059154","ISSN":"1083-351X (Electronic)","PMID":"19815558","abstract":"The bacterial H(+)-pumping NADH-quinone oxidoreductase (NDH-1) is an L-shaped  membrane-bound enzymatic complex. Escherichia coli NDH-1 is composed of 13 subunits (NuoA-N). NuoM (ND4) subunit is one of the hydrophobic subunits that constitute the membrane arm of NDH-1 and was predicted to bear 14 helices. We attempted to clarify the membrane topology of NuoM by the introduction of histidine tags into different positions by chromosomal site-directed mutagenesis. From the data, we propose a topology model containing 12 helices (helices I-IX and XII-XIV) located in transmembrane position and two (helices X and XI) present in the cytoplasm. We reported previously that residue Glu(144) of NuoM was located in the membrane (helix V) and was essential for the energy-coupling activities of NDH-1 (Torres-Bacete, J., Nakamaru-Ogiso, E., Matsuno-Yagi, A., and Yagi, T. (2007) J. Biol. Chem. 282, 36914-36922). Using mutant E144A, we studied the effect of shifting the glutamate residue to all sites within helix V and three sites each in helix IV and VI on the function of NDH-1. Twenty double site-directed mutants including the mutation E144A were constructed and characterized. None of the mutants showed alteration in the detectable levels of expressed NuoM or on the NDH-1 assembly. In addition, most of the double mutants did not restore the energy transducing NDH-1 activities. Only two mutants E144A/F140E and E144A/L147E, one helix turn downstream and upstream restored the energy transducing activities of NDH-1. Based on these results, a role of Glu(144) for proton translocation has been discussed.","author":[{"dropping-particle":"","family":"Torres-Bacete","given":"Jesus","non-dropping-particle":"","parse-names":false,"suffix":""},{"dropping-particle":"","family":"Sinha","given":"Prem Kumar","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chemistry","id":"ITEM-1","issue":"48","issued":{"date-parts":[["2009","11"]]},"language":"eng","page":"33062-33069","title":"Features of subunit NuoM (ND4) in Escherichia coli NDH-1: TOPOLOGY AND IMPLICATION  OF CONSERVED GLU144 FOR COUPLING SITE 1.","type":"article-journal","volume":"284"},"uris":["http://www.mendeley.com/documents/?uuid=b3b27661-f8a0-44c2-a92d-9a101f514e21"]}],"mendeley":{"formattedCitation":"(Torres-Bacete &lt;i&gt;et al&lt;/i&gt;, 2009)","plainTextFormattedCitation":"(Torres-Bacete et al, 2009)","previouslyFormattedCitation":"(Torres-Bacete &lt;i&gt;et al&lt;/i&gt;, 2009)"},"properties":{"noteIndex":0},"schema":"https://github.com/citation-style-language/schema/raw/master/csl-citation.json"}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(Torres-Bacete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2009)</w:t>
            </w:r>
            <w:r w:rsidRPr="00E97FC1">
              <w:rPr>
                <w:rFonts w:ascii="Helvetica" w:hAnsi="Helvetica" w:cs="Helvetica"/>
                <w:b/>
                <w:bCs/>
                <w:sz w:val="16"/>
                <w:szCs w:val="16"/>
                <w:lang w:val="en-GB"/>
              </w:rPr>
              <w:fldChar w:fldCharType="end"/>
            </w:r>
          </w:p>
        </w:tc>
      </w:tr>
      <w:tr w:rsidR="002471A8" w:rsidRPr="00E97FC1" w14:paraId="0EA491F6" w14:textId="77777777" w:rsidTr="002471A8">
        <w:trPr>
          <w:trHeight w:val="65"/>
        </w:trPr>
        <w:tc>
          <w:tcPr>
            <w:tcW w:w="1705" w:type="dxa"/>
          </w:tcPr>
          <w:p w14:paraId="34FC716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E144A/F141E</w:t>
            </w:r>
          </w:p>
        </w:tc>
        <w:tc>
          <w:tcPr>
            <w:tcW w:w="2160" w:type="dxa"/>
            <w:vMerge/>
          </w:tcPr>
          <w:p w14:paraId="5397E691" w14:textId="77777777" w:rsidR="002471A8" w:rsidRPr="00E97FC1" w:rsidRDefault="002471A8" w:rsidP="002471A8">
            <w:pPr>
              <w:rPr>
                <w:rFonts w:ascii="Helvetica" w:hAnsi="Helvetica" w:cs="Helvetica"/>
                <w:sz w:val="20"/>
                <w:szCs w:val="20"/>
                <w:lang w:val="en-GB"/>
              </w:rPr>
            </w:pPr>
          </w:p>
        </w:tc>
        <w:tc>
          <w:tcPr>
            <w:tcW w:w="1440" w:type="dxa"/>
          </w:tcPr>
          <w:p w14:paraId="05753A9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7D54AA1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99%</w:t>
            </w:r>
          </w:p>
        </w:tc>
        <w:tc>
          <w:tcPr>
            <w:tcW w:w="1260" w:type="dxa"/>
          </w:tcPr>
          <w:p w14:paraId="340EE16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3-15%</w:t>
            </w:r>
          </w:p>
        </w:tc>
        <w:tc>
          <w:tcPr>
            <w:tcW w:w="1080" w:type="dxa"/>
          </w:tcPr>
          <w:p w14:paraId="39EA996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0%</w:t>
            </w:r>
          </w:p>
        </w:tc>
        <w:tc>
          <w:tcPr>
            <w:tcW w:w="1260" w:type="dxa"/>
          </w:tcPr>
          <w:p w14:paraId="780C65A6" w14:textId="6B8A85AF"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{"citationItems":[{"id":"ITEM-1","itemData":{"DOI":"10.1074/jbc.M109.059154","ISSN":"1083-351X (Electronic)","PMID":"19815558","abstract":"The bacterial H(+)-pumping NADH-quinone oxidoreductase (NDH-1) is an L-shaped  membrane-bound enzymatic complex. Escherichia coli NDH-1 is composed of 13 subunits (NuoA-N). NuoM (ND4) subunit is one of the hydrophobic subunits that constitute the membrane arm of NDH-1 and was predicted to bear 14 helices. We attempted to clarify the membrane topology of NuoM by the introduction of histidine tags into different positions by chromosomal site-directed mutagenesis. From the data, we propose a topology model containing 12 helices (helices I-IX and XII-XIV) located in transmembrane position and two (helices X and XI) present in the cytoplasm. We reported previously that residue Glu(144) of NuoM was located in the membrane (helix V) and was essential for the energy-coupling activities of NDH-1 (Torres-Bacete, J., Nakamaru-Ogiso, E., Matsuno-Yagi, A., and Yagi, T. (2007) J. Biol. Chem. 282, 36914-36922). Using mutant E144A, we studied the effect of shifting the glutamate residue to all sites within helix V and three sites each in helix IV and VI on the function of NDH-1. Twenty double site-directed mutants including the mutation E144A were constructed and characterized. None of the mutants showed alteration in the detectable levels of expressed NuoM or on the NDH-1 assembly. In addition, most of the double mutants did not restore the energy transducing NDH-1 activities. Only two mutants E144A/F140E and E144A/L147E, one helix turn downstream and upstream restored the energy transducing activities of NDH-1. Based on these results, a role of Glu(144) for proton translocation has been discussed.","author":[{"dropping-particle":"","family":"Torres-Bacete","given":"Jesus","non-dropping-particle":"","parse-names":false,"suffix":""},{"dropping-particle":"","family":"Sinha","given":"Prem Kumar","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chemistry","id":"ITEM-1","issue":"48","issued":{"date-parts":[["2009","11"]]},"language":"eng","page":"33062-33069","title":"Features of subunit NuoM (ND4) in Escherichia coli NDH-1: TOPOLOGY AND IMPLICATION  OF CONSERVED GLU144 FOR COUPLING SITE 1.","type":"article-journal","volume":"284"},"uris":["http://www.mendeley.com/documents/?uuid=b3b27661-f8a0-44c2-a92d-9a101f514e21"]}],"mendeley":{"formattedCitation":"(Torres-Bacete &lt;i&gt;et al&lt;/i&gt;, 2009)","plainTextFormattedCitation":"(Torres-Bacete et al, 2009)","previouslyFormattedCitation":"(Torres-Bacete &lt;i&gt;et al&lt;/i&gt;, 2009)"},"properties":{"noteIndex":0},"schema":"https://github.com/citation-style-language/schema/raw/master/csl-citation.json"}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(Torres-Bacete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2009)</w:t>
            </w:r>
            <w:r w:rsidRPr="00E97FC1">
              <w:rPr>
                <w:rFonts w:ascii="Helvetica" w:hAnsi="Helvetica" w:cs="Helvetica"/>
                <w:b/>
                <w:bCs/>
                <w:sz w:val="16"/>
                <w:szCs w:val="16"/>
                <w:lang w:val="en-GB"/>
              </w:rPr>
              <w:fldChar w:fldCharType="end"/>
            </w:r>
          </w:p>
        </w:tc>
      </w:tr>
      <w:tr w:rsidR="002471A8" w:rsidRPr="00E97FC1" w14:paraId="2FBF06E5" w14:textId="77777777" w:rsidTr="002471A8">
        <w:trPr>
          <w:trHeight w:val="65"/>
        </w:trPr>
        <w:tc>
          <w:tcPr>
            <w:tcW w:w="1705" w:type="dxa"/>
          </w:tcPr>
          <w:p w14:paraId="5A80393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E144A/L147E</w:t>
            </w:r>
          </w:p>
        </w:tc>
        <w:tc>
          <w:tcPr>
            <w:tcW w:w="2160" w:type="dxa"/>
            <w:vMerge/>
          </w:tcPr>
          <w:p w14:paraId="041F212A" w14:textId="77777777" w:rsidR="002471A8" w:rsidRPr="00E97FC1" w:rsidRDefault="002471A8" w:rsidP="002471A8">
            <w:pPr>
              <w:rPr>
                <w:rFonts w:ascii="Helvetica" w:hAnsi="Helvetica" w:cs="Helvetica"/>
                <w:sz w:val="20"/>
                <w:szCs w:val="20"/>
                <w:lang w:val="en-GB"/>
              </w:rPr>
            </w:pPr>
          </w:p>
        </w:tc>
        <w:tc>
          <w:tcPr>
            <w:tcW w:w="1440" w:type="dxa"/>
          </w:tcPr>
          <w:p w14:paraId="3947EE3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178BC440"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95%</w:t>
            </w:r>
          </w:p>
        </w:tc>
        <w:tc>
          <w:tcPr>
            <w:tcW w:w="1260" w:type="dxa"/>
          </w:tcPr>
          <w:p w14:paraId="67F48B2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30-45%</w:t>
            </w:r>
          </w:p>
        </w:tc>
        <w:tc>
          <w:tcPr>
            <w:tcW w:w="1080" w:type="dxa"/>
          </w:tcPr>
          <w:p w14:paraId="2B8BA1C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50%</w:t>
            </w:r>
          </w:p>
        </w:tc>
        <w:tc>
          <w:tcPr>
            <w:tcW w:w="1260" w:type="dxa"/>
          </w:tcPr>
          <w:p w14:paraId="26CA08C4" w14:textId="125DDA53"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{"citationItems":[{"id":"ITEM-1","itemData":{"DOI":"10.1074/jbc.M109.059154","ISSN":"1083-351X (Electronic)","PMID":"19815558","abstract":"The bacterial H(+)-pumping NADH-quinone oxidoreductase (NDH-1) is an L-shaped  membrane-bound enzymatic complex. Escherichia coli NDH-1 is composed of 13 subunits (NuoA-N). NuoM (ND4) subunit is one of the hydrophobic subunits that constitute the membrane arm of NDH-1 and was predicted to bear 14 helices. We attempted to clarify the membrane topology of NuoM by the introduction of histidine tags into different positions by chromosomal site-directed mutagenesis. From the data, we propose a topology model containing 12 helices (helices I-IX and XII-XIV) located in transmembrane position and two (helices X and XI) present in the cytoplasm. We reported previously that residue Glu(144) of NuoM was located in the membrane (helix V) and was essential for the energy-coupling activities of NDH-1 (Torres-Bacete, J., Nakamaru-Ogiso, E., Matsuno-Yagi, A., and Yagi, T. (2007) J. Biol. Chem. 282, 36914-36922). Using mutant E144A, we studied the effect of shifting the glutamate residue to all sites within helix V and three sites each in helix IV and VI on the function of NDH-1. Twenty double site-directed mutants including the mutation E144A were constructed and characterized. None of the mutants showed alteration in the detectable levels of expressed NuoM or on the NDH-1 assembly. In addition, most of the double mutants did not restore the energy transducing NDH-1 activities. Only two mutants E144A/F140E and E144A/L147E, one helix turn downstream and upstream restored the energy transducing activities of NDH-1. Based on these results, a role of Glu(144) for proton translocation has been discussed.","author":[{"dropping-particle":"","family":"Torres-Bacete","given":"Jesus","non-dropping-particle":"","parse-names":false,"suffix":""},{"dropping-particle":"","family":"Sinha","given":"Prem Kumar","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chemistry","id":"ITEM-1","issue":"48","issued":{"date-parts":[["2009","11"]]},"language":"eng","page":"33062-33069","title":"Features of subunit NuoM (ND4) in Escherichia coli NDH-1: TOPOLOGY AND IMPLICATION  OF CONSERVED GLU144 FOR COUPLING SITE 1.","type":"article-journal","volume":"284"},"uris":["http://www.mendeley.com/documents/?uuid=b3b27661-f8a0-44c2-a92d-9a101f514e21"]}],"mendeley":{"formattedCitation":"(Torres-Bacete &lt;i&gt;et al&lt;/i&gt;, 2009)","plainTextFormattedCitation":"(Torres-Bacete et al, 2009)","previouslyFormattedCitation":"(Torres-Bacete &lt;i&gt;et al&lt;/i&gt;, 2009)"},"properties":{"noteIndex":0},"schema":"https://github.com/citation-style-language/schema/raw/master/csl-citation.json"}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(Torres-Bacete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2009)</w:t>
            </w:r>
            <w:r w:rsidRPr="00E97FC1">
              <w:rPr>
                <w:rFonts w:ascii="Helvetica" w:hAnsi="Helvetica" w:cs="Helvetica"/>
                <w:b/>
                <w:bCs/>
                <w:sz w:val="16"/>
                <w:szCs w:val="16"/>
                <w:lang w:val="en-GB"/>
              </w:rPr>
              <w:fldChar w:fldCharType="end"/>
            </w:r>
          </w:p>
        </w:tc>
      </w:tr>
      <w:tr w:rsidR="002471A8" w:rsidRPr="00E97FC1" w14:paraId="5AF14423" w14:textId="77777777" w:rsidTr="002471A8">
        <w:trPr>
          <w:trHeight w:val="65"/>
        </w:trPr>
        <w:tc>
          <w:tcPr>
            <w:tcW w:w="1705" w:type="dxa"/>
          </w:tcPr>
          <w:p w14:paraId="4E7841C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E144A/F139E</w:t>
            </w:r>
          </w:p>
        </w:tc>
        <w:tc>
          <w:tcPr>
            <w:tcW w:w="2160" w:type="dxa"/>
            <w:vMerge/>
          </w:tcPr>
          <w:p w14:paraId="768141AB" w14:textId="77777777" w:rsidR="002471A8" w:rsidRPr="00E97FC1" w:rsidRDefault="002471A8" w:rsidP="002471A8">
            <w:pPr>
              <w:rPr>
                <w:rFonts w:ascii="Helvetica" w:hAnsi="Helvetica" w:cs="Helvetica"/>
                <w:sz w:val="20"/>
                <w:szCs w:val="20"/>
                <w:lang w:val="en-GB"/>
              </w:rPr>
            </w:pPr>
          </w:p>
        </w:tc>
        <w:tc>
          <w:tcPr>
            <w:tcW w:w="1440" w:type="dxa"/>
          </w:tcPr>
          <w:p w14:paraId="57C1220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274419F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104%</w:t>
            </w:r>
          </w:p>
        </w:tc>
        <w:tc>
          <w:tcPr>
            <w:tcW w:w="1260" w:type="dxa"/>
          </w:tcPr>
          <w:p w14:paraId="7AA549B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2-15%</w:t>
            </w:r>
          </w:p>
        </w:tc>
        <w:tc>
          <w:tcPr>
            <w:tcW w:w="1080" w:type="dxa"/>
          </w:tcPr>
          <w:p w14:paraId="3209A64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0%</w:t>
            </w:r>
          </w:p>
        </w:tc>
        <w:tc>
          <w:tcPr>
            <w:tcW w:w="1260" w:type="dxa"/>
          </w:tcPr>
          <w:p w14:paraId="373DDA6C" w14:textId="73F752AC"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{"citationItems":[{"id":"ITEM-1","itemData":{"DOI":"10.1074/jbc.M109.059154","ISSN":"1083-351X (Electronic)","PMID":"19815558","abstract":"The bacterial H(+)-pumping NADH-quinone oxidoreductase (NDH-1) is an L-shaped  membrane-bound enzymatic complex. Escherichia coli NDH-1 is composed of 13 subunits (NuoA-N). NuoM (ND4) subunit is one of the hydrophobic subunits that constitute the membrane arm of NDH-1 and was predicted to bear 14 helices. We attempted to clarify the membrane topology of NuoM by the introduction of histidine tags into different positions by chromosomal site-directed mutagenesis. From the data, we propose a topology model containing 12 helices (helices I-IX and XII-XIV) located in transmembrane position and two (helices X and XI) present in the cytoplasm. We reported previously that residue Glu(144) of NuoM was located in the membrane (helix V) and was essential for the energy-coupling activities of NDH-1 (Torres-Bacete, J., Nakamaru-Ogiso, E., Matsuno-Yagi, A., and Yagi, T. (2007) J. Biol. Chem. 282, 36914-36922). Using mutant E144A, we studied the effect of shifting the glutamate residue to all sites within helix V and three sites each in helix IV and VI on the function of NDH-1. Twenty double site-directed mutants including the mutation E144A were constructed and characterized. None of the mutants showed alteration in the detectable levels of expressed NuoM or on the NDH-1 assembly. In addition, most of the double mutants did not restore the energy transducing NDH-1 activities. Only two mutants E144A/F140E and E144A/L147E, one helix turn downstream and upstream restored the energy transducing activities of NDH-1. Based on these results, a role of Glu(144) for proton translocation has been discussed.","author":[{"dropping-particle":"","family":"Torres-Bacete","given":"Jesus","non-dropping-particle":"","parse-names":false,"suffix":""},{"dropping-particle":"","family":"Sinha","given":"Prem Kumar","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chemistry","id":"ITEM-1","issue":"48","issued":{"date-parts":[["2009","11"]]},"language":"eng","page":"33062-33069","title":"Features of subunit NuoM (ND4) in Escherichia coli NDH-1: TOPOLOGY AND IMPLICATION  OF CONSERVED GLU144 FOR COUPLING SITE 1.","type":"article-journal","volume":"284"},"uris":["http://www.mendeley.com/documents/?uuid=b3b27661-f8a0-44c2-a92d-9a101f514e21"]}],"mendeley":{"formattedCitation":"(Torres-Bacete &lt;i&gt;et al&lt;/i&gt;, 2009)","plainTextFormattedCitation":"(Torres-Bacete et al, 2009)","previouslyFormattedCitation":"(Torres-Bacete &lt;i&gt;et al&lt;/i&gt;, 2009)"},"properties":{"noteIndex":0},"schema":"https://github.com/citation-style-language/schema/raw/master/csl-citation.json"}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(Torres-Bacete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2009)</w:t>
            </w:r>
            <w:r w:rsidRPr="00E97FC1">
              <w:rPr>
                <w:rFonts w:ascii="Helvetica" w:hAnsi="Helvetica" w:cs="Helvetica"/>
                <w:b/>
                <w:bCs/>
                <w:sz w:val="16"/>
                <w:szCs w:val="16"/>
                <w:lang w:val="en-GB"/>
              </w:rPr>
              <w:fldChar w:fldCharType="end"/>
            </w:r>
          </w:p>
        </w:tc>
      </w:tr>
      <w:tr w:rsidR="002471A8" w:rsidRPr="00E97FC1" w14:paraId="14E916BA" w14:textId="77777777" w:rsidTr="002471A8">
        <w:trPr>
          <w:trHeight w:val="65"/>
        </w:trPr>
        <w:tc>
          <w:tcPr>
            <w:tcW w:w="1705" w:type="dxa"/>
          </w:tcPr>
          <w:p w14:paraId="74CFE9E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E144A/F142E</w:t>
            </w:r>
          </w:p>
        </w:tc>
        <w:tc>
          <w:tcPr>
            <w:tcW w:w="2160" w:type="dxa"/>
            <w:vMerge/>
          </w:tcPr>
          <w:p w14:paraId="674E028F" w14:textId="77777777" w:rsidR="002471A8" w:rsidRPr="00E97FC1" w:rsidRDefault="002471A8" w:rsidP="002471A8">
            <w:pPr>
              <w:rPr>
                <w:rFonts w:ascii="Helvetica" w:hAnsi="Helvetica" w:cs="Helvetica"/>
                <w:sz w:val="20"/>
                <w:szCs w:val="20"/>
                <w:lang w:val="en-GB"/>
              </w:rPr>
            </w:pPr>
          </w:p>
        </w:tc>
        <w:tc>
          <w:tcPr>
            <w:tcW w:w="1440" w:type="dxa"/>
          </w:tcPr>
          <w:p w14:paraId="36C523A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43F5B99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103%</w:t>
            </w:r>
          </w:p>
        </w:tc>
        <w:tc>
          <w:tcPr>
            <w:tcW w:w="1260" w:type="dxa"/>
          </w:tcPr>
          <w:p w14:paraId="44DE0D0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3-15%</w:t>
            </w:r>
          </w:p>
        </w:tc>
        <w:tc>
          <w:tcPr>
            <w:tcW w:w="1080" w:type="dxa"/>
          </w:tcPr>
          <w:p w14:paraId="15A7B03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0%</w:t>
            </w:r>
          </w:p>
        </w:tc>
        <w:tc>
          <w:tcPr>
            <w:tcW w:w="1260" w:type="dxa"/>
          </w:tcPr>
          <w:p w14:paraId="5D1F4D65" w14:textId="5D328BD7"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{"citationItems":[{"id":"ITEM-1","itemData":{"DOI":"10.1074/jbc.M109.059154","ISSN":"1083-351X (Electronic)","PMID":"19815558","abstract":"The bacterial H(+)-pumping NADH-quinone oxidoreductase (NDH-1) is an L-shaped  membrane-bound enzymatic complex. Escherichia coli NDH-1 is composed of 13 subunits (NuoA-N). NuoM (ND4) subunit is one of the hydrophobic subunits that constitute the membrane arm of NDH-1 and was predicted to bear 14 helices. We attempted to clarify the membrane topology of NuoM by the introduction of histidine tags into different positions by chromosomal site-directed mutagenesis. From the data, we propose a topology model containing 12 helices (helices I-IX and XII-XIV) located in transmembrane position and two (helices X and XI) present in the cytoplasm. We reported previously that residue Glu(144) of NuoM was located in the membrane (helix V) and was essential for the energy-coupling activities of NDH-1 (Torres-Bacete, J., Nakamaru-Ogiso, E., Matsuno-Yagi, A., and Yagi, T. (2007) J. Biol. Chem. 282, 36914-36922). Using mutant E144A, we studied the effect of shifting the glutamate residue to all sites within helix V and three sites each in helix IV and VI on the function of NDH-1. Twenty double site-directed mutants including the mutation E144A were constructed and characterized. None of the mutants showed alteration in the detectable levels of expressed NuoM or on the NDH-1 assembly. In addition, most of the double mutants did not restore the energy transducing NDH-1 activities. Only two mutants E144A/F140E and E144A/L147E, one helix turn downstream and upstream restored the energy transducing activities of NDH-1. Based on these results, a role of Glu(144) for proton translocation has been discussed.","author":[{"dropping-particle":"","family":"Torres-Bacete","given":"Jesus","non-dropping-particle":"","parse-names":false,"suffix":""},{"dropping-particle":"","family":"Sinha","given":"Prem Kumar","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chemistry","id":"ITEM-1","issue":"48","issued":{"date-parts":[["2009","11"]]},"language":"eng","page":"33062-33069","title":"Features of subunit NuoM (ND4) in Escherichia coli NDH-1: TOPOLOGY AND IMPLICATION  OF CONSERVED GLU144 FOR COUPLING SITE 1.","type":"article-journal","volume":"284"},"uris":["http://www.mendeley.com/documents/?uuid=b3b27661-f8a0-44c2-a92d-9a101f514e21"]}],"mendeley":{"formattedCitation":"(Torres-Bacete &lt;i&gt;et al&lt;/i&gt;, 2009)","plainTextFormattedCitation":"(Torres-Bacete et al, 2009)","previouslyFormattedCitation":"(Torres-Bacete &lt;i&gt;et al&lt;/i&gt;, 2009)"},"properties":{"noteIndex":0},"schema":"https://github.com/citation-style-language/schema/raw/master/csl-citation.json"}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(Torres-Bacete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2009)</w:t>
            </w:r>
            <w:r w:rsidRPr="00E97FC1">
              <w:rPr>
                <w:rFonts w:ascii="Helvetica" w:hAnsi="Helvetica" w:cs="Helvetica"/>
                <w:b/>
                <w:bCs/>
                <w:sz w:val="16"/>
                <w:szCs w:val="16"/>
                <w:lang w:val="en-GB"/>
              </w:rPr>
              <w:fldChar w:fldCharType="end"/>
            </w:r>
          </w:p>
        </w:tc>
      </w:tr>
      <w:tr w:rsidR="002471A8" w:rsidRPr="00E97FC1" w14:paraId="20C1A2DC" w14:textId="77777777" w:rsidTr="002471A8">
        <w:trPr>
          <w:trHeight w:val="65"/>
        </w:trPr>
        <w:tc>
          <w:tcPr>
            <w:tcW w:w="1705" w:type="dxa"/>
          </w:tcPr>
          <w:p w14:paraId="4D199AC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E144A/M146E</w:t>
            </w:r>
          </w:p>
        </w:tc>
        <w:tc>
          <w:tcPr>
            <w:tcW w:w="2160" w:type="dxa"/>
            <w:vMerge/>
          </w:tcPr>
          <w:p w14:paraId="6A53FA37" w14:textId="77777777" w:rsidR="002471A8" w:rsidRPr="00E97FC1" w:rsidRDefault="002471A8" w:rsidP="002471A8">
            <w:pPr>
              <w:rPr>
                <w:rFonts w:ascii="Helvetica" w:hAnsi="Helvetica" w:cs="Helvetica"/>
                <w:sz w:val="20"/>
                <w:szCs w:val="20"/>
                <w:lang w:val="en-GB"/>
              </w:rPr>
            </w:pPr>
          </w:p>
        </w:tc>
        <w:tc>
          <w:tcPr>
            <w:tcW w:w="1440" w:type="dxa"/>
          </w:tcPr>
          <w:p w14:paraId="32B3111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1AA32B3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86%</w:t>
            </w:r>
          </w:p>
        </w:tc>
        <w:tc>
          <w:tcPr>
            <w:tcW w:w="1260" w:type="dxa"/>
          </w:tcPr>
          <w:p w14:paraId="00BCEB7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2-11%</w:t>
            </w:r>
          </w:p>
        </w:tc>
        <w:tc>
          <w:tcPr>
            <w:tcW w:w="1080" w:type="dxa"/>
          </w:tcPr>
          <w:p w14:paraId="6AA206F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0%</w:t>
            </w:r>
          </w:p>
        </w:tc>
        <w:tc>
          <w:tcPr>
            <w:tcW w:w="1260" w:type="dxa"/>
          </w:tcPr>
          <w:p w14:paraId="64F1867F" w14:textId="786A7157"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{"citationItems":[{"id":"ITEM-1","itemData":{"DOI":"10.1074/jbc.M109.059154","ISSN":"1083-351X (Electronic)","PMID":"19815558","abstract":"The bacterial H(+)-pumping NADH-quinone oxidoreductase (NDH-1) is an L-shaped  membrane-bound enzymatic complex. Escherichia coli NDH-1 is composed of 13 subunits (NuoA-N). NuoM (ND4) subunit is one of the hydrophobic subunits that constitute the membrane arm of NDH-1 and was predicted to bear 14 helices. We attempted to clarify the membrane topology of NuoM by the introduction of histidine tags into different positions by chromosomal site-directed mutagenesis. From the data, we propose a topology model containing 12 helices (helices I-IX and XII-XIV) located in transmembrane position and two (helices X and XI) present in the cytoplasm. We reported previously that residue Glu(144) of NuoM was located in the membrane (helix V) and was essential for the energy-coupling activities of NDH-1 (Torres-Bacete, J., Nakamaru-Ogiso, E., Matsuno-Yagi, A., and Yagi, T. (2007) J. Biol. Chem. 282, 36914-36922). Using mutant E144A, we studied the effect of shifting the glutamate residue to all sites within helix V and three sites each in helix IV and VI on the function of NDH-1. Twenty double site-directed mutants including the mutation E144A were constructed and characterized. None of the mutants showed alteration in the detectable levels of expressed NuoM or on the NDH-1 assembly. In addition, most of the double mutants did not restore the energy transducing NDH-1 activities. Only two mutants E144A/F140E and E144A/L147E, one helix turn downstream and upstream restored the energy transducing activities of NDH-1. Based on these results, a role of Glu(144) for proton translocation has been discussed.","author":[{"dropping-particle":"","family":"Torres-Bacete","given":"Jesus","non-dropping-particle":"","parse-names":false,"suffix":""},{"dropping-particle":"","family":"Sinha","given":"Prem Kumar","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chemistry","id":"ITEM-1","issue":"48","issued":{"date-parts":[["2009","11"]]},"language":"eng","page":"33062-33069","title":"Features of subunit NuoM (ND4) in Escherichia coli NDH-1: TOPOLOGY AND IMPLICATION  OF CONSERVED GLU144 FOR COUPLING SITE 1.","type":"article-journal","volume":"284"},"uris":["http://www.mendeley.com/documents/?uuid=b3b27661-f8a0-44c2-a92d-9a101f514e21"]}],"mendeley":{"formattedCitation":"(Torres-Bacete &lt;i&gt;et al&lt;/i&gt;, 2009)","plainTextFormattedCitation":"(Torres-Bacete et al, 2009)","previouslyFormattedCitation":"(Torres-Bacete &lt;i&gt;et al&lt;/i&gt;, 2009)"},"properties":{"noteIndex":0},"schema":"https://github.com/citation-style-language/schema/raw/master/csl-citation.json"}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(Torres-Bacete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2009)</w:t>
            </w:r>
            <w:r w:rsidRPr="00E97FC1">
              <w:rPr>
                <w:rFonts w:ascii="Helvetica" w:hAnsi="Helvetica" w:cs="Helvetica"/>
                <w:b/>
                <w:bCs/>
                <w:sz w:val="16"/>
                <w:szCs w:val="16"/>
                <w:lang w:val="en-GB"/>
              </w:rPr>
              <w:fldChar w:fldCharType="end"/>
            </w:r>
          </w:p>
        </w:tc>
      </w:tr>
      <w:tr w:rsidR="002471A8" w:rsidRPr="00E97FC1" w14:paraId="28A05593" w14:textId="77777777" w:rsidTr="002471A8">
        <w:trPr>
          <w:trHeight w:val="65"/>
        </w:trPr>
        <w:tc>
          <w:tcPr>
            <w:tcW w:w="1705" w:type="dxa"/>
          </w:tcPr>
          <w:p w14:paraId="3F919AE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E144A/P149E</w:t>
            </w:r>
          </w:p>
        </w:tc>
        <w:tc>
          <w:tcPr>
            <w:tcW w:w="2160" w:type="dxa"/>
            <w:vMerge/>
          </w:tcPr>
          <w:p w14:paraId="4FF0669C" w14:textId="77777777" w:rsidR="002471A8" w:rsidRPr="00E97FC1" w:rsidRDefault="002471A8" w:rsidP="002471A8">
            <w:pPr>
              <w:rPr>
                <w:rFonts w:ascii="Helvetica" w:hAnsi="Helvetica" w:cs="Helvetica"/>
                <w:sz w:val="20"/>
                <w:szCs w:val="20"/>
                <w:lang w:val="en-GB"/>
              </w:rPr>
            </w:pPr>
          </w:p>
        </w:tc>
        <w:tc>
          <w:tcPr>
            <w:tcW w:w="1440" w:type="dxa"/>
          </w:tcPr>
          <w:p w14:paraId="549D4E9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31DC70C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88%</w:t>
            </w:r>
          </w:p>
        </w:tc>
        <w:tc>
          <w:tcPr>
            <w:tcW w:w="1260" w:type="dxa"/>
          </w:tcPr>
          <w:p w14:paraId="70DFB3D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4-10%</w:t>
            </w:r>
          </w:p>
        </w:tc>
        <w:tc>
          <w:tcPr>
            <w:tcW w:w="1080" w:type="dxa"/>
          </w:tcPr>
          <w:p w14:paraId="51045E9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0%</w:t>
            </w:r>
          </w:p>
        </w:tc>
        <w:tc>
          <w:tcPr>
            <w:tcW w:w="1260" w:type="dxa"/>
          </w:tcPr>
          <w:p w14:paraId="2FAD5B9D" w14:textId="731471A7"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{"citationItems":[{"id":"ITEM-1","itemData":{"DOI":"10.1074/jbc.M109.059154","ISSN":"1083-351X (Electronic)","PMID":"19815558","abstract":"The bacterial H(+)-pumping NADH-quinone oxidoreductase (NDH-1) is an L-shaped  membrane-bound enzymatic complex. Escherichia coli NDH-1 is composed of 13 subunits (NuoA-N). NuoM (ND4) subunit is one of the hydrophobic subunits that constitute the membrane arm of NDH-1 and was predicted to bear 14 helices. We attempted to clarify the membrane topology of NuoM by the introduction of histidine tags into different positions by chromosomal site-directed mutagenesis. From the data, we propose a topology model containing 12 helices (helices I-IX and XII-XIV) located in transmembrane position and two (helices X and XI) present in the cytoplasm. We reported previously that residue Glu(144) of NuoM was located in the membrane (helix V) and was essential for the energy-coupling activities of NDH-1 (Torres-Bacete, J., Nakamaru-Ogiso, E., Matsuno-Yagi, A., and Yagi, T. (2007) J. Biol. Chem. 282, 36914-36922). Using mutant E144A, we studied the effect of shifting the glutamate residue to all sites within helix V and three sites each in helix IV and VI on the function of NDH-1. Twenty double site-directed mutants including the mutation E144A were constructed and characterized. None of the mutants showed alteration in the detectable levels of expressed NuoM or on the NDH-1 assembly. In addition, most of the double mutants did not restore the energy transducing NDH-1 activities. Only two mutants E144A/F140E and E144A/L147E, one helix turn downstream and upstream restored the energy transducing activities of NDH-1. Based on these results, a role of Glu(144) for proton translocation has been discussed.","author":[{"dropping-particle":"","family":"Torres-Bacete","given":"Jesus","non-dropping-particle":"","parse-names":false,"suffix":""},{"dropping-particle":"","family":"Sinha","given":"Prem Kumar","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chemistry","id":"ITEM-1","issue":"48","issued":{"date-parts":[["2009","11"]]},"language":"eng","page":"33062-33069","title":"Features of subunit NuoM (ND4) in Escherichia coli NDH-1: TOPOLOGY AND IMPLICATION  OF CONSERVED GLU144 FOR COUPLING SITE 1.","type":"article-journal","volume":"284"},"uris":["http://www.mendeley.com/documents/?uuid=b3b27661-f8a0-44c2-a92d-9a101f514e21"]}],"mendeley":{"formattedCitation":"(Torres-Bacete &lt;i&gt;et al&lt;/i&gt;, 2009)","plainTextFormattedCitation":"(Torres-Bacete et al, 2009)","previouslyFormattedCitation":"(Torres-Bacete &lt;i&gt;et al&lt;/i&gt;, 2009)"},"properties":{"noteIndex":0},"schema":"https://github.com/citation-style-language/schema/raw/master/csl-citation.json"}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(Torres-Bacete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2009)</w:t>
            </w:r>
            <w:r w:rsidRPr="00E97FC1">
              <w:rPr>
                <w:rFonts w:ascii="Helvetica" w:hAnsi="Helvetica" w:cs="Helvetica"/>
                <w:b/>
                <w:bCs/>
                <w:sz w:val="16"/>
                <w:szCs w:val="16"/>
                <w:lang w:val="en-GB"/>
              </w:rPr>
              <w:fldChar w:fldCharType="end"/>
            </w:r>
          </w:p>
        </w:tc>
      </w:tr>
      <w:tr w:rsidR="002471A8" w:rsidRPr="00E97FC1" w14:paraId="76DCCD00" w14:textId="77777777" w:rsidTr="002471A8">
        <w:trPr>
          <w:trHeight w:val="65"/>
        </w:trPr>
        <w:tc>
          <w:tcPr>
            <w:tcW w:w="1705" w:type="dxa"/>
          </w:tcPr>
          <w:p w14:paraId="29FFC37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E144A/M150E</w:t>
            </w:r>
          </w:p>
        </w:tc>
        <w:tc>
          <w:tcPr>
            <w:tcW w:w="2160" w:type="dxa"/>
            <w:vMerge/>
          </w:tcPr>
          <w:p w14:paraId="53F99420" w14:textId="77777777" w:rsidR="002471A8" w:rsidRPr="00E97FC1" w:rsidRDefault="002471A8" w:rsidP="002471A8">
            <w:pPr>
              <w:rPr>
                <w:rFonts w:ascii="Helvetica" w:hAnsi="Helvetica" w:cs="Helvetica"/>
                <w:sz w:val="20"/>
                <w:szCs w:val="20"/>
                <w:lang w:val="en-GB"/>
              </w:rPr>
            </w:pPr>
          </w:p>
        </w:tc>
        <w:tc>
          <w:tcPr>
            <w:tcW w:w="1440" w:type="dxa"/>
          </w:tcPr>
          <w:p w14:paraId="28B473C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2DCB7A0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93%</w:t>
            </w:r>
          </w:p>
        </w:tc>
        <w:tc>
          <w:tcPr>
            <w:tcW w:w="1260" w:type="dxa"/>
          </w:tcPr>
          <w:p w14:paraId="72164B3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2-12%</w:t>
            </w:r>
          </w:p>
        </w:tc>
        <w:tc>
          <w:tcPr>
            <w:tcW w:w="1080" w:type="dxa"/>
          </w:tcPr>
          <w:p w14:paraId="5C507EE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0%</w:t>
            </w:r>
          </w:p>
        </w:tc>
        <w:tc>
          <w:tcPr>
            <w:tcW w:w="1260" w:type="dxa"/>
          </w:tcPr>
          <w:p w14:paraId="172162ED" w14:textId="0708E8CA"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{"citationItems":[{"id":"ITEM-1","itemData":{"DOI":"10.1074/jbc.M109.059154","ISSN":"1083-351X (Electronic)","PMID":"19815558","abstract":"The bacterial H(+)-pumping NADH-quinone oxidoreductase (NDH-1) is an L-shaped  membrane-bound enzymatic complex. Escherichia coli NDH-1 is composed of 13 subunits (NuoA-N). NuoM (ND4) subunit is one of the hydrophobic subunits that constitute the membrane arm of NDH-1 and was predicted to bear 14 helices. We attempted to clarify the membrane topology of NuoM by the introduction of histidine tags into different positions by chromosomal site-directed mutagenesis. From the data, we propose a topology model containing 12 helices (helices I-IX and XII-XIV) located in transmembrane position and two (helices X and XI) present in the cytoplasm. We reported previously that residue Glu(144) of NuoM was located in the membrane (helix V) and was essential for the energy-coupling activities of NDH-1 (Torres-Bacete, J., Nakamaru-Ogiso, E., Matsuno-Yagi, A., and Yagi, T. (2007) J. Biol. Chem. 282, 36914-36922). Using mutant E144A, we studied the effect of shifting the glutamate residue to all sites within helix V and three sites each in helix IV and VI on the function of NDH-1. Twenty double site-directed mutants including the mutation E144A were constructed and characterized. None of the mutants showed alteration in the detectable levels of expressed NuoM or on the NDH-1 assembly. In addition, most of the double mutants did not restore the energy transducing NDH-1 activities. Only two mutants E144A/F140E and E144A/L147E, one helix turn downstream and upstream restored the energy transducing activities of NDH-1. Based on these results, a role of Glu(144) for proton translocation has been discussed.","author":[{"dropping-particle":"","family":"Torres-Bacete","given":"Jesus","non-dropping-particle":"","parse-names":false,"suffix":""},{"dropping-particle":"","family":"Sinha","given":"Prem Kumar","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chemistry","id":"ITEM-1","issue":"48","issued":{"date-parts":[["2009","11"]]},"language":"eng","page":"33062-33069","title":"Features of subunit NuoM (ND4) in Escherichia coli NDH-1: TOPOLOGY AND IMPLICATION  OF CONSERVED GLU144 FOR COUPLING SITE 1.","type":"article-journal","volume":"284"},"uris":["http://www.mendeley.com/documents/?uuid=b3b27661-f8a0-44c2-a92d-9a101f514e21"]}],"mendeley":{"formattedCitation":"(Torres-Bacete &lt;i&gt;et al&lt;/i&gt;, 2009)","plainTextFormattedCitation":"(Torres-Bacete et al, 2009)","previouslyFormattedCitation":"(Torres-Bacete &lt;i&gt;et al&lt;/i&gt;, 2009)"},"properties":{"noteIndex":0},"schema":"https://github.com/citation-style-language/schema/raw/master/csl-citation.json"}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(Torres-Bacete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2009)</w:t>
            </w:r>
            <w:r w:rsidRPr="00E97FC1">
              <w:rPr>
                <w:rFonts w:ascii="Helvetica" w:hAnsi="Helvetica" w:cs="Helvetica"/>
                <w:b/>
                <w:bCs/>
                <w:sz w:val="16"/>
                <w:szCs w:val="16"/>
                <w:lang w:val="en-GB"/>
              </w:rPr>
              <w:fldChar w:fldCharType="end"/>
            </w:r>
          </w:p>
        </w:tc>
      </w:tr>
      <w:tr w:rsidR="002471A8" w:rsidRPr="00E97FC1" w14:paraId="143C94CC" w14:textId="77777777" w:rsidTr="002471A8">
        <w:trPr>
          <w:trHeight w:val="65"/>
        </w:trPr>
        <w:tc>
          <w:tcPr>
            <w:tcW w:w="1705" w:type="dxa"/>
          </w:tcPr>
          <w:p w14:paraId="0FB16DF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E144A/Y151E</w:t>
            </w:r>
          </w:p>
        </w:tc>
        <w:tc>
          <w:tcPr>
            <w:tcW w:w="2160" w:type="dxa"/>
            <w:vMerge/>
          </w:tcPr>
          <w:p w14:paraId="24D4650A" w14:textId="77777777" w:rsidR="002471A8" w:rsidRPr="00E97FC1" w:rsidRDefault="002471A8" w:rsidP="002471A8">
            <w:pPr>
              <w:rPr>
                <w:rFonts w:ascii="Helvetica" w:hAnsi="Helvetica" w:cs="Helvetica"/>
                <w:sz w:val="20"/>
                <w:szCs w:val="20"/>
                <w:lang w:val="en-GB"/>
              </w:rPr>
            </w:pPr>
          </w:p>
        </w:tc>
        <w:tc>
          <w:tcPr>
            <w:tcW w:w="1440" w:type="dxa"/>
          </w:tcPr>
          <w:p w14:paraId="0334EEFA"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20C0A51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98%</w:t>
            </w:r>
          </w:p>
        </w:tc>
        <w:tc>
          <w:tcPr>
            <w:tcW w:w="1260" w:type="dxa"/>
          </w:tcPr>
          <w:p w14:paraId="198A4D0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3-10%</w:t>
            </w:r>
          </w:p>
        </w:tc>
        <w:tc>
          <w:tcPr>
            <w:tcW w:w="1080" w:type="dxa"/>
          </w:tcPr>
          <w:p w14:paraId="69B9148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0%</w:t>
            </w:r>
          </w:p>
        </w:tc>
        <w:tc>
          <w:tcPr>
            <w:tcW w:w="1260" w:type="dxa"/>
          </w:tcPr>
          <w:p w14:paraId="7C56425B" w14:textId="1A966F22"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{"citationItems":[{"id":"ITEM-1","itemData":{"DOI":"10.1074/jbc.M109.059154","ISSN":"1083-351X (Electronic)","PMID":"19815558","abstract":"The bacterial H(+)-pumping NADH-quinone oxidoreductase (NDH-1) is an L-shaped  membrane-bound enzymatic complex. Escherichia coli NDH-1 is composed of 13 subunits (NuoA-N). NuoM (ND4) subunit is one of the hydrophobic subunits that constitute the membrane arm of NDH-1 and was predicted to bear 14 helices. We attempted to clarify the membrane topology of NuoM by the introduction of histidine tags into different positions by chromosomal site-directed mutagenesis. From the data, we propose a topology model containing 12 helices (helices I-IX and XII-XIV) located in transmembrane position and two (helices X and XI) present in the cytoplasm. We reported previously that residue Glu(144) of NuoM was located in the membrane (helix V) and was essential for the energy-coupling activities of NDH-1 (Torres-Bacete, J., Nakamaru-Ogiso, E., Matsuno-Yagi, A., and Yagi, T. (2007) J. Biol. Chem. 282, 36914-36922). Using mutant E144A, we studied the effect of shifting the glutamate residue to all sites within helix V and three sites each in helix IV and VI on the function of NDH-1. Twenty double site-directed mutants including the mutation E144A were constructed and characterized. None of the mutants showed alteration in the detectable levels of expressed NuoM or on the NDH-1 assembly. In addition, most of the double mutants did not restore the energy transducing NDH-1 activities. Only two mutants E144A/F140E and E144A/L147E, one helix turn downstream and upstream restored the energy transducing activities of NDH-1. Based on these results, a role of Glu(144) for proton translocation has been discussed.","author":[{"dropping-particle":"","family":"Torres-Bacete","given":"Jesus","non-dropping-particle":"","parse-names":false,"suffix":""},{"dropping-particle":"","family":"Sinha","given":"Prem Kumar","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chemistry","id":"ITEM-1","issue":"48","issued":{"date-parts":[["2009","11"]]},"language":"eng","page":"33062-33069","title":"Features of subunit NuoM (ND4) in Escherichia coli NDH-1: TOPOLOGY AND IMPLICATION  OF CONSERVED GLU144 FOR COUPLING SITE 1.","type":"article-journal","volume":"284"},"uris":["http://www.mendeley.com/documents/?uuid=b3b27661-f8a0-44c2-a92d-9a101f514e21"]}],"mendeley":{"formattedCitation":"(Torres-Bacete &lt;i&gt;et al&lt;/i&gt;, 2009)","plainTextFormattedCitation":"(Torres-Bacete et al, 2009)","previouslyFormattedCitation":"(Torres-Bacete &lt;i&gt;et al&lt;/i&gt;, 2009)"},"properties":{"noteIndex":0},"schema":"https://github.com/citation-style-language/schema/raw/master/csl-citation.json"}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(Torres-Bacete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2009)</w:t>
            </w:r>
            <w:r w:rsidRPr="00E97FC1">
              <w:rPr>
                <w:rFonts w:ascii="Helvetica" w:hAnsi="Helvetica" w:cs="Helvetica"/>
                <w:b/>
                <w:bCs/>
                <w:sz w:val="16"/>
                <w:szCs w:val="16"/>
                <w:lang w:val="en-GB"/>
              </w:rPr>
              <w:fldChar w:fldCharType="end"/>
            </w:r>
          </w:p>
        </w:tc>
      </w:tr>
      <w:tr w:rsidR="002471A8" w:rsidRPr="00E97FC1" w14:paraId="02B35B4F" w14:textId="77777777" w:rsidTr="002471A8">
        <w:trPr>
          <w:trHeight w:val="65"/>
        </w:trPr>
        <w:tc>
          <w:tcPr>
            <w:tcW w:w="1705" w:type="dxa"/>
          </w:tcPr>
          <w:p w14:paraId="732513C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E144A/L153E</w:t>
            </w:r>
          </w:p>
        </w:tc>
        <w:tc>
          <w:tcPr>
            <w:tcW w:w="2160" w:type="dxa"/>
            <w:vMerge/>
          </w:tcPr>
          <w:p w14:paraId="70747F93" w14:textId="77777777" w:rsidR="002471A8" w:rsidRPr="00E97FC1" w:rsidRDefault="002471A8" w:rsidP="002471A8">
            <w:pPr>
              <w:rPr>
                <w:rFonts w:ascii="Helvetica" w:hAnsi="Helvetica" w:cs="Helvetica"/>
                <w:sz w:val="20"/>
                <w:szCs w:val="20"/>
                <w:lang w:val="en-GB"/>
              </w:rPr>
            </w:pPr>
          </w:p>
        </w:tc>
        <w:tc>
          <w:tcPr>
            <w:tcW w:w="1440" w:type="dxa"/>
          </w:tcPr>
          <w:p w14:paraId="404F12E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3495F6E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91%</w:t>
            </w:r>
          </w:p>
        </w:tc>
        <w:tc>
          <w:tcPr>
            <w:tcW w:w="1260" w:type="dxa"/>
          </w:tcPr>
          <w:p w14:paraId="782E99F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3-13%</w:t>
            </w:r>
          </w:p>
        </w:tc>
        <w:tc>
          <w:tcPr>
            <w:tcW w:w="1080" w:type="dxa"/>
          </w:tcPr>
          <w:p w14:paraId="2ED6927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0%</w:t>
            </w:r>
          </w:p>
        </w:tc>
        <w:tc>
          <w:tcPr>
            <w:tcW w:w="1260" w:type="dxa"/>
          </w:tcPr>
          <w:p w14:paraId="78BCEBEA" w14:textId="7DED0F3F"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{"citationItems":[{"id":"ITEM-1","itemData":{"DOI":"10.1074/jbc.M109.059154","ISSN":"1083-351X (Electronic)","PMID":"19815558","abstract":"The bacterial H(+)-pumping NADH-quinone oxidoreductase (NDH-1) is an L-shaped  membrane-bound enzymatic complex. Escherichia coli NDH-1 is composed of 13 subunits (NuoA-N). NuoM (ND4) subunit is one of the hydrophobic subunits that constitute the membrane arm of NDH-1 and was predicted to bear 14 helices. We attempted to clarify the membrane topology of NuoM by the introduction of histidine tags into different positions by chromosomal site-directed mutagenesis. From the data, we propose a topology model containing 12 helices (helices I-IX and XII-XIV) located in transmembrane position and two (helices X and XI) present in the cytoplasm. We reported previously that residue Glu(144) of NuoM was located in the membrane (helix V) and was essential for the energy-coupling activities of NDH-1 (Torres-Bacete, J., Nakamaru-Ogiso, E., Matsuno-Yagi, A., and Yagi, T. (2007) J. Biol. Chem. 282, 36914-36922). Using mutant E144A, we studied the effect of shifting the glutamate residue to all sites within helix V and three sites each in helix IV and VI on the function of NDH-1. Twenty double site-directed mutants including the mutation E144A were constructed and characterized. None of the mutants showed alteration in the detectable levels of expressed NuoM or on the NDH-1 assembly. In addition, most of the double mutants did not restore the energy transducing NDH-1 activities. Only two mutants E144A/F140E and E144A/L147E, one helix turn downstream and upstream restored the energy transducing activities of NDH-1. Based on these results, a role of Glu(144) for proton translocation has been discussed.","author":[{"dropping-particle":"","family":"Torres-Bacete","given":"Jesus","non-dropping-particle":"","parse-names":false,"suffix":""},{"dropping-particle":"","family":"Sinha","given":"Prem Kumar","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chemistry","id":"ITEM-1","issue":"48","issued":{"date-parts":[["2009","11"]]},"language":"eng","page":"33062-33069","title":"Features of subunit NuoM (ND4) in Escherichia coli NDH-1: TOPOLOGY AND IMPLICATION  OF CONSERVED GLU144 FOR COUPLING SITE 1.","type":"article-journal","volume":"284"},"uris":["http://www.mendeley.com/documents/?uuid=b3b27661-f8a0-44c2-a92d-9a101f514e21"]}],"mendeley":{"formattedCitation":"(Torres-Bacete &lt;i&gt;et al&lt;/i&gt;, 2009)","plainTextFormattedCitation":"(Torres-Bacete et al, 2009)","previouslyFormattedCitation":"(Torres-Bacete &lt;i&gt;et al&lt;/i&gt;, 2009)"},"properties":{"noteIndex":0},"schema":"https://github.com/citation-style-language/schema/raw/master/csl-citation.json"}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(Torres-Bacete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2009)</w:t>
            </w:r>
            <w:r w:rsidRPr="00E97FC1">
              <w:rPr>
                <w:rFonts w:ascii="Helvetica" w:hAnsi="Helvetica" w:cs="Helvetica"/>
                <w:b/>
                <w:bCs/>
                <w:sz w:val="16"/>
                <w:szCs w:val="16"/>
                <w:lang w:val="en-GB"/>
              </w:rPr>
              <w:fldChar w:fldCharType="end"/>
            </w:r>
          </w:p>
        </w:tc>
      </w:tr>
      <w:tr w:rsidR="002471A8" w:rsidRPr="00E97FC1" w14:paraId="607D5970" w14:textId="77777777" w:rsidTr="002471A8">
        <w:trPr>
          <w:trHeight w:val="65"/>
        </w:trPr>
        <w:tc>
          <w:tcPr>
            <w:tcW w:w="1705" w:type="dxa"/>
          </w:tcPr>
          <w:p w14:paraId="35C29D5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E144A/V127E</w:t>
            </w:r>
          </w:p>
        </w:tc>
        <w:tc>
          <w:tcPr>
            <w:tcW w:w="2160" w:type="dxa"/>
            <w:vMerge/>
          </w:tcPr>
          <w:p w14:paraId="061C1DC9" w14:textId="77777777" w:rsidR="002471A8" w:rsidRPr="00E97FC1" w:rsidRDefault="002471A8" w:rsidP="002471A8">
            <w:pPr>
              <w:rPr>
                <w:rFonts w:ascii="Helvetica" w:hAnsi="Helvetica" w:cs="Helvetica"/>
                <w:sz w:val="20"/>
                <w:szCs w:val="20"/>
                <w:lang w:val="en-GB"/>
              </w:rPr>
            </w:pPr>
          </w:p>
        </w:tc>
        <w:tc>
          <w:tcPr>
            <w:tcW w:w="1440" w:type="dxa"/>
          </w:tcPr>
          <w:p w14:paraId="7FAF4B1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02E0652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95%</w:t>
            </w:r>
          </w:p>
        </w:tc>
        <w:tc>
          <w:tcPr>
            <w:tcW w:w="1260" w:type="dxa"/>
          </w:tcPr>
          <w:p w14:paraId="7594909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3%</w:t>
            </w:r>
          </w:p>
        </w:tc>
        <w:tc>
          <w:tcPr>
            <w:tcW w:w="1080" w:type="dxa"/>
          </w:tcPr>
          <w:p w14:paraId="5F7C808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0%</w:t>
            </w:r>
          </w:p>
        </w:tc>
        <w:tc>
          <w:tcPr>
            <w:tcW w:w="1260" w:type="dxa"/>
          </w:tcPr>
          <w:p w14:paraId="465C5D8A" w14:textId="4658EA5B"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{"citationItems":[{"id":"ITEM-1","itemData":{"DOI":"10.1074/jbc.M109.059154","ISSN":"1083-351X (Electronic)","PMID":"19815558","abstract":"The bacterial H(+)-pumping NADH-quinone oxidoreductase (NDH-1) is an L-shaped  membrane-bound enzymatic complex. Escherichia coli NDH-1 is composed of 13 subunits (NuoA-N). NuoM (ND4) subunit is one of the hydrophobic subunits that constitute the membrane arm of NDH-1 and was predicted to bear 14 helices. We attempted to clarify the membrane topology of NuoM by the introduction of histidine tags into different positions by chromosomal site-directed mutagenesis. From the data, we propose a topology model containing 12 helices (helices I-IX and XII-XIV) located in transmembrane position and two (helices X and XI) present in the cytoplasm. We reported previously that residue Glu(144) of NuoM was located in the membrane (helix V) and was essential for the energy-coupling activities of NDH-1 (Torres-Bacete, J., Nakamaru-Ogiso, E., Matsuno-Yagi, A., and Yagi, T. (2007) J. Biol. Chem. 282, 36914-36922). Using mutant E144A, we studied the effect of shifting the glutamate residue to all sites within helix V and three sites each in helix IV and VI on the function of NDH-1. Twenty double site-directed mutants including the mutation E144A were constructed and characterized. None of the mutants showed alteration in the detectable levels of expressed NuoM or on the NDH-1 assembly. In addition, most of the double mutants did not restore the energy transducing NDH-1 activities. Only two mutants E144A/F140E and E144A/L147E, one helix turn downstream and upstream restored the energy transducing activities of NDH-1. Based on these results, a role of Glu(144) for proton translocation has been discussed.","author":[{"dropping-particle":"","family":"Torres-Bacete","given":"Jesus","non-dropping-particle":"","parse-names":false,"suffix":""},{"dropping-particle":"","family":"Sinha","given":"Prem Kumar","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chemistry","id":"ITEM-1","issue":"48","issued":{"date-parts":[["2009","11"]]},"language":"eng","page":"33062-33069","title":"Features of subunit NuoM (ND4) in Escherichia coli NDH-1: TOPOLOGY AND IMPLICATION  OF CONSERVED GLU144 FOR COUPLING SITE 1.","type":"article-journal","volume":"284"},"uris":["http://www.mendeley.com/documents/?uuid=b3b27661-f8a0-44c2-a92d-9a101f514e21"]}],"mendeley":{"formattedCitation":"(Torres-Bacete &lt;i&gt;et al&lt;/i&gt;, 2009)","plainTextFormattedCitation":"(Torres-Bacete et al, 2009)","previouslyFormattedCitation":"(Torres-Bacete &lt;i&gt;et al&lt;/i&gt;, 2009)"},"properties":{"noteIndex":0},"schema":"https://github.com/citation-style-language/schema/raw/master/csl-citation.json"}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(Torres-Bacete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2009)</w:t>
            </w:r>
            <w:r w:rsidRPr="00E97FC1">
              <w:rPr>
                <w:rFonts w:ascii="Helvetica" w:hAnsi="Helvetica" w:cs="Helvetica"/>
                <w:b/>
                <w:bCs/>
                <w:sz w:val="16"/>
                <w:szCs w:val="16"/>
                <w:lang w:val="en-GB"/>
              </w:rPr>
              <w:fldChar w:fldCharType="end"/>
            </w:r>
          </w:p>
        </w:tc>
      </w:tr>
      <w:tr w:rsidR="002471A8" w:rsidRPr="00E97FC1" w14:paraId="67C4F7EA" w14:textId="77777777" w:rsidTr="002471A8">
        <w:trPr>
          <w:trHeight w:val="65"/>
        </w:trPr>
        <w:tc>
          <w:tcPr>
            <w:tcW w:w="1705" w:type="dxa"/>
          </w:tcPr>
          <w:p w14:paraId="43DD038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E144A/I128E</w:t>
            </w:r>
          </w:p>
        </w:tc>
        <w:tc>
          <w:tcPr>
            <w:tcW w:w="2160" w:type="dxa"/>
            <w:vMerge/>
          </w:tcPr>
          <w:p w14:paraId="10DCB307" w14:textId="77777777" w:rsidR="002471A8" w:rsidRPr="00E97FC1" w:rsidRDefault="002471A8" w:rsidP="002471A8">
            <w:pPr>
              <w:rPr>
                <w:rFonts w:ascii="Helvetica" w:hAnsi="Helvetica" w:cs="Helvetica"/>
                <w:sz w:val="20"/>
                <w:szCs w:val="20"/>
                <w:lang w:val="en-GB"/>
              </w:rPr>
            </w:pPr>
          </w:p>
        </w:tc>
        <w:tc>
          <w:tcPr>
            <w:tcW w:w="1440" w:type="dxa"/>
          </w:tcPr>
          <w:p w14:paraId="7DCCBF5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32D6A9A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109%</w:t>
            </w:r>
          </w:p>
        </w:tc>
        <w:tc>
          <w:tcPr>
            <w:tcW w:w="1260" w:type="dxa"/>
          </w:tcPr>
          <w:p w14:paraId="70384FF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3-13%</w:t>
            </w:r>
          </w:p>
        </w:tc>
        <w:tc>
          <w:tcPr>
            <w:tcW w:w="1080" w:type="dxa"/>
          </w:tcPr>
          <w:p w14:paraId="3B60120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0%</w:t>
            </w:r>
          </w:p>
        </w:tc>
        <w:tc>
          <w:tcPr>
            <w:tcW w:w="1260" w:type="dxa"/>
          </w:tcPr>
          <w:p w14:paraId="6F9FFD4A" w14:textId="717D0AE2"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{"citationItems":[{"id":"ITEM-1","itemData":{"DOI":"10.1074/jbc.M109.059154","ISSN":"1083-351X (Electronic)","PMID":"19815558","abstract":"The bacterial H(+)-pumping NADH-quinone oxidoreductase (NDH-1) is an L-shaped  membrane-bound enzymatic complex. Escherichia coli NDH-1 is composed of 13 subunits (NuoA-N). NuoM (ND4) subunit is one of the hydrophobic subunits that constitute the membrane arm of NDH-1 and was predicted to bear 14 helices. We attempted to clarify the membrane topology of NuoM by the introduction of histidine tags into different positions by chromosomal site-directed mutagenesis. From the data, we propose a topology model containing 12 helices (helices I-IX and XII-XIV) located in transmembrane position and two (helices X and XI) present in the cytoplasm. We reported previously that residue Glu(144) of NuoM was located in the membrane (helix V) and was essential for the energy-coupling activities of NDH-1 (Torres-Bacete, J., Nakamaru-Ogiso, E., Matsuno-Yagi, A., and Yagi, T. (2007) J. Biol. Chem. 282, 36914-36922). Using mutant E144A, we studied the effect of shifting the glutamate residue to all sites within helix V and three sites each in helix IV and VI on the function of NDH-1. Twenty double site-directed mutants including the mutation E144A were constructed and characterized. None of the mutants showed alteration in the detectable levels of expressed NuoM or on the NDH-1 assembly. In addition, most of the double mutants did not restore the energy transducing NDH-1 activities. Only two mutants E144A/F140E and E144A/L147E, one helix turn downstream and upstream restored the energy transducing activities of NDH-1. Based on these results, a role of Glu(144) for proton translocation has been discussed.","author":[{"dropping-particle":"","family":"Torres-Bacete","given":"Jesus","non-dropping-particle":"","parse-names":false,"suffix":""},{"dropping-particle":"","family":"Sinha","given":"Prem Kumar","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chemistry","id":"ITEM-1","issue":"48","issued":{"date-parts":[["2009","11"]]},"language":"eng","page":"33062-33069","title":"Features of subunit NuoM (ND4) in Escherichia coli NDH-1: TOPOLOGY AND IMPLICATION  OF CONSERVED GLU144 FOR COUPLING SITE 1.","type":"article-journal","volume":"284"},"uris":["http://www.mendeley.com/documents/?uuid=b3b27661-f8a0-44c2-a92d-9a101f514e21"]}],"mendeley":{"formattedCitation":"(Torres-Bacete &lt;i&gt;et al&lt;/i&gt;, 2009)","plainTextFormattedCitation":"(Torres-Bacete et al, 2009)","previouslyFormattedCitation":"(Torres-Bacete &lt;i&gt;et al&lt;/i&gt;, 2009)"},"properties":{"noteIndex":0},"schema":"https://github.com/citation-style-language/schema/raw/master/csl-citation.json"}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(Torres-Bacete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2009)</w:t>
            </w:r>
            <w:r w:rsidRPr="00E97FC1">
              <w:rPr>
                <w:rFonts w:ascii="Helvetica" w:hAnsi="Helvetica" w:cs="Helvetica"/>
                <w:b/>
                <w:bCs/>
                <w:sz w:val="16"/>
                <w:szCs w:val="16"/>
                <w:lang w:val="en-GB"/>
              </w:rPr>
              <w:fldChar w:fldCharType="end"/>
            </w:r>
          </w:p>
        </w:tc>
      </w:tr>
      <w:tr w:rsidR="002471A8" w:rsidRPr="00E97FC1" w14:paraId="3F832DE8" w14:textId="77777777" w:rsidTr="002471A8">
        <w:trPr>
          <w:trHeight w:val="65"/>
        </w:trPr>
        <w:tc>
          <w:tcPr>
            <w:tcW w:w="1705" w:type="dxa"/>
          </w:tcPr>
          <w:p w14:paraId="0A67CBEA"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lastRenderedPageBreak/>
              <w:t>E144A/G129E</w:t>
            </w:r>
          </w:p>
        </w:tc>
        <w:tc>
          <w:tcPr>
            <w:tcW w:w="2160" w:type="dxa"/>
            <w:vMerge/>
          </w:tcPr>
          <w:p w14:paraId="4B0685CE" w14:textId="77777777" w:rsidR="002471A8" w:rsidRPr="00E97FC1" w:rsidRDefault="002471A8" w:rsidP="002471A8">
            <w:pPr>
              <w:rPr>
                <w:rFonts w:ascii="Helvetica" w:hAnsi="Helvetica" w:cs="Helvetica"/>
                <w:sz w:val="20"/>
                <w:szCs w:val="20"/>
                <w:lang w:val="en-GB"/>
              </w:rPr>
            </w:pPr>
          </w:p>
        </w:tc>
        <w:tc>
          <w:tcPr>
            <w:tcW w:w="1440" w:type="dxa"/>
          </w:tcPr>
          <w:p w14:paraId="544819B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6D0F27D7"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85%</w:t>
            </w:r>
          </w:p>
        </w:tc>
        <w:tc>
          <w:tcPr>
            <w:tcW w:w="1260" w:type="dxa"/>
          </w:tcPr>
          <w:p w14:paraId="7978634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5-12%</w:t>
            </w:r>
          </w:p>
        </w:tc>
        <w:tc>
          <w:tcPr>
            <w:tcW w:w="1080" w:type="dxa"/>
          </w:tcPr>
          <w:p w14:paraId="1A869F7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0%</w:t>
            </w:r>
          </w:p>
        </w:tc>
        <w:tc>
          <w:tcPr>
            <w:tcW w:w="1260" w:type="dxa"/>
          </w:tcPr>
          <w:p w14:paraId="399FB8D9" w14:textId="0A41B5D2"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{"citationItems":[{"id":"ITEM-1","itemData":{"DOI":"10.1074/jbc.M109.059154","ISSN":"1083-351X (Electronic)","PMID":"19815558","abstract":"The bacterial H(+)-pumping NADH-quinone oxidoreductase (NDH-1) is an L-shaped  membrane-bound enzymatic complex. Escherichia coli NDH-1 is composed of 13 subunits (NuoA-N). NuoM (ND4) subunit is one of the hydrophobic subunits that constitute the membrane arm of NDH-1 and was predicted to bear 14 helices. We attempted to clarify the membrane topology of NuoM by the introduction of histidine tags into different positions by chromosomal site-directed mutagenesis. From the data, we propose a topology model containing 12 helices (helices I-IX and XII-XIV) located in transmembrane position and two (helices X and XI) present in the cytoplasm. We reported previously that residue Glu(144) of NuoM was located in the membrane (helix V) and was essential for the energy-coupling activities of NDH-1 (Torres-Bacete, J., Nakamaru-Ogiso, E., Matsuno-Yagi, A., and Yagi, T. (2007) J. Biol. Chem. 282, 36914-36922). Using mutant E144A, we studied the effect of shifting the glutamate residue to all sites within helix V and three sites each in helix IV and VI on the function of NDH-1. Twenty double site-directed mutants including the mutation E144A were constructed and characterized. None of the mutants showed alteration in the detectable levels of expressed NuoM or on the NDH-1 assembly. In addition, most of the double mutants did not restore the energy transducing NDH-1 activities. Only two mutants E144A/F140E and E144A/L147E, one helix turn downstream and upstream restored the energy transducing activities of NDH-1. Based on these results, a role of Glu(144) for proton translocation has been discussed.","author":[{"dropping-particle":"","family":"Torres-Bacete","given":"Jesus","non-dropping-particle":"","parse-names":false,"suffix":""},{"dropping-particle":"","family":"Sinha","given":"Prem Kumar","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chemistry","id":"ITEM-1","issue":"48","issued":{"date-parts":[["2009","11"]]},"language":"eng","page":"33062-33069","title":"Features of subunit NuoM (ND4) in Escherichia coli NDH-1: TOPOLOGY AND IMPLICATION  OF CONSERVED GLU144 FOR COUPLING SITE 1.","type":"article-journal","volume":"284"},"uris":["http://www.mendeley.com/documents/?uuid=b3b27661-f8a0-44c2-a92d-9a101f514e21"]}],"mendeley":{"formattedCitation":"(Torres-Bacete &lt;i&gt;et al&lt;/i&gt;, 2009)","plainTextFormattedCitation":"(Torres-Bacete et al, 2009)","previouslyFormattedCitation":"(Torres-Bacete &lt;i&gt;et al&lt;/i&gt;, 2009)"},"properties":{"noteIndex":0},"schema":"https://github.com/citation-style-language/schema/raw/master/csl-citation.json"}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(Torres-Bacete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2009)</w:t>
            </w:r>
            <w:r w:rsidRPr="00E97FC1">
              <w:rPr>
                <w:rFonts w:ascii="Helvetica" w:hAnsi="Helvetica" w:cs="Helvetica"/>
                <w:b/>
                <w:bCs/>
                <w:sz w:val="16"/>
                <w:szCs w:val="16"/>
                <w:lang w:val="en-GB"/>
              </w:rPr>
              <w:fldChar w:fldCharType="end"/>
            </w:r>
          </w:p>
        </w:tc>
      </w:tr>
      <w:tr w:rsidR="002471A8" w:rsidRPr="00E97FC1" w14:paraId="49084040" w14:textId="77777777" w:rsidTr="002471A8">
        <w:trPr>
          <w:trHeight w:val="65"/>
        </w:trPr>
        <w:tc>
          <w:tcPr>
            <w:tcW w:w="1705" w:type="dxa"/>
          </w:tcPr>
          <w:p w14:paraId="2684E54A"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lastRenderedPageBreak/>
              <w:t>E144A/I189E</w:t>
            </w:r>
          </w:p>
        </w:tc>
        <w:tc>
          <w:tcPr>
            <w:tcW w:w="2160" w:type="dxa"/>
            <w:vMerge/>
          </w:tcPr>
          <w:p w14:paraId="535D10B6" w14:textId="77777777" w:rsidR="002471A8" w:rsidRPr="00E97FC1" w:rsidRDefault="002471A8" w:rsidP="002471A8">
            <w:pPr>
              <w:rPr>
                <w:rFonts w:ascii="Helvetica" w:hAnsi="Helvetica" w:cs="Helvetica"/>
                <w:sz w:val="20"/>
                <w:szCs w:val="20"/>
                <w:lang w:val="en-GB"/>
              </w:rPr>
            </w:pPr>
          </w:p>
        </w:tc>
        <w:tc>
          <w:tcPr>
            <w:tcW w:w="1440" w:type="dxa"/>
          </w:tcPr>
          <w:p w14:paraId="3457053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0970B6F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111%</w:t>
            </w:r>
          </w:p>
        </w:tc>
        <w:tc>
          <w:tcPr>
            <w:tcW w:w="1260" w:type="dxa"/>
          </w:tcPr>
          <w:p w14:paraId="44274E2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3-13%</w:t>
            </w:r>
          </w:p>
        </w:tc>
        <w:tc>
          <w:tcPr>
            <w:tcW w:w="1080" w:type="dxa"/>
          </w:tcPr>
          <w:p w14:paraId="32EF4CF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0%</w:t>
            </w:r>
          </w:p>
        </w:tc>
        <w:tc>
          <w:tcPr>
            <w:tcW w:w="1260" w:type="dxa"/>
          </w:tcPr>
          <w:p w14:paraId="2168B584" w14:textId="21CB159E"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{"citationItems":[{"id":"ITEM-1","itemData":{"DOI":"10.1074/jbc.M109.059154","ISSN":"1083-351X (Electronic)","PMID":"19815558","abstract":"The bacterial H(+)-pumping NADH-quinone oxidoreductase (NDH-1) is an L-shaped  membrane-bound enzymatic complex. Escherichia coli NDH-1 is composed of 13 subunits (NuoA-N). NuoM (ND4) subunit is one of the hydrophobic subunits that constitute the membrane arm of NDH-1 and was predicted to bear 14 helices. We attempted to clarify the membrane topology of NuoM by the introduction of histidine tags into different positions by chromosomal site-directed mutagenesis. From the data, we propose a topology model containing 12 helices (helices I-IX and XII-XIV) located in transmembrane position and two (helices X and XI) present in the cytoplasm. We reported previously that residue Glu(144) of NuoM was located in the membrane (helix V) and was essential for the energy-coupling activities of NDH-1 (Torres-Bacete, J., Nakamaru-Ogiso, E., Matsuno-Yagi, A., and Yagi, T. (2007) J. Biol. Chem. 282, 36914-36922). Using mutant E144A, we studied the effect of shifting the glutamate residue to all sites within helix V and three sites each in helix IV and VI on the function of NDH-1. Twenty double site-directed mutants including the mutation E144A were constructed and characterized. None of the mutants showed alteration in the detectable levels of expressed NuoM or on the NDH-1 assembly. In addition, most of the double mutants did not restore the energy transducing NDH-1 activities. Only two mutants E144A/F140E and E144A/L147E, one helix turn downstream and upstream restored the energy transducing activities of NDH-1. Based on these results, a role of Glu(144) for proton translocation has been discussed.","author":[{"dropping-particle":"","family":"Torres-Bacete","given":"Jesus","non-dropping-particle":"","parse-names":false,"suffix":""},{"dropping-particle":"","family":"Sinha","given":"Prem Kumar","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chemistry","id":"ITEM-1","issue":"48","issued":{"date-parts":[["2009","11"]]},"language":"eng","page":"33062-33069","title":"Features of subunit NuoM (ND4) in Escherichia coli NDH-1: TOPOLOGY AND IMPLICATION  OF CONSERVED GLU144 FOR COUPLING SITE 1.","type":"article-journal","volume":"284"},"uris":["http://www.mendeley.com/documents/?uuid=b3b27661-f8a0-44c2-a92d-9a101f514e21"]}],"mendeley":{"formattedCitation":"(Torres-Bacete &lt;i&gt;et al&lt;/i&gt;, 2009)","plainTextFormattedCitation":"(Torres-Bacete et al, 2009)","previouslyFormattedCitation":"(Torres-Bacete &lt;i&gt;et al&lt;/i&gt;, 2009)"},"properties":{"noteIndex":0},"schema":"https://github.com/citation-style-language/schema/raw/master/csl-citation.json"}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(Torres-Bacete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2009)</w:t>
            </w:r>
            <w:r w:rsidRPr="00E97FC1">
              <w:rPr>
                <w:rFonts w:ascii="Helvetica" w:hAnsi="Helvetica" w:cs="Helvetica"/>
                <w:b/>
                <w:bCs/>
                <w:sz w:val="16"/>
                <w:szCs w:val="16"/>
                <w:lang w:val="en-GB"/>
              </w:rPr>
              <w:fldChar w:fldCharType="end"/>
            </w:r>
          </w:p>
        </w:tc>
      </w:tr>
      <w:tr w:rsidR="002471A8" w:rsidRPr="00E97FC1" w14:paraId="6125E863" w14:textId="77777777" w:rsidTr="002471A8">
        <w:trPr>
          <w:trHeight w:val="65"/>
        </w:trPr>
        <w:tc>
          <w:tcPr>
            <w:tcW w:w="1705" w:type="dxa"/>
          </w:tcPr>
          <w:p w14:paraId="5C95B30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E144A/L190E</w:t>
            </w:r>
          </w:p>
        </w:tc>
        <w:tc>
          <w:tcPr>
            <w:tcW w:w="2160" w:type="dxa"/>
            <w:vMerge/>
          </w:tcPr>
          <w:p w14:paraId="76024DA9" w14:textId="77777777" w:rsidR="002471A8" w:rsidRPr="00E97FC1" w:rsidRDefault="002471A8" w:rsidP="002471A8">
            <w:pPr>
              <w:rPr>
                <w:rFonts w:ascii="Helvetica" w:hAnsi="Helvetica" w:cs="Helvetica"/>
                <w:sz w:val="20"/>
                <w:szCs w:val="20"/>
                <w:lang w:val="en-GB"/>
              </w:rPr>
            </w:pPr>
          </w:p>
        </w:tc>
        <w:tc>
          <w:tcPr>
            <w:tcW w:w="1440" w:type="dxa"/>
          </w:tcPr>
          <w:p w14:paraId="516A541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7728CE6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98%</w:t>
            </w:r>
          </w:p>
        </w:tc>
        <w:tc>
          <w:tcPr>
            <w:tcW w:w="1260" w:type="dxa"/>
          </w:tcPr>
          <w:p w14:paraId="7382E2F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2-12%</w:t>
            </w:r>
          </w:p>
        </w:tc>
        <w:tc>
          <w:tcPr>
            <w:tcW w:w="1080" w:type="dxa"/>
          </w:tcPr>
          <w:p w14:paraId="7F4900E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0%</w:t>
            </w:r>
          </w:p>
        </w:tc>
        <w:tc>
          <w:tcPr>
            <w:tcW w:w="1260" w:type="dxa"/>
          </w:tcPr>
          <w:p w14:paraId="2EB49787" w14:textId="6A55B9D7"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{"citationItems":[{"id":"ITEM-1","itemData":{"DOI":"10.1074/jbc.M109.059154","ISSN":"1083-351X (Electronic)","PMID":"19815558","abstract":"The bacterial H(+)-pumping NADH-quinone oxidoreductase (NDH-1) is an L-shaped  membrane-bound enzymatic complex. Escherichia coli NDH-1 is composed of 13 subunits (NuoA-N). NuoM (ND4) subunit is one of the hydrophobic subunits that constitute the membrane arm of NDH-1 and was predicted to bear 14 helices. We attempted to clarify the membrane topology of NuoM by the introduction of histidine tags into different positions by chromosomal site-directed mutagenesis. From the data, we propose a topology model containing 12 helices (helices I-IX and XII-XIV) located in transmembrane position and two (helices X and XI) present in the cytoplasm. We reported previously that residue Glu(144) of NuoM was located in the membrane (helix V) and was essential for the energy-coupling activities of NDH-1 (Torres-Bacete, J., Nakamaru-Ogiso, E., Matsuno-Yagi, A., and Yagi, T. (2007) J. Biol. Chem. 282, 36914-36922). Using mutant E144A, we studied the effect of shifting the glutamate residue to all sites within helix V and three sites each in helix IV and VI on the function of NDH-1. Twenty double site-directed mutants including the mutation E144A were constructed and characterized. None of the mutants showed alteration in the detectable levels of expressed NuoM or on the NDH-1 assembly. In addition, most of the double mutants did not restore the energy transducing NDH-1 activities. Only two mutants E144A/F140E and E144A/L147E, one helix turn downstream and upstream restored the energy transducing activities of NDH-1. Based on these results, a role of Glu(144) for proton translocation has been discussed.","author":[{"dropping-particle":"","family":"Torres-Bacete","given":"Jesus","non-dropping-particle":"","parse-names":false,"suffix":""},{"dropping-particle":"","family":"Sinha","given":"Prem Kumar","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chemistry","id":"ITEM-1","issue":"48","issued":{"date-parts":[["2009","11"]]},"language":"eng","page":"33062-33069","title":"Features of subunit NuoM (ND4) in Escherichia coli NDH-1: TOPOLOGY AND IMPLICATION  OF CONSERVED GLU144 FOR COUPLING SITE 1.","type":"article-journal","volume":"284"},"uris":["http://www.mendeley.com/documents/?uuid=b3b27661-f8a0-44c2-a92d-9a101f514e21"]}],"mendeley":{"formattedCitation":"(Torres-Bacete &lt;i&gt;et al&lt;/i&gt;, 2009)","plainTextFormattedCitation":"(Torres-Bacete et al, 2009)","previouslyFormattedCitation":"(Torres-Bacete &lt;i&gt;et al&lt;/i&gt;, 2009)"},"properties":{"noteIndex":0},"schema":"https://github.com/citation-style-language/schema/raw/master/csl-citation.json"}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(Torres-Bacete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2009)</w:t>
            </w:r>
            <w:r w:rsidRPr="00E97FC1">
              <w:rPr>
                <w:rFonts w:ascii="Helvetica" w:hAnsi="Helvetica" w:cs="Helvetica"/>
                <w:b/>
                <w:bCs/>
                <w:sz w:val="16"/>
                <w:szCs w:val="16"/>
                <w:lang w:val="en-GB"/>
              </w:rPr>
              <w:fldChar w:fldCharType="end"/>
            </w:r>
          </w:p>
        </w:tc>
      </w:tr>
      <w:tr w:rsidR="002471A8" w:rsidRPr="00E97FC1" w14:paraId="48958DC6" w14:textId="77777777" w:rsidTr="002471A8">
        <w:trPr>
          <w:trHeight w:val="65"/>
        </w:trPr>
        <w:tc>
          <w:tcPr>
            <w:tcW w:w="1705" w:type="dxa"/>
          </w:tcPr>
          <w:p w14:paraId="06510FB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E144A/A191E</w:t>
            </w:r>
          </w:p>
        </w:tc>
        <w:tc>
          <w:tcPr>
            <w:tcW w:w="2160" w:type="dxa"/>
            <w:vMerge/>
          </w:tcPr>
          <w:p w14:paraId="6ED46240" w14:textId="77777777" w:rsidR="002471A8" w:rsidRPr="00E97FC1" w:rsidRDefault="002471A8" w:rsidP="002471A8">
            <w:pPr>
              <w:rPr>
                <w:rFonts w:ascii="Helvetica" w:hAnsi="Helvetica" w:cs="Helvetica"/>
                <w:sz w:val="20"/>
                <w:szCs w:val="20"/>
                <w:lang w:val="en-GB"/>
              </w:rPr>
            </w:pPr>
          </w:p>
        </w:tc>
        <w:tc>
          <w:tcPr>
            <w:tcW w:w="1440" w:type="dxa"/>
          </w:tcPr>
          <w:p w14:paraId="64CA26B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3A3CF34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85%</w:t>
            </w:r>
          </w:p>
        </w:tc>
        <w:tc>
          <w:tcPr>
            <w:tcW w:w="1260" w:type="dxa"/>
          </w:tcPr>
          <w:p w14:paraId="4F4EDE9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3-12%</w:t>
            </w:r>
          </w:p>
        </w:tc>
        <w:tc>
          <w:tcPr>
            <w:tcW w:w="1080" w:type="dxa"/>
          </w:tcPr>
          <w:p w14:paraId="1FBE05D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0%</w:t>
            </w:r>
          </w:p>
        </w:tc>
        <w:tc>
          <w:tcPr>
            <w:tcW w:w="1260" w:type="dxa"/>
          </w:tcPr>
          <w:p w14:paraId="57F40CA2" w14:textId="31692825"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{"citationItems":[{"id":"ITEM-1","itemData":{"DOI":"10.1074/jbc.M109.059154","ISSN":"1083-351X (Electronic)","PMID":"19815558","abstract":"The bacterial H(+)-pumping NADH-quinone oxidoreductase (NDH-1) is an L-shaped  membrane-bound enzymatic complex. Escherichia coli NDH-1 is composed of 13 subunits (NuoA-N). NuoM (ND4) subunit is one of the hydrophobic subunits that constitute the membrane arm of NDH-1 and was predicted to bear 14 helices. We attempted to clarify the membrane topology of NuoM by the introduction of histidine tags into different positions by chromosomal site-directed mutagenesis. From the data, we propose a topology model containing 12 helices (helices I-IX and XII-XIV) located in transmembrane position and two (helices X and XI) present in the cytoplasm. We reported previously that residue Glu(144) of NuoM was located in the membrane (helix V) and was essential for the energy-coupling activities of NDH-1 (Torres-Bacete, J., Nakamaru-Ogiso, E., Matsuno-Yagi, A., and Yagi, T. (2007) J. Biol. Chem. 282, 36914-36922). Using mutant E144A, we studied the effect of shifting the glutamate residue to all sites within helix V and three sites each in helix IV and VI on the function of NDH-1. Twenty double site-directed mutants including the mutation E144A were constructed and characterized. None of the mutants showed alteration in the detectable levels of expressed NuoM or on the NDH-1 assembly. In addition, most of the double mutants did not restore the energy transducing NDH-1 activities. Only two mutants E144A/F140E and E144A/L147E, one helix turn downstream and upstream restored the energy transducing activities of NDH-1. Based on these results, a role of Glu(144) for proton translocation has been discussed.","author":[{"dropping-particle":"","family":"Torres-Bacete","given":"Jesus","non-dropping-particle":"","parse-names":false,"suffix":""},{"dropping-particle":"","family":"Sinha","given":"Prem Kumar","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chemistry","id":"ITEM-1","issue":"48","issued":{"date-parts":[["2009","11"]]},"language":"eng","page":"33062-33069","title":"Features of subunit NuoM (ND4) in Escherichia coli NDH-1: TOPOLOGY AND IMPLICATION  OF CONSERVED GLU144 FOR COUPLING SITE 1.","type":"article-journal","volume":"284"},"uris":["http://www.mendeley.com/documents/?uuid=b3b27661-f8a0-44c2-a92d-9a101f514e21"]}],"mendeley":{"formattedCitation":"(Torres-Bacete &lt;i&gt;et al&lt;/i&gt;, 2009)","plainTextFormattedCitation":"(Torres-Bacete et al, 2009)","previouslyFormattedCitation":"(Torres-Bacete &lt;i&gt;et al&lt;/i&gt;, 2009)"},"properties":{"noteIndex":0},"schema":"https://github.com/citation-style-language/schema/raw/master/csl-citation.json"}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(Torres-Bacete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2009)</w:t>
            </w:r>
            <w:r w:rsidRPr="00E97FC1">
              <w:rPr>
                <w:rFonts w:ascii="Helvetica" w:hAnsi="Helvetica" w:cs="Helvetica"/>
                <w:b/>
                <w:bCs/>
                <w:sz w:val="16"/>
                <w:szCs w:val="16"/>
                <w:lang w:val="en-GB"/>
              </w:rPr>
              <w:fldChar w:fldCharType="end"/>
            </w:r>
          </w:p>
        </w:tc>
      </w:tr>
      <w:tr w:rsidR="002471A8" w:rsidRPr="00E97FC1" w14:paraId="0D16056E" w14:textId="77777777" w:rsidTr="002471A8">
        <w:trPr>
          <w:trHeight w:val="65"/>
        </w:trPr>
        <w:tc>
          <w:tcPr>
            <w:tcW w:w="1705" w:type="dxa"/>
          </w:tcPr>
          <w:p w14:paraId="2C6CC67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K173C</w:t>
            </w:r>
          </w:p>
        </w:tc>
        <w:tc>
          <w:tcPr>
            <w:tcW w:w="2160" w:type="dxa"/>
            <w:vMerge w:val="restart"/>
          </w:tcPr>
          <w:p w14:paraId="64076FEA"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TM6 – HL HB</w:t>
            </w:r>
          </w:p>
        </w:tc>
        <w:tc>
          <w:tcPr>
            <w:tcW w:w="1440" w:type="dxa"/>
          </w:tcPr>
          <w:p w14:paraId="0C5D614B"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756A2254"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78%</w:t>
            </w:r>
          </w:p>
        </w:tc>
        <w:tc>
          <w:tcPr>
            <w:tcW w:w="1260" w:type="dxa"/>
          </w:tcPr>
          <w:p w14:paraId="03B3F78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70%</w:t>
            </w:r>
          </w:p>
        </w:tc>
        <w:tc>
          <w:tcPr>
            <w:tcW w:w="1080" w:type="dxa"/>
          </w:tcPr>
          <w:p w14:paraId="2A2C28E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reduced</w:t>
            </w:r>
          </w:p>
        </w:tc>
        <w:tc>
          <w:tcPr>
            <w:tcW w:w="1260" w:type="dxa"/>
          </w:tcPr>
          <w:p w14:paraId="7B29C922" w14:textId="4EF70A76"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{"citationItems":[{"id":"ITEM-1","itemData":{"DOI":"10.1371/journal.pone.0017420","ISSN":"1932-6203 (Electronic)","PMID":"21387012","abstract":"BACKGROUND: The membrane arm of Complex I (NADH:ubiquinone oxidoreductase) contains  three large, and closely related subunits, which are called L, M, and N in E. coli. These subunits are homologous to components of multi-subunit Na(+)/H(+) antiporters, and so are implicated in proton translocation. METHODOLOGY/PRINCIPAL FINDINGS: Nineteen site-specific mutations were constructed at two corresponding positions in each of the three subunits. Two positions were selected in each subunit: L_K169, M_K173, N_K158 and L_Q236, M_H241, N_H224. Membrane vesicles were prepared from all of the resulting mutant strains, and were assayed for deamino-NADH oxidase activity, proton translocation, ferricyanide reductase activity, and sensitivity to capsaicin. Corresponding mutations in the three subunits were found to have very similar effects on all activities measured. In addition, the effect of adding exogenous decylubiquinone on these activities was tested. 50 µM decylubiquinone stimulated both deamino-NADH oxidase activity and proton translocation by wild type membrane vesicles, but was inhibitory towards the same activities by membrane vesicles bearing the lysine substitution at the L236/M241/N224 positions. CONCLUSIONS/SIGNIFICANCE: The results show a close correlation with reduced activity among the corresponding mutations, and provide evidence that the L, M, and N subunits have a common role in Complex I.","author":[{"dropping-particle":"","family":"Michel","given":"Jose","non-dropping-particle":"","parse-names":false,"suffix":""},{"dropping-particle":"","family":"DeLeon-Rangel","given":"Jessica","non-dropping-particle":"","parse-names":false,"suffix":""},{"dropping-particle":"","family":"Zhu","given":"Shaotong","non-dropping-particle":"","parse-names":false,"suffix":""},{"dropping-particle":"","family":"Ree","given":"Kalie","non-dropping-particle":"Van","parse-names":false,"suffix":""},{"dropping-particle":"","family":"Vik","given":"Steven B","non-dropping-particle":"","parse-names":false,"suffix":""}],"container-title":"PloS one","id":"ITEM-1","issue":"2","issued":{"date-parts":[["2011","2"]]},"language":"eng","page":"e17420","title":"Mutagenesis of the L, M, and N subunits of Complex I from Escherichia coli indicates  a common role in function.","type":"article-journal","volume":"6"},"uris":["http://www.mendeley.com/documents/?uuid=c0aa016f-3662-48d1-a31e-f06d6ca21965"]}],"mendeley":{"formattedCitation":"(Michel &lt;i&gt;et al&lt;/i&gt;, 2011)","plainTextFormattedCitation":"(Michel et al, 2011)","previouslyFormattedCitation":"(Michel &lt;i&gt;et al&lt;/i&gt;, 2011)"},"properties":{"noteIndex":0},"schema":"https://github.com/citation-style-language/schema/raw/master/csl-citation.json"}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(Michel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2011)</w:t>
            </w:r>
            <w:r w:rsidRPr="00E97FC1">
              <w:rPr>
                <w:rFonts w:ascii="Helvetica" w:hAnsi="Helvetica" w:cs="Helvetica"/>
                <w:b/>
                <w:bCs/>
                <w:sz w:val="16"/>
                <w:szCs w:val="16"/>
                <w:lang w:val="en-GB"/>
              </w:rPr>
              <w:fldChar w:fldCharType="end"/>
            </w:r>
          </w:p>
        </w:tc>
      </w:tr>
      <w:tr w:rsidR="002471A8" w:rsidRPr="00E97FC1" w14:paraId="7077CCC0" w14:textId="77777777" w:rsidTr="002471A8">
        <w:trPr>
          <w:trHeight w:val="65"/>
        </w:trPr>
        <w:tc>
          <w:tcPr>
            <w:tcW w:w="1705" w:type="dxa"/>
          </w:tcPr>
          <w:p w14:paraId="20DB0BF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K173E</w:t>
            </w:r>
          </w:p>
        </w:tc>
        <w:tc>
          <w:tcPr>
            <w:tcW w:w="2160" w:type="dxa"/>
            <w:vMerge/>
          </w:tcPr>
          <w:p w14:paraId="0E674672" w14:textId="77777777" w:rsidR="002471A8" w:rsidRPr="00E97FC1" w:rsidRDefault="002471A8" w:rsidP="002471A8">
            <w:pPr>
              <w:rPr>
                <w:rFonts w:ascii="Helvetica" w:hAnsi="Helvetica" w:cs="Helvetica"/>
                <w:bCs/>
                <w:sz w:val="20"/>
                <w:lang w:val="en-GB"/>
              </w:rPr>
            </w:pPr>
          </w:p>
        </w:tc>
        <w:tc>
          <w:tcPr>
            <w:tcW w:w="1440" w:type="dxa"/>
          </w:tcPr>
          <w:p w14:paraId="2B0647F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2B03FD04"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102%</w:t>
            </w:r>
          </w:p>
        </w:tc>
        <w:tc>
          <w:tcPr>
            <w:tcW w:w="1260" w:type="dxa"/>
          </w:tcPr>
          <w:p w14:paraId="530E48F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50%</w:t>
            </w:r>
          </w:p>
        </w:tc>
        <w:tc>
          <w:tcPr>
            <w:tcW w:w="1080" w:type="dxa"/>
          </w:tcPr>
          <w:p w14:paraId="6611DC4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reduced</w:t>
            </w:r>
          </w:p>
        </w:tc>
        <w:tc>
          <w:tcPr>
            <w:tcW w:w="1260" w:type="dxa"/>
          </w:tcPr>
          <w:p w14:paraId="563CAAF8" w14:textId="76253003"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{"citationItems":[{"id":"ITEM-1","itemData":{"DOI":"10.1371/journal.pone.0017420","ISSN":"1932-6203 (Electronic)","PMID":"21387012","abstract":"BACKGROUND: The membrane arm of Complex I (NADH:ubiquinone oxidoreductase) contains  three large, and closely related subunits, which are called L, M, and N in E. coli. These subunits are homologous to components of multi-subunit Na(+)/H(+) antiporters, and so are implicated in proton translocation. METHODOLOGY/PRINCIPAL FINDINGS: Nineteen site-specific mutations were constructed at two corresponding positions in each of the three subunits. Two positions were selected in each subunit: L_K169, M_K173, N_K158 and L_Q236, M_H241, N_H224. Membrane vesicles were prepared from all of the resulting mutant strains, and were assayed for deamino-NADH oxidase activity, proton translocation, ferricyanide reductase activity, and sensitivity to capsaicin. Corresponding mutations in the three subunits were found to have very similar effects on all activities measured. In addition, the effect of adding exogenous decylubiquinone on these activities was tested. 50 µM decylubiquinone stimulated both deamino-NADH oxidase activity and proton translocation by wild type membrane vesicles, but was inhibitory towards the same activities by membrane vesicles bearing the lysine substitution at the L236/M241/N224 positions. CONCLUSIONS/SIGNIFICANCE: The results show a close correlation with reduced activity among the corresponding mutations, and provide evidence that the L, M, and N subunits have a common role in Complex I.","author":[{"dropping-particle":"","family":"Michel","given":"Jose","non-dropping-particle":"","parse-names":false,"suffix":""},{"dropping-particle":"","family":"DeLeon-Rangel","given":"Jessica","non-dropping-particle":"","parse-names":false,"suffix":""},{"dropping-particle":"","family":"Zhu","given":"Shaotong","non-dropping-particle":"","parse-names":false,"suffix":""},{"dropping-particle":"","family":"Ree","given":"Kalie","non-dropping-particle":"Van","parse-names":false,"suffix":""},{"dropping-particle":"","family":"Vik","given":"Steven B","non-dropping-particle":"","parse-names":false,"suffix":""}],"container-title":"PloS one","id":"ITEM-1","issue":"2","issued":{"date-parts":[["2011","2"]]},"language":"eng","page":"e17420","title":"Mutagenesis of the L, M, and N subunits of Complex I from Escherichia coli indicates  a common role in function.","type":"article-journal","volume":"6"},"uris":["http://www.mendeley.com/documents/?uuid=c0aa016f-3662-48d1-a31e-f06d6ca21965"]}],"mendeley":{"formattedCitation":"(Michel &lt;i&gt;et al&lt;/i&gt;, 2011)","plainTextFormattedCitation":"(Michel et al, 2011)","previouslyFormattedCitation":"(Michel &lt;i&gt;et al&lt;/i&gt;, 2011)"},"properties":{"noteIndex":0},"schema":"https://github.com/citation-style-language/schema/raw/master/csl-citation.json"}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(Michel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2011)</w:t>
            </w:r>
            <w:r w:rsidRPr="00E97FC1">
              <w:rPr>
                <w:rFonts w:ascii="Helvetica" w:hAnsi="Helvetica" w:cs="Helvetica"/>
                <w:b/>
                <w:bCs/>
                <w:sz w:val="16"/>
                <w:szCs w:val="16"/>
                <w:lang w:val="en-GB"/>
              </w:rPr>
              <w:fldChar w:fldCharType="end"/>
            </w:r>
          </w:p>
        </w:tc>
      </w:tr>
      <w:tr w:rsidR="002471A8" w:rsidRPr="00E97FC1" w14:paraId="1D91577E" w14:textId="77777777" w:rsidTr="002471A8">
        <w:trPr>
          <w:trHeight w:val="65"/>
        </w:trPr>
        <w:tc>
          <w:tcPr>
            <w:tcW w:w="1705" w:type="dxa"/>
          </w:tcPr>
          <w:p w14:paraId="3EF6C7B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K173R</w:t>
            </w:r>
          </w:p>
        </w:tc>
        <w:tc>
          <w:tcPr>
            <w:tcW w:w="2160" w:type="dxa"/>
            <w:vMerge/>
          </w:tcPr>
          <w:p w14:paraId="1C590CA7" w14:textId="77777777" w:rsidR="002471A8" w:rsidRPr="00E97FC1" w:rsidRDefault="002471A8" w:rsidP="002471A8">
            <w:pPr>
              <w:rPr>
                <w:rFonts w:ascii="Helvetica" w:hAnsi="Helvetica" w:cs="Helvetica"/>
                <w:bCs/>
                <w:sz w:val="20"/>
                <w:lang w:val="en-GB"/>
              </w:rPr>
            </w:pPr>
          </w:p>
        </w:tc>
        <w:tc>
          <w:tcPr>
            <w:tcW w:w="1440" w:type="dxa"/>
          </w:tcPr>
          <w:p w14:paraId="1F47339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0993084B"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94%</w:t>
            </w:r>
          </w:p>
        </w:tc>
        <w:tc>
          <w:tcPr>
            <w:tcW w:w="1260" w:type="dxa"/>
          </w:tcPr>
          <w:p w14:paraId="68B1CFF4"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91%</w:t>
            </w:r>
          </w:p>
        </w:tc>
        <w:tc>
          <w:tcPr>
            <w:tcW w:w="1080" w:type="dxa"/>
          </w:tcPr>
          <w:p w14:paraId="0883B204"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reduced</w:t>
            </w:r>
          </w:p>
        </w:tc>
        <w:tc>
          <w:tcPr>
            <w:tcW w:w="1260" w:type="dxa"/>
          </w:tcPr>
          <w:p w14:paraId="3F50E5EC" w14:textId="0CAEEAB8"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{"citationItems":[{"id":"ITEM-1","itemData":{"DOI":"10.1371/journal.pone.0017420","ISSN":"1932-6203 (Electronic)","PMID":"21387012","abstract":"BACKGROUND: The membrane arm of Complex I (NADH:ubiquinone oxidoreductase) contains  three large, and closely related subunits, which are called L, M, and N in E. coli. These subunits are homologous to components of multi-subunit Na(+)/H(+) antiporters, and so are implicated in proton translocation. METHODOLOGY/PRINCIPAL FINDINGS: Nineteen site-specific mutations were constructed at two corresponding positions in each of the three subunits. Two positions were selected in each subunit: L_K169, M_K173, N_K158 and L_Q236, M_H241, N_H224. Membrane vesicles were prepared from all of the resulting mutant strains, and were assayed for deamino-NADH oxidase activity, proton translocation, ferricyanide reductase activity, and sensitivity to capsaicin. Corresponding mutations in the three subunits were found to have very similar effects on all activities measured. In addition, the effect of adding exogenous decylubiquinone on these activities was tested. 50 µM decylubiquinone stimulated both deamino-NADH oxidase activity and proton translocation by wild type membrane vesicles, but was inhibitory towards the same activities by membrane vesicles bearing the lysine substitution at the L236/M241/N224 positions. CONCLUSIONS/SIGNIFICANCE: The results show a close correlation with reduced activity among the corresponding mutations, and provide evidence that the L, M, and N subunits have a common role in Complex I.","author":[{"dropping-particle":"","family":"Michel","given":"Jose","non-dropping-particle":"","parse-names":false,"suffix":""},{"dropping-particle":"","family":"DeLeon-Rangel","given":"Jessica","non-dropping-particle":"","parse-names":false,"suffix":""},{"dropping-particle":"","family":"Zhu","given":"Shaotong","non-dropping-particle":"","parse-names":false,"suffix":""},{"dropping-particle":"","family":"Ree","given":"Kalie","non-dropping-particle":"Van","parse-names":false,"suffix":""},{"dropping-particle":"","family":"Vik","given":"Steven B","non-dropping-particle":"","parse-names":false,"suffix":""}],"container-title":"PloS one","id":"ITEM-1","issue":"2","issued":{"date-parts":[["2011","2"]]},"language":"eng","page":"e17420","title":"Mutagenesis of the L, M, and N subunits of Complex I from Escherichia coli indicates  a common role in function.","type":"article-journal","volume":"6"},"uris":["http://www.mendeley.com/documents/?uuid=c0aa016f-3662-48d1-a31e-f06d6ca21965"]}],"mendeley":{"formattedCitation":"(Michel &lt;i&gt;et al&lt;/i&gt;, 2011)","plainTextFormattedCitation":"(Michel et al, 2011)","previouslyFormattedCitation":"(Michel &lt;i&gt;et al&lt;/i&gt;, 2011)"},"properties":{"noteIndex":0},"schema":"https://github.com/citation-style-language/schema/raw/master/csl-citation.json"}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(Michel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2011)</w:t>
            </w:r>
            <w:r w:rsidRPr="00E97FC1">
              <w:rPr>
                <w:rFonts w:ascii="Helvetica" w:hAnsi="Helvetica" w:cs="Helvetica"/>
                <w:b/>
                <w:bCs/>
                <w:sz w:val="16"/>
                <w:szCs w:val="16"/>
                <w:lang w:val="en-GB"/>
              </w:rPr>
              <w:fldChar w:fldCharType="end"/>
            </w:r>
          </w:p>
        </w:tc>
      </w:tr>
      <w:tr w:rsidR="002471A8" w:rsidRPr="00E97FC1" w14:paraId="77F0A22B" w14:textId="77777777" w:rsidTr="002471A8">
        <w:trPr>
          <w:trHeight w:val="65"/>
        </w:trPr>
        <w:tc>
          <w:tcPr>
            <w:tcW w:w="1705" w:type="dxa"/>
          </w:tcPr>
          <w:p w14:paraId="6BD63E8F"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H196A</w:t>
            </w:r>
          </w:p>
        </w:tc>
        <w:tc>
          <w:tcPr>
            <w:tcW w:w="2160" w:type="dxa"/>
          </w:tcPr>
          <w:p w14:paraId="152AE039" w14:textId="77777777" w:rsidR="002471A8" w:rsidRPr="00E97FC1" w:rsidRDefault="002471A8" w:rsidP="002471A8">
            <w:pPr>
              <w:rPr>
                <w:rFonts w:ascii="Helvetica" w:hAnsi="Helvetica" w:cs="Helvetica"/>
                <w:iCs/>
                <w:sz w:val="20"/>
                <w:lang w:val="en-GB"/>
              </w:rPr>
            </w:pPr>
            <w:r w:rsidRPr="00E97FC1">
              <w:rPr>
                <w:rFonts w:ascii="Helvetica" w:hAnsi="Helvetica" w:cs="Helvetica"/>
                <w:iCs/>
                <w:sz w:val="20"/>
                <w:lang w:val="en-GB"/>
              </w:rPr>
              <w:t xml:space="preserve">surface </w:t>
            </w:r>
          </w:p>
        </w:tc>
        <w:tc>
          <w:tcPr>
            <w:tcW w:w="1440" w:type="dxa"/>
          </w:tcPr>
          <w:p w14:paraId="28E8B051"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normal</w:t>
            </w:r>
          </w:p>
        </w:tc>
        <w:tc>
          <w:tcPr>
            <w:tcW w:w="1170" w:type="dxa"/>
          </w:tcPr>
          <w:p w14:paraId="01C0E374"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99%</w:t>
            </w:r>
          </w:p>
        </w:tc>
        <w:tc>
          <w:tcPr>
            <w:tcW w:w="1260" w:type="dxa"/>
          </w:tcPr>
          <w:p w14:paraId="5FE28C51"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79%</w:t>
            </w:r>
          </w:p>
        </w:tc>
        <w:tc>
          <w:tcPr>
            <w:tcW w:w="1080" w:type="dxa"/>
          </w:tcPr>
          <w:p w14:paraId="112DDB98"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NA</w:t>
            </w:r>
          </w:p>
        </w:tc>
        <w:tc>
          <w:tcPr>
            <w:tcW w:w="1260" w:type="dxa"/>
          </w:tcPr>
          <w:p w14:paraId="274E0A5F" w14:textId="7993A497"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{"citationItems":[{"id":"ITEM-1","itemData":{"DOI":"10.1074/jbc.M707855200","ISSN":"0021-9258 (Print)","PMID":"17977822","abstract":"The proton-translocating NADH-quinone (Q) oxidoreductase (NDH-1) from Escherichia  coli is composed of two segments: a peripheral arm and a membrane arm. The membrane arm contains 7 hydrophobic subunits. Of these subunits, NuoM, a homolog of the mitochondrial ND4 subunit, is proposed to be involved in proton translocation and Q-binding. Therefore, we conducted site-directed mutation of 15 amino acid residues of NuoM and investigated their properties. In all mutants, the assembly of the whole enzyme seemed intact. Mutation of highly conserved Glu144 and Lys234 leads to almost total elimination of energy-transducing NDH-1 activities as well as increased production of superoxide radicals. Their NADH dehydrogenase activities were almost normal. Because these two residues are predicted to be located in the transmembrane segments of NuoM, the results strongly suggest that they participate in proton translocation. Although it is hypothesized that His interacts with a Q head group, mutations at four His moderately inhibited NDH-1 activities and had almost no effect on the Km values for Q or IC50 values of capsaicin-40, a competitive inhibitor for the Q binding site. The data suggest that these His are not involved in the catalytic Q-binding. Functional roles of NuoM and advantages of NDH-1 research as a model for mitochondrial complex I study have been discussed.","author":[{"dropping-particle":"","family":"Torres-Bacete","given":"Jesus","non-dropping-particle":"","parse-names":false,"suffix":""},{"dropping-particle":"","family":"Nakamaru-Ogiso","given":"Eiko","non-dropping-particle":"","parse-names":false,"suffix":""},{"dropping-particle":"","family":"Matsuno-Yagi","given":"Akemi","non-dropping-particle":"","parse-names":false,"suffix":""},{"dropping-particle":"","family":"Yagi","given":"Takao","non-dropping-particle":"","parse-names":false,"suffix":""}],"container-title":"The Journal of biological chemistry","id":"ITEM-1","issue":"51","issued":{"date-parts":[["2007","12"]]},"language":"eng","page":"36914-36922","publisher-place":"United States","title":"Characterization of the NuoM (ND4) subunit in Escherichia coli NDH-1: conserved  charged residues essential for energy-coupled activities.","type":"article-journal","volume":"282"},"uris":["http://www.mendeley.com/documents/?uuid=c462412d-1d13-497a-9c25-389772e45063"]}],"mendeley":{"formattedCitation":"(Torres-Bacete &lt;i&gt;et al&lt;/i&gt;, 2007)","plainTextFormattedCitation":"(Torres-Bacete et al, 2007)","previouslyFormattedCitation":"(Torres-Bacete &lt;i&gt;et al&lt;/i&gt;, 2007)"},"properties":{"noteIndex":0},"schema":"https://github.com/citation-style-language/schema/raw/master/csl-citation.json"}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(Torres-Bacete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2007)</w:t>
            </w:r>
            <w:r w:rsidRPr="00E97FC1">
              <w:rPr>
                <w:rFonts w:ascii="Helvetica" w:hAnsi="Helvetica" w:cs="Helvetica"/>
                <w:b/>
                <w:bCs/>
                <w:sz w:val="16"/>
                <w:szCs w:val="16"/>
                <w:lang w:val="en-GB"/>
              </w:rPr>
              <w:fldChar w:fldCharType="end"/>
            </w:r>
          </w:p>
        </w:tc>
      </w:tr>
      <w:tr w:rsidR="002471A8" w:rsidRPr="00E97FC1" w14:paraId="4004712E" w14:textId="77777777" w:rsidTr="002471A8">
        <w:trPr>
          <w:trHeight w:val="65"/>
        </w:trPr>
        <w:tc>
          <w:tcPr>
            <w:tcW w:w="1705" w:type="dxa"/>
          </w:tcPr>
          <w:p w14:paraId="658A4CA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K234A</w:t>
            </w:r>
          </w:p>
        </w:tc>
        <w:tc>
          <w:tcPr>
            <w:tcW w:w="2160" w:type="dxa"/>
            <w:vMerge w:val="restart"/>
          </w:tcPr>
          <w:p w14:paraId="05AB4E0E"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TM7, central axe</w:t>
            </w:r>
          </w:p>
        </w:tc>
        <w:tc>
          <w:tcPr>
            <w:tcW w:w="1440" w:type="dxa"/>
          </w:tcPr>
          <w:p w14:paraId="17DE291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 xml:space="preserve">normal </w:t>
            </w:r>
          </w:p>
        </w:tc>
        <w:tc>
          <w:tcPr>
            <w:tcW w:w="1170" w:type="dxa"/>
          </w:tcPr>
          <w:p w14:paraId="40DAD4B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91%</w:t>
            </w:r>
          </w:p>
        </w:tc>
        <w:tc>
          <w:tcPr>
            <w:tcW w:w="1260" w:type="dxa"/>
          </w:tcPr>
          <w:p w14:paraId="261FFC6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5-10%</w:t>
            </w:r>
          </w:p>
        </w:tc>
        <w:tc>
          <w:tcPr>
            <w:tcW w:w="1080" w:type="dxa"/>
          </w:tcPr>
          <w:p w14:paraId="3423AA0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low</w:t>
            </w:r>
          </w:p>
        </w:tc>
        <w:tc>
          <w:tcPr>
            <w:tcW w:w="1260" w:type="dxa"/>
          </w:tcPr>
          <w:p w14:paraId="573FA75D" w14:textId="2D34D0BE"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{"citationItems":[{"id":"ITEM-1","itemData":{"DOI":"10.1074/jbc.M707855200","ISSN":"0021-9258 (Print)","PMID":"17977822","abstract":"The proton-translocating NADH-quinone (Q) oxidoreductase (NDH-1) from Escherichia  coli is composed of two segments: a peripheral arm and a membrane arm. The membrane arm contains 7 hydrophobic subunits. Of these subunits, NuoM, a homolog of the mitochondrial ND4 subunit, is proposed to be involved in proton translocation and Q-binding. Therefore, we conducted site-directed mutation of 15 amino acid residues of NuoM and investigated their properties. In all mutants, the assembly of the whole enzyme seemed intact. Mutation of highly conserved Glu144 and Lys234 leads to almost total elimination of energy-transducing NDH-1 activities as well as increased production of superoxide radicals. Their NADH dehydrogenase activities were almost normal. Because these two residues are predicted to be located in the transmembrane segments of NuoM, the results strongly suggest that they participate in proton translocation. Although it is hypothesized that His interacts with a Q head group, mutations at four His moderately inhibited NDH-1 activities and had almost no effect on the Km values for Q or IC50 values of capsaicin-40, a competitive inhibitor for the Q binding site. The data suggest that these His are not involved in the catalytic Q-binding. Functional roles of NuoM and advantages of NDH-1 research as a model for mitochondrial complex I study have been discussed.","author":[{"dropping-particle":"","family":"Torres-Bacete","given":"Jesus","non-dropping-particle":"","parse-names":false,"suffix":""},{"dropping-particle":"","family":"Nakamaru-Ogiso","given":"Eiko","non-dropping-particle":"","parse-names":false,"suffix":""},{"dropping-particle":"","family":"Matsuno-Yagi","given":"Akemi","non-dropping-particle":"","parse-names":false,"suffix":""},{"dropping-particle":"","family":"Yagi","given":"Takao","non-dropping-particle":"","parse-names":false,"suffix":""}],"container-title":"The Journal of biological chemistry","id":"ITEM-1","issue":"51","issued":{"date-parts":[["2007","12"]]},"language":"eng","page":"36914-36922","publisher-place":"United States","title":"Characterization of the NuoM (ND4) subunit in Escherichia coli NDH-1: conserved  charged residues essential for energy-coupled activities.","type":"article-journal","volume":"282"},"uris":["http://www.mendeley.com/documents/?uuid=c462412d-1d13-497a-9c25-389772e45063"]}],"mendeley":{"formattedCitation":"(Torres-Bacete &lt;i&gt;et al&lt;/i&gt;, 2007)","plainTextFormattedCitation":"(Torres-Bacete et al, 2007)","previouslyFormattedCitation":"(Torres-Bacete &lt;i&gt;et al&lt;/i&gt;, 2007)"},"properties":{"noteIndex":0},"schema":"https://github.com/citation-style-language/schema/raw/master/csl-citation.json"}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(Torres-Bacete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2007)</w:t>
            </w:r>
            <w:r w:rsidRPr="00E97FC1">
              <w:rPr>
                <w:rFonts w:ascii="Helvetica" w:hAnsi="Helvetica" w:cs="Helvetica"/>
                <w:b/>
                <w:bCs/>
                <w:sz w:val="16"/>
                <w:szCs w:val="16"/>
                <w:lang w:val="en-GB"/>
              </w:rPr>
              <w:fldChar w:fldCharType="end"/>
            </w:r>
          </w:p>
        </w:tc>
      </w:tr>
      <w:tr w:rsidR="002471A8" w:rsidRPr="00E97FC1" w14:paraId="7E2DD259" w14:textId="77777777" w:rsidTr="002471A8">
        <w:trPr>
          <w:trHeight w:val="65"/>
        </w:trPr>
        <w:tc>
          <w:tcPr>
            <w:tcW w:w="1705" w:type="dxa"/>
          </w:tcPr>
          <w:p w14:paraId="0576B5C0"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K234R</w:t>
            </w:r>
          </w:p>
        </w:tc>
        <w:tc>
          <w:tcPr>
            <w:tcW w:w="2160" w:type="dxa"/>
            <w:vMerge/>
          </w:tcPr>
          <w:p w14:paraId="36273787" w14:textId="77777777" w:rsidR="002471A8" w:rsidRPr="00E97FC1" w:rsidRDefault="002471A8" w:rsidP="002471A8">
            <w:pPr>
              <w:rPr>
                <w:rFonts w:ascii="Helvetica" w:hAnsi="Helvetica" w:cs="Helvetica"/>
                <w:bCs/>
                <w:sz w:val="20"/>
                <w:lang w:val="en-GB"/>
              </w:rPr>
            </w:pPr>
          </w:p>
        </w:tc>
        <w:tc>
          <w:tcPr>
            <w:tcW w:w="1440" w:type="dxa"/>
          </w:tcPr>
          <w:p w14:paraId="198A1967"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reduced</w:t>
            </w:r>
          </w:p>
        </w:tc>
        <w:tc>
          <w:tcPr>
            <w:tcW w:w="1170" w:type="dxa"/>
          </w:tcPr>
          <w:p w14:paraId="61FD325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65%</w:t>
            </w:r>
          </w:p>
        </w:tc>
        <w:tc>
          <w:tcPr>
            <w:tcW w:w="1260" w:type="dxa"/>
          </w:tcPr>
          <w:p w14:paraId="4981676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 xml:space="preserve">5-20% </w:t>
            </w:r>
          </w:p>
        </w:tc>
        <w:tc>
          <w:tcPr>
            <w:tcW w:w="1080" w:type="dxa"/>
          </w:tcPr>
          <w:p w14:paraId="0469E4C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low</w:t>
            </w:r>
          </w:p>
        </w:tc>
        <w:tc>
          <w:tcPr>
            <w:tcW w:w="1260" w:type="dxa"/>
          </w:tcPr>
          <w:p w14:paraId="6D7A0C11" w14:textId="5991402D" w:rsidR="002471A8" w:rsidRPr="00E97FC1" w:rsidRDefault="002471A8" w:rsidP="00DC25DF">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BB57E9" w:rsidRPr="00E97FC1">
              <w:rPr>
                <w:rFonts w:ascii="Helvetica" w:hAnsi="Helvetica" w:cs="Helvetica"/>
                <w:b/>
                <w:bCs/>
                <w:sz w:val="16"/>
                <w:szCs w:val="16"/>
                <w:lang w:val="en-GB"/>
              </w:rPr>
              <w:instrText>ADDIN CSL_CITATION {"citationItems":[{"id":"ITEM-1","itemData":{"DOI":"10.1016/j.bbabio.2008.06.001","ISSN":"0006-3002 (Print)","PMID":"18590697","abstract":"Analysis of the amino acid sequences of subunits NuoM and NuoN in the membrane  domain of Complex I revealed a clear common pattern, including two lysines that are predicted to be located within the membrane, and which are important for quinone reductase activity. Site-directed mutations of the amino acid residues E144, K234, K265 and W243 in this pattern were introduced into the chromosomal gene nuoM of Escherichia coli Complex I. The activity of mutated Complex I was studied in both membranes and in purified Complex I. The quinone reductase activity was practically lost in K234A, K234R and E144A, decreased in W243A and K265A but unchanged in E144D. Complex I from all these mutants contained 1 mol tightly bound ubiquinone per mol FMN like wild type enzyme. The mutant enzymes E144D, W243A and K265A had wild type sensitivity to rolliniastatin and complete proton-pumping efficiency of Complex I. Remarkably, the subunits NuoL and NuoH in the membrane domain also appear to contain conserved lysine residues in transmembrane helices, which may give a clue of the mechanism of proton translocation. A tentative principle of proton translocation by Complex I is suggested based on electrostatic interactions of lysines in the membrane subunits.","author":[{"dropping-particle":"","family":"Euro","given":"Liliya","non-dropping-particle":"","parse-names":false,"suffix":""},{"dropping-particle":"","family":"Belevich","given":"Galina","non-dropping-particle":"","parse-names":false,"suffix":""},{"dropping-particle":"","family":"Verkhovsky","given":"Michael I","non-dropping-particle":"","parse-names":false,"suffix":""},{"dropping-particle":"","family":"Wikström","given":"Mårten","non-dropping-particle":"","parse-names":false,"suffix":""},{"dropping-particle":"","family":"Verkhovskaya","given":"Marina","non-dropping-particle":"","parse-names":false,"suffix":""}],"container-title":"Biochimica et biophysica acta","id":"ITEM-1","issue":"9","issued":{"date-parts":[["2008","9"]]},"language":"eng","page":"1166-1172","publisher-place":"Netherlands","title":"Conserved lysine residues of the membrane subunit NuoM are involved in energy  conversion by the proton-pumping NADH:ubiquinone oxidoreductase (Complex I).","type":"article-journal","volume":"1777"},"uris":["http://www.mendeley.com/documents/?uuid=55e55271-a670-405e-b97e-fe05bf145f50"]}],"mendeley":{"formattedCitation":"(Euro &lt;i&gt;et al&lt;/i&gt;, 2008a)","plainTextFormattedCitation":"(Euro et al, 2008a)","previouslyFormattedCitation":"(Euro &lt;i&gt;et al&lt;/i&gt;, 2008a)"},"properties":{"noteIndex":0},"schema":"https://github.com/citation-style-language/schema/raw/master/csl-citation.json"}</w:instrText>
            </w:r>
            <w:r w:rsidRPr="00E97FC1">
              <w:rPr>
                <w:rFonts w:ascii="Helvetica" w:hAnsi="Helvetica" w:cs="Helvetica"/>
                <w:b/>
                <w:bCs/>
                <w:sz w:val="16"/>
                <w:szCs w:val="16"/>
                <w:lang w:val="en-GB"/>
              </w:rPr>
              <w:fldChar w:fldCharType="separate"/>
            </w:r>
            <w:r w:rsidR="00DC25DF" w:rsidRPr="00E97FC1">
              <w:rPr>
                <w:rFonts w:ascii="Helvetica" w:hAnsi="Helvetica" w:cs="Helvetica"/>
                <w:bCs/>
                <w:noProof/>
                <w:sz w:val="16"/>
                <w:szCs w:val="16"/>
                <w:lang w:val="en-GB"/>
              </w:rPr>
              <w:t xml:space="preserve">(Euro </w:t>
            </w:r>
            <w:r w:rsidR="00DC25DF" w:rsidRPr="00E97FC1">
              <w:rPr>
                <w:rFonts w:ascii="Helvetica" w:hAnsi="Helvetica" w:cs="Helvetica"/>
                <w:bCs/>
                <w:i/>
                <w:noProof/>
                <w:sz w:val="16"/>
                <w:szCs w:val="16"/>
                <w:lang w:val="en-GB"/>
              </w:rPr>
              <w:t>et al</w:t>
            </w:r>
            <w:r w:rsidR="00DC25DF" w:rsidRPr="00E97FC1">
              <w:rPr>
                <w:rFonts w:ascii="Helvetica" w:hAnsi="Helvetica" w:cs="Helvetica"/>
                <w:bCs/>
                <w:noProof/>
                <w:sz w:val="16"/>
                <w:szCs w:val="16"/>
                <w:lang w:val="en-GB"/>
              </w:rPr>
              <w:t>, 2008a)</w:t>
            </w:r>
            <w:r w:rsidRPr="00E97FC1">
              <w:rPr>
                <w:rFonts w:ascii="Helvetica" w:hAnsi="Helvetica" w:cs="Helvetica"/>
                <w:b/>
                <w:bCs/>
                <w:sz w:val="16"/>
                <w:szCs w:val="16"/>
                <w:lang w:val="en-GB"/>
              </w:rPr>
              <w:fldChar w:fldCharType="end"/>
            </w:r>
          </w:p>
        </w:tc>
      </w:tr>
      <w:tr w:rsidR="002471A8" w:rsidRPr="00E97FC1" w14:paraId="592945F1" w14:textId="77777777" w:rsidTr="002471A8">
        <w:trPr>
          <w:trHeight w:val="65"/>
        </w:trPr>
        <w:tc>
          <w:tcPr>
            <w:tcW w:w="1705" w:type="dxa"/>
          </w:tcPr>
          <w:p w14:paraId="3EEB890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H241A</w:t>
            </w:r>
          </w:p>
        </w:tc>
        <w:tc>
          <w:tcPr>
            <w:tcW w:w="2160" w:type="dxa"/>
            <w:vMerge w:val="restart"/>
            <w:vAlign w:val="center"/>
          </w:tcPr>
          <w:p w14:paraId="6CF3E21F"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TM7b - HL interaction</w:t>
            </w:r>
          </w:p>
        </w:tc>
        <w:tc>
          <w:tcPr>
            <w:tcW w:w="1440" w:type="dxa"/>
          </w:tcPr>
          <w:p w14:paraId="6336BBA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45C9707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90%</w:t>
            </w:r>
          </w:p>
        </w:tc>
        <w:tc>
          <w:tcPr>
            <w:tcW w:w="1260" w:type="dxa"/>
          </w:tcPr>
          <w:p w14:paraId="5BEDA3E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88%</w:t>
            </w:r>
          </w:p>
        </w:tc>
        <w:tc>
          <w:tcPr>
            <w:tcW w:w="1080" w:type="dxa"/>
          </w:tcPr>
          <w:p w14:paraId="46B4F69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27649809" w14:textId="47318F4C"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{"citationItems":[{"id":"ITEM-1","itemData":{"DOI":"10.1074/jbc.M707855200","ISSN":"0021-9258 (Print)","PMID":"17977822","abstract":"The proton-translocating NADH-quinone (Q) oxidoreductase (NDH-1) from Escherichia  coli is composed of two segments: a peripheral arm and a membrane arm. The membrane arm contains 7 hydrophobic subunits. Of these subunits, NuoM, a homolog of the mitochondrial ND4 subunit, is proposed to be involved in proton translocation and Q-binding. Therefore, we conducted site-directed mutation of 15 amino acid residues of NuoM and investigated their properties. In all mutants, the assembly of the whole enzyme seemed intact. Mutation of highly conserved Glu144 and Lys234 leads to almost total elimination of energy-transducing NDH-1 activities as well as increased production of superoxide radicals. Their NADH dehydrogenase activities were almost normal. Because these two residues are predicted to be located in the transmembrane segments of NuoM, the results strongly suggest that they participate in proton translocation. Although it is hypothesized that His interacts with a Q head group, mutations at four His moderately inhibited NDH-1 activities and had almost no effect on the Km values for Q or IC50 values of capsaicin-40, a competitive inhibitor for the Q binding site. The data suggest that these His are not involved in the catalytic Q-binding. Functional roles of NuoM and advantages of NDH-1 research as a model for mitochondrial complex I study have been discussed.","author":[{"dropping-particle":"","family":"Torres-Bacete","given":"Jesus","non-dropping-particle":"","parse-names":false,"suffix":""},{"dropping-particle":"","family":"Nakamaru-Ogiso","given":"Eiko","non-dropping-particle":"","parse-names":false,"suffix":""},{"dropping-particle":"","family":"Matsuno-Yagi","given":"Akemi","non-dropping-particle":"","parse-names":false,"suffix":""},{"dropping-particle":"","family":"Yagi","given":"Takao","non-dropping-particle":"","parse-names":false,"suffix":""}],"container-title":"The Journal of biological chemistry","id":"ITEM-1","issue":"51","issued":{"date-parts":[["2007","12"]]},"language":"eng","page":"36914-36922","publisher-place":"United States","title":"Characterization of the NuoM (ND4) subunit in Escherichia coli NDH-1: conserved  charged residues essential for energy-coupled activities.","type":"article-journal","volume":"282"},"uris":["http://www.mendeley.com/documents/?uuid=c462412d-1d13-497a-9c25-389772e45063"]}],"mendeley":{"formattedCitation":"(Torres-Bacete &lt;i&gt;et al&lt;/i&gt;, 2007)","plainTextFormattedCitation":"(Torres-Bacete et al, 2007)","previouslyFormattedCitation":"(Torres-Bacete &lt;i&gt;et al&lt;/i&gt;, 2007)"},"properties":{"noteIndex":0},"schema":"https://github.com/citation-style-language/schema/raw/master/csl-citation.json"}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(Torres-Bacete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2007)</w:t>
            </w:r>
            <w:r w:rsidRPr="00E97FC1">
              <w:rPr>
                <w:rFonts w:ascii="Helvetica" w:hAnsi="Helvetica" w:cs="Helvetica"/>
                <w:b/>
                <w:bCs/>
                <w:sz w:val="16"/>
                <w:szCs w:val="16"/>
                <w:lang w:val="en-GB"/>
              </w:rPr>
              <w:fldChar w:fldCharType="end"/>
            </w:r>
          </w:p>
        </w:tc>
      </w:tr>
      <w:tr w:rsidR="002471A8" w:rsidRPr="00E97FC1" w14:paraId="6038652E" w14:textId="77777777" w:rsidTr="002471A8">
        <w:trPr>
          <w:trHeight w:val="65"/>
        </w:trPr>
        <w:tc>
          <w:tcPr>
            <w:tcW w:w="1705" w:type="dxa"/>
          </w:tcPr>
          <w:p w14:paraId="1F6D22F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H241E</w:t>
            </w:r>
          </w:p>
        </w:tc>
        <w:tc>
          <w:tcPr>
            <w:tcW w:w="2160" w:type="dxa"/>
            <w:vMerge/>
            <w:vAlign w:val="center"/>
          </w:tcPr>
          <w:p w14:paraId="38E42817" w14:textId="77777777" w:rsidR="002471A8" w:rsidRPr="00E97FC1" w:rsidRDefault="002471A8" w:rsidP="002471A8">
            <w:pPr>
              <w:rPr>
                <w:rFonts w:ascii="Helvetica" w:hAnsi="Helvetica" w:cs="Helvetica"/>
                <w:sz w:val="20"/>
                <w:lang w:val="en-GB"/>
              </w:rPr>
            </w:pPr>
          </w:p>
        </w:tc>
        <w:tc>
          <w:tcPr>
            <w:tcW w:w="1440" w:type="dxa"/>
          </w:tcPr>
          <w:p w14:paraId="23E2CE9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4F1BBD8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79%</w:t>
            </w:r>
          </w:p>
        </w:tc>
        <w:tc>
          <w:tcPr>
            <w:tcW w:w="1260" w:type="dxa"/>
          </w:tcPr>
          <w:p w14:paraId="76430C5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71%</w:t>
            </w:r>
          </w:p>
        </w:tc>
        <w:tc>
          <w:tcPr>
            <w:tcW w:w="1080" w:type="dxa"/>
          </w:tcPr>
          <w:p w14:paraId="053CF16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0E0490EC" w14:textId="56FEFCE3"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{"citationItems":[{"id":"ITEM-1","itemData":{"DOI":"10.1371/journal.pone.0017420","ISSN":"1932-6203 (Electronic)","PMID":"21387012","abstract":"BACKGROUND: The membrane arm of Complex I (NADH:ubiquinone oxidoreductase) contains  three large, and closely related subunits, which are called L, M, and N in E. coli. These subunits are homologous to components of multi-subunit Na(+)/H(+) antiporters, and so are implicated in proton translocation. METHODOLOGY/PRINCIPAL FINDINGS: Nineteen site-specific mutations were constructed at two corresponding positions in each of the three subunits. Two positions were selected in each subunit: L_K169, M_K173, N_K158 and L_Q236, M_H241, N_H224. Membrane vesicles were prepared from all of the resulting mutant strains, and were assayed for deamino-NADH oxidase activity, proton translocation, ferricyanide reductase activity, and sensitivity to capsaicin. Corresponding mutations in the three subunits were found to have very similar effects on all activities measured. In addition, the effect of adding exogenous decylubiquinone on these activities was tested. 50 µM decylubiquinone stimulated both deamino-NADH oxidase activity and proton translocation by wild type membrane vesicles, but was inhibitory towards the same activities by membrane vesicles bearing the lysine substitution at the L236/M241/N224 positions. CONCLUSIONS/SIGNIFICANCE: The results show a close correlation with reduced activity among the corresponding mutations, and provide evidence that the L, M, and N subunits have a common role in Complex I.","author":[{"dropping-particle":"","family":"Michel","given":"Jose","non-dropping-particle":"","parse-names":false,"suffix":""},{"dropping-particle":"","family":"DeLeon-Rangel","given":"Jessica","non-dropping-particle":"","parse-names":false,"suffix":""},{"dropping-particle":"","family":"Zhu","given":"Shaotong","non-dropping-particle":"","parse-names":false,"suffix":""},{"dropping-particle":"","family":"Ree","given":"Kalie","non-dropping-particle":"Van","parse-names":false,"suffix":""},{"dropping-particle":"","family":"Vik","given":"Steven B","non-dropping-particle":"","parse-names":false,"suffix":""}],"container-title":"PloS one","id":"ITEM-1","issue":"2","issued":{"date-parts":[["2011","2"]]},"language":"eng","page":"e17420","title":"Mutagenesis of the L, M, and N subunits of Complex I from Escherichia coli indicates  a common role in function.","type":"article-journal","volume":"6"},"uris":["http://www.mendeley.com/documents/?uuid=c0aa016f-3662-48d1-a31e-f06d6ca21965"]}],"mendeley":{"formattedCitation":"(Michel &lt;i&gt;et al&lt;/i&gt;, 2011)","plainTextFormattedCitation":"(Michel et al, 2011)","previouslyFormattedCitation":"(Michel &lt;i&gt;et al&lt;/i&gt;, 2011)"},"properties":{"noteIndex":0},"schema":"https://github.com/citation-style-language/schema/raw/master/csl-citation.json"}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(Michel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2011)</w:t>
            </w:r>
            <w:r w:rsidRPr="00E97FC1">
              <w:rPr>
                <w:rFonts w:ascii="Helvetica" w:hAnsi="Helvetica" w:cs="Helvetica"/>
                <w:b/>
                <w:bCs/>
                <w:sz w:val="16"/>
                <w:szCs w:val="16"/>
                <w:lang w:val="en-GB"/>
              </w:rPr>
              <w:fldChar w:fldCharType="end"/>
            </w:r>
          </w:p>
        </w:tc>
      </w:tr>
      <w:tr w:rsidR="002471A8" w:rsidRPr="00E97FC1" w14:paraId="7BF747B8" w14:textId="77777777" w:rsidTr="002471A8">
        <w:trPr>
          <w:trHeight w:val="65"/>
        </w:trPr>
        <w:tc>
          <w:tcPr>
            <w:tcW w:w="1705" w:type="dxa"/>
          </w:tcPr>
          <w:p w14:paraId="6E8E7F6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H241K</w:t>
            </w:r>
          </w:p>
        </w:tc>
        <w:tc>
          <w:tcPr>
            <w:tcW w:w="2160" w:type="dxa"/>
            <w:vMerge/>
            <w:vAlign w:val="center"/>
          </w:tcPr>
          <w:p w14:paraId="6BBBAA7A" w14:textId="77777777" w:rsidR="002471A8" w:rsidRPr="00E97FC1" w:rsidRDefault="002471A8" w:rsidP="002471A8">
            <w:pPr>
              <w:rPr>
                <w:rFonts w:ascii="Helvetica" w:hAnsi="Helvetica" w:cs="Helvetica"/>
                <w:sz w:val="20"/>
                <w:lang w:val="en-GB"/>
              </w:rPr>
            </w:pPr>
          </w:p>
        </w:tc>
        <w:tc>
          <w:tcPr>
            <w:tcW w:w="1440" w:type="dxa"/>
          </w:tcPr>
          <w:p w14:paraId="1987EC8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0E8ABC2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94%</w:t>
            </w:r>
          </w:p>
        </w:tc>
        <w:tc>
          <w:tcPr>
            <w:tcW w:w="1260" w:type="dxa"/>
          </w:tcPr>
          <w:p w14:paraId="7B6129B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40%</w:t>
            </w:r>
          </w:p>
        </w:tc>
        <w:tc>
          <w:tcPr>
            <w:tcW w:w="1080" w:type="dxa"/>
          </w:tcPr>
          <w:p w14:paraId="5989390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low</w:t>
            </w:r>
          </w:p>
        </w:tc>
        <w:tc>
          <w:tcPr>
            <w:tcW w:w="1260" w:type="dxa"/>
          </w:tcPr>
          <w:p w14:paraId="005C9CC8" w14:textId="3A3E8E4B"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{"citationItems":[{"id":"ITEM-1","itemData":{"DOI":"10.1371/journal.pone.0017420","ISSN":"1932-6203 (Electronic)","PMID":"21387012","abstract":"BACKGROUND: The membrane arm of Complex I (NADH:ubiquinone oxidoreductase) contains  three large, and closely related subunits, which are called L, M, and N in E. coli. These subunits are homologous to components of multi-subunit Na(+)/H(+) antiporters, and so are implicated in proton translocation. METHODOLOGY/PRINCIPAL FINDINGS: Nineteen site-specific mutations were constructed at two corresponding positions in each of the three subunits. Two positions were selected in each subunit: L_K169, M_K173, N_K158 and L_Q236, M_H241, N_H224. Membrane vesicles were prepared from all of the resulting mutant strains, and were assayed for deamino-NADH oxidase activity, proton translocation, ferricyanide reductase activity, and sensitivity to capsaicin. Corresponding mutations in the three subunits were found to have very similar effects on all activities measured. In addition, the effect of adding exogenous decylubiquinone on these activities was tested. 50 µM decylubiquinone stimulated both deamino-NADH oxidase activity and proton translocation by wild type membrane vesicles, but was inhibitory towards the same activities by membrane vesicles bearing the lysine substitution at the L236/M241/N224 positions. CONCLUSIONS/SIGNIFICANCE: The results show a close correlation with reduced activity among the corresponding mutations, and provide evidence that the L, M, and N subunits have a common role in Complex I.","author":[{"dropping-particle":"","family":"Michel","given":"Jose","non-dropping-particle":"","parse-names":false,"suffix":""},{"dropping-particle":"","family":"DeLeon-Rangel","given":"Jessica","non-dropping-particle":"","parse-names":false,"suffix":""},{"dropping-particle":"","family":"Zhu","given":"Shaotong","non-dropping-particle":"","parse-names":false,"suffix":""},{"dropping-particle":"","family":"Ree","given":"Kalie","non-dropping-particle":"Van","parse-names":false,"suffix":""},{"dropping-particle":"","family":"Vik","given":"Steven B","non-dropping-particle":"","parse-names":false,"suffix":""}],"container-title":"PloS one","id":"ITEM-1","issue":"2","issued":{"date-parts":[["2011","2"]]},"language":"eng","page":"e17420","title":"Mutagenesis of the L, M, and N subunits of Complex I from Escherichia coli indicates  a common role in function.","type":"article-journal","volume":"6"},"uris":["http://www.mendeley.com/documents/?uuid=c0aa016f-3662-48d1-a31e-f06d6ca21965"]}],"mendeley":{"formattedCitation":"(Michel &lt;i&gt;et al&lt;/i&gt;, 2011)","plainTextFormattedCitation":"(Michel et al, 2011)","previouslyFormattedCitation":"(Michel &lt;i&gt;et al&lt;/i&gt;, 2011)"},"properties":{"noteIndex":0},"schema":"https://github.com/citation-style-language/schema/raw/master/csl-citation.json"}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(Michel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2011)</w:t>
            </w:r>
            <w:r w:rsidRPr="00E97FC1">
              <w:rPr>
                <w:rFonts w:ascii="Helvetica" w:hAnsi="Helvetica" w:cs="Helvetica"/>
                <w:b/>
                <w:bCs/>
                <w:sz w:val="16"/>
                <w:szCs w:val="16"/>
                <w:lang w:val="en-GB"/>
              </w:rPr>
              <w:fldChar w:fldCharType="end"/>
            </w:r>
          </w:p>
        </w:tc>
      </w:tr>
      <w:tr w:rsidR="002471A8" w:rsidRPr="00E97FC1" w14:paraId="4F407A18" w14:textId="77777777" w:rsidTr="002471A8">
        <w:trPr>
          <w:trHeight w:val="65"/>
        </w:trPr>
        <w:tc>
          <w:tcPr>
            <w:tcW w:w="1705" w:type="dxa"/>
          </w:tcPr>
          <w:p w14:paraId="58875E5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H241R</w:t>
            </w:r>
          </w:p>
        </w:tc>
        <w:tc>
          <w:tcPr>
            <w:tcW w:w="2160" w:type="dxa"/>
            <w:vMerge/>
            <w:vAlign w:val="center"/>
          </w:tcPr>
          <w:p w14:paraId="5C3B51F9" w14:textId="77777777" w:rsidR="002471A8" w:rsidRPr="00E97FC1" w:rsidRDefault="002471A8" w:rsidP="002471A8">
            <w:pPr>
              <w:rPr>
                <w:rFonts w:ascii="Helvetica" w:hAnsi="Helvetica" w:cs="Helvetica"/>
                <w:sz w:val="20"/>
                <w:lang w:val="en-GB"/>
              </w:rPr>
            </w:pPr>
          </w:p>
        </w:tc>
        <w:tc>
          <w:tcPr>
            <w:tcW w:w="1440" w:type="dxa"/>
          </w:tcPr>
          <w:p w14:paraId="6AC4AEE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1676878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81%</w:t>
            </w:r>
          </w:p>
        </w:tc>
        <w:tc>
          <w:tcPr>
            <w:tcW w:w="1260" w:type="dxa"/>
          </w:tcPr>
          <w:p w14:paraId="5C3ABF2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46%</w:t>
            </w:r>
          </w:p>
        </w:tc>
        <w:tc>
          <w:tcPr>
            <w:tcW w:w="1080" w:type="dxa"/>
          </w:tcPr>
          <w:p w14:paraId="54C51FD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2962D2DF" w14:textId="167AB636"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{"citationItems":[{"id":"ITEM-1","itemData":{"DOI":"10.1371/journal.pone.0017420","ISSN":"1932-6203 (Electronic)","PMID":"21387012","abstract":"BACKGROUND: The membrane arm of Complex I (NADH:ubiquinone oxidoreductase) contains  three large, and closely related subunits, which are called L, M, and N in E. coli. These subunits are homologous to components of multi-subunit Na(+)/H(+) antiporters, and so are implicated in proton translocation. METHODOLOGY/PRINCIPAL FINDINGS: Nineteen site-specific mutations were constructed at two corresponding positions in each of the three subunits. Two positions were selected in each subunit: L_K169, M_K173, N_K158 and L_Q236, M_H241, N_H224. Membrane vesicles were prepared from all of the resulting mutant strains, and were assayed for deamino-NADH oxidase activity, proton translocation, ferricyanide reductase activity, and sensitivity to capsaicin. Corresponding mutations in the three subunits were found to have very similar effects on all activities measured. In addition, the effect of adding exogenous decylubiquinone on these activities was tested. 50 µM decylubiquinone stimulated both deamino-NADH oxidase activity and proton translocation by wild type membrane vesicles, but was inhibitory towards the same activities by membrane vesicles bearing the lysine substitution at the L236/M241/N224 positions. CONCLUSIONS/SIGNIFICANCE: The results show a close correlation with reduced activity among the corresponding mutations, and provide evidence that the L, M, and N subunits have a common role in Complex I.","author":[{"dropping-particle":"","family":"Michel","given":"Jose","non-dropping-particle":"","parse-names":false,"suffix":""},{"dropping-particle":"","family":"DeLeon-Rangel","given":"Jessica","non-dropping-particle":"","parse-names":false,"suffix":""},{"dropping-particle":"","family":"Zhu","given":"Shaotong","non-dropping-particle":"","parse-names":false,"suffix":""},{"dropping-particle":"","family":"Ree","given":"Kalie","non-dropping-particle":"Van","parse-names":false,"suffix":""},{"dropping-particle":"","family":"Vik","given":"Steven B","non-dropping-particle":"","parse-names":false,"suffix":""}],"container-title":"PloS one","id":"ITEM-1","issue":"2","issued":{"date-parts":[["2011","2"]]},"language":"eng","page":"e17420","title":"Mutagenesis of the L, M, and N subunits of Complex I from Escherichia coli indicates  a common role in function.","type":"article-journal","volume":"6"},"uris":["http://www.mendeley.com/documents/?uuid=c0aa016f-3662-48d1-a31e-f06d6ca21965"]}],"mendeley":{"formattedCitation":"(Michel &lt;i&gt;et al&lt;/i&gt;, 2011)","plainTextFormattedCitation":"(Michel et al, 2011)","previouslyFormattedCitation":"(Michel &lt;i&gt;et al&lt;/i&gt;, 2011)"},"properties":{"noteIndex":0},"schema":"https://github.com/citation-style-language/schema/raw/master/csl-citation.json"}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(Michel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2011)</w:t>
            </w:r>
            <w:r w:rsidRPr="00E97FC1">
              <w:rPr>
                <w:rFonts w:ascii="Helvetica" w:hAnsi="Helvetica" w:cs="Helvetica"/>
                <w:b/>
                <w:bCs/>
                <w:sz w:val="16"/>
                <w:szCs w:val="16"/>
                <w:lang w:val="en-GB"/>
              </w:rPr>
              <w:fldChar w:fldCharType="end"/>
            </w:r>
          </w:p>
        </w:tc>
      </w:tr>
      <w:tr w:rsidR="002471A8" w:rsidRPr="00E97FC1" w14:paraId="7171E586" w14:textId="77777777" w:rsidTr="002471A8">
        <w:trPr>
          <w:trHeight w:val="65"/>
        </w:trPr>
        <w:tc>
          <w:tcPr>
            <w:tcW w:w="1705" w:type="dxa"/>
          </w:tcPr>
          <w:p w14:paraId="7798D6B0"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W243A</w:t>
            </w:r>
          </w:p>
        </w:tc>
        <w:tc>
          <w:tcPr>
            <w:tcW w:w="2160" w:type="dxa"/>
            <w:vMerge w:val="restart"/>
          </w:tcPr>
          <w:p w14:paraId="3D711453"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TM7b – TM7a HB</w:t>
            </w:r>
          </w:p>
        </w:tc>
        <w:tc>
          <w:tcPr>
            <w:tcW w:w="1440" w:type="dxa"/>
          </w:tcPr>
          <w:p w14:paraId="36258DB1"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59B99B7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97%</w:t>
            </w:r>
          </w:p>
        </w:tc>
        <w:tc>
          <w:tcPr>
            <w:tcW w:w="1260" w:type="dxa"/>
          </w:tcPr>
          <w:p w14:paraId="408DE7B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103%</w:t>
            </w:r>
          </w:p>
        </w:tc>
        <w:tc>
          <w:tcPr>
            <w:tcW w:w="1080" w:type="dxa"/>
          </w:tcPr>
          <w:p w14:paraId="1F0030C1"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260" w:type="dxa"/>
          </w:tcPr>
          <w:p w14:paraId="655B0F96" w14:textId="0B9F5B62"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{"citationItems":[{"id":"ITEM-1","itemData":{"DOI":"10.1074/jbc.M707855200","ISSN":"0021-9258 (Print)","PMID":"17977822","abstract":"The proton-translocating NADH-quinone (Q) oxidoreductase (NDH-1) from Escherichia  coli is composed of two segments: a peripheral arm and a membrane arm. The membrane arm contains 7 hydrophobic subunits. Of these subunits, NuoM, a homolog of the mitochondrial ND4 subunit, is proposed to be involved in proton translocation and Q-binding. Therefore, we conducted site-directed mutation of 15 amino acid residues of NuoM and investigated their properties. In all mutants, the assembly of the whole enzyme seemed intact. Mutation of highly conserved Glu144 and Lys234 leads to almost total elimination of energy-transducing NDH-1 activities as well as increased production of superoxide radicals. Their NADH dehydrogenase activities were almost normal. Because these two residues are predicted to be located in the transmembrane segments of NuoM, the results strongly suggest that they participate in proton translocation. Although it is hypothesized that His interacts with a Q head group, mutations at four His moderately inhibited NDH-1 activities and had almost no effect on the Km values for Q or IC50 values of capsaicin-40, a competitive inhibitor for the Q binding site. The data suggest that these His are not involved in the catalytic Q-binding. Functional roles of NuoM and advantages of NDH-1 research as a model for mitochondrial complex I study have been discussed.","author":[{"dropping-particle":"","family":"Torres-Bacete","given":"Jesus","non-dropping-particle":"","parse-names":false,"suffix":""},{"dropping-particle":"","family":"Nakamaru-Ogiso","given":"Eiko","non-dropping-particle":"","parse-names":false,"suffix":""},{"dropping-particle":"","family":"Matsuno-Yagi","given":"Akemi","non-dropping-particle":"","parse-names":false,"suffix":""},{"dropping-particle":"","family":"Yagi","given":"Takao","non-dropping-particle":"","parse-names":false,"suffix":""}],"container-title":"The Journal of biological chemistry","id":"ITEM-1","issue":"51","issued":{"date-parts":[["2007","12"]]},"language":"eng","page":"36914-36922","publisher-place":"United States","title":"Characterization of the NuoM (ND4) subunit in Escherichia coli NDH-1: conserved  charged residues essential for energy-coupled activities.","type":"article-journal","volume":"282"},"uris":["http://www.mendeley.com/documents/?uuid=c462412d-1d13-497a-9c25-389772e45063"]}],"mendeley":{"formattedCitation":"(Torres-Bacete &lt;i&gt;et al&lt;/i&gt;, 2007)","plainTextFormattedCitation":"(Torres-Bacete et al, 2007)","previouslyFormattedCitation":"(Torres-Bacete &lt;i&gt;et al&lt;/i&gt;, 2007)"},"properties":{"noteIndex":0},"schema":"https://github.com/citation-style-language/schema/raw/master/csl-citation.json"}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(Torres-Bacete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2007)</w:t>
            </w:r>
            <w:r w:rsidRPr="00E97FC1">
              <w:rPr>
                <w:rFonts w:ascii="Helvetica" w:hAnsi="Helvetica" w:cs="Helvetica"/>
                <w:b/>
                <w:bCs/>
                <w:sz w:val="16"/>
                <w:szCs w:val="16"/>
                <w:lang w:val="en-GB"/>
              </w:rPr>
              <w:fldChar w:fldCharType="end"/>
            </w:r>
          </w:p>
        </w:tc>
      </w:tr>
      <w:tr w:rsidR="002471A8" w:rsidRPr="00E97FC1" w14:paraId="10380D37" w14:textId="77777777" w:rsidTr="002471A8">
        <w:trPr>
          <w:trHeight w:val="65"/>
        </w:trPr>
        <w:tc>
          <w:tcPr>
            <w:tcW w:w="1705" w:type="dxa"/>
          </w:tcPr>
          <w:p w14:paraId="397F456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W243Y</w:t>
            </w:r>
          </w:p>
        </w:tc>
        <w:tc>
          <w:tcPr>
            <w:tcW w:w="2160" w:type="dxa"/>
            <w:vMerge/>
          </w:tcPr>
          <w:p w14:paraId="6297819F" w14:textId="77777777" w:rsidR="002471A8" w:rsidRPr="00E97FC1" w:rsidRDefault="002471A8" w:rsidP="002471A8">
            <w:pPr>
              <w:rPr>
                <w:rFonts w:ascii="Helvetica" w:hAnsi="Helvetica" w:cs="Helvetica"/>
                <w:bCs/>
                <w:sz w:val="20"/>
                <w:lang w:val="en-GB"/>
              </w:rPr>
            </w:pPr>
          </w:p>
        </w:tc>
        <w:tc>
          <w:tcPr>
            <w:tcW w:w="1440" w:type="dxa"/>
          </w:tcPr>
          <w:p w14:paraId="6954A9D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7004B1B0"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108%</w:t>
            </w:r>
          </w:p>
        </w:tc>
        <w:tc>
          <w:tcPr>
            <w:tcW w:w="1260" w:type="dxa"/>
          </w:tcPr>
          <w:p w14:paraId="7F218E31"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104%</w:t>
            </w:r>
          </w:p>
        </w:tc>
        <w:tc>
          <w:tcPr>
            <w:tcW w:w="1080" w:type="dxa"/>
          </w:tcPr>
          <w:p w14:paraId="4558E550"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7E61FD1C" w14:textId="1FA1D6B7"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{"citationItems":[{"id":"ITEM-1","itemData":{"DOI":"10.1074/jbc.M707855200","ISSN":"0021-9258 (Print)","PMID":"17977822","abstract":"The proton-translocating NADH-quinone (Q) oxidoreductase (NDH-1) from Escherichia  coli is composed of two segments: a peripheral arm and a membrane arm. The membrane arm contains 7 hydrophobic subunits. Of these subunits, NuoM, a homolog of the mitochondrial ND4 subunit, is proposed to be involved in proton translocation and Q-binding. Therefore, we conducted site-directed mutation of 15 amino acid residues of NuoM and investigated their properties. In all mutants, the assembly of the whole enzyme seemed intact. Mutation of highly conserved Glu144 and Lys234 leads to almost total elimination of energy-transducing NDH-1 activities as well as increased production of superoxide radicals. Their NADH dehydrogenase activities were almost normal. Because these two residues are predicted to be located in the transmembrane segments of NuoM, the results strongly suggest that they participate in proton translocation. Although it is hypothesized that His interacts with a Q head group, mutations at four His moderately inhibited NDH-1 activities and had almost no effect on the Km values for Q or IC50 values of capsaicin-40, a competitive inhibitor for the Q binding site. The data suggest that these His are not involved in the catalytic Q-binding. Functional roles of NuoM and advantages of NDH-1 research as a model for mitochondrial complex I study have been discussed.","author":[{"dropping-particle":"","family":"Torres-Bacete","given":"Jesus","non-dropping-particle":"","parse-names":false,"suffix":""},{"dropping-particle":"","family":"Nakamaru-Ogiso","given":"Eiko","non-dropping-particle":"","parse-names":false,"suffix":""},{"dropping-particle":"","family":"Matsuno-Yagi","given":"Akemi","non-dropping-particle":"","parse-names":false,"suffix":""},{"dropping-particle":"","family":"Yagi","given":"Takao","non-dropping-particle":"","parse-names":false,"suffix":""}],"container-title":"The Journal of biological chemistry","id":"ITEM-1","issue":"51","issued":{"date-parts":[["2007","12"]]},"language":"eng","page":"36914-36922","publisher-place":"United States","title":"Characterization of the NuoM (ND4) subunit in Escherichia coli NDH-1: conserved  charged residues essential for energy-coupled activities.","type":"article-journal","volume":"282"},"uris":["http://www.mendeley.com/documents/?uuid=c462412d-1d13-497a-9c25-389772e45063"]}],"mendeley":{"formattedCitation":"(Torres-Bacete &lt;i&gt;et al&lt;/i&gt;, 2007)","plainTextFormattedCitation":"(Torres-Bacete et al, 2007)","previouslyFormattedCitation":"(Torres-Bacete &lt;i&gt;et al&lt;/i&gt;, 2007)"},"properties":{"noteIndex":0},"schema":"https://github.com/citation-style-language/schema/raw/master/csl-citation.json"}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(Torres-Bacete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2007)</w:t>
            </w:r>
            <w:r w:rsidRPr="00E97FC1">
              <w:rPr>
                <w:rFonts w:ascii="Helvetica" w:hAnsi="Helvetica" w:cs="Helvetica"/>
                <w:b/>
                <w:bCs/>
                <w:sz w:val="16"/>
                <w:szCs w:val="16"/>
                <w:lang w:val="en-GB"/>
              </w:rPr>
              <w:fldChar w:fldCharType="end"/>
            </w:r>
          </w:p>
        </w:tc>
      </w:tr>
      <w:tr w:rsidR="002471A8" w:rsidRPr="00E97FC1" w14:paraId="3656ADDB" w14:textId="77777777" w:rsidTr="002471A8">
        <w:trPr>
          <w:trHeight w:val="65"/>
        </w:trPr>
        <w:tc>
          <w:tcPr>
            <w:tcW w:w="1705" w:type="dxa"/>
          </w:tcPr>
          <w:p w14:paraId="515FBC2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P245A</w:t>
            </w:r>
          </w:p>
        </w:tc>
        <w:tc>
          <w:tcPr>
            <w:tcW w:w="2160" w:type="dxa"/>
          </w:tcPr>
          <w:p w14:paraId="60C17DA7"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TM7b surface</w:t>
            </w:r>
          </w:p>
        </w:tc>
        <w:tc>
          <w:tcPr>
            <w:tcW w:w="1440" w:type="dxa"/>
          </w:tcPr>
          <w:p w14:paraId="79FE61E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2EFFE7B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100%</w:t>
            </w:r>
          </w:p>
        </w:tc>
        <w:tc>
          <w:tcPr>
            <w:tcW w:w="1260" w:type="dxa"/>
          </w:tcPr>
          <w:p w14:paraId="2A6A164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102%</w:t>
            </w:r>
          </w:p>
        </w:tc>
        <w:tc>
          <w:tcPr>
            <w:tcW w:w="1080" w:type="dxa"/>
          </w:tcPr>
          <w:p w14:paraId="42E65D3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1A93E220" w14:textId="5DC469B4"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{"citationItems":[{"id":"ITEM-1","itemData":{"DOI":"10.1074/jbc.M707855200","ISSN":"0021-9258 (Print)","PMID":"17977822","abstract":"The proton-translocating NADH-quinone (Q) oxidoreductase (NDH-1) from Escherichia  coli is composed of two segments: a peripheral arm and a membrane arm. The membrane arm contains 7 hydrophobic subunits. Of these subunits, NuoM, a homolog of the mitochondrial ND4 subunit, is proposed to be involved in proton translocation and Q-binding. Therefore, we conducted site-directed mutation of 15 amino acid residues of NuoM and investigated their properties. In all mutants, the assembly of the whole enzyme seemed intact. Mutation of highly conserved Glu144 and Lys234 leads to almost total elimination of energy-transducing NDH-1 activities as well as increased production of superoxide radicals. Their NADH dehydrogenase activities were almost normal. Because these two residues are predicted to be located in the transmembrane segments of NuoM, the results strongly suggest that they participate in proton translocation. Although it is hypothesized that His interacts with a Q head group, mutations at four His moderately inhibited NDH-1 activities and had almost no effect on the Km values for Q or IC50 values of capsaicin-40, a competitive inhibitor for the Q binding site. The data suggest that these His are not involved in the catalytic Q-binding. Functional roles of NuoM and advantages of NDH-1 research as a model for mitochondrial complex I study have been discussed.","author":[{"dropping-particle":"","family":"Torres-Bacete","given":"Jesus","non-dropping-particle":"","parse-names":false,"suffix":""},{"dropping-particle":"","family":"Nakamaru-Ogiso","given":"Eiko","non-dropping-particle":"","parse-names":false,"suffix":""},{"dropping-particle":"","family":"Matsuno-Yagi","given":"Akemi","non-dropping-particle":"","parse-names":false,"suffix":""},{"dropping-particle":"","family":"Yagi","given":"Takao","non-dropping-particle":"","parse-names":false,"suffix":""}],"container-title":"The Journal of biological chemistry","id":"ITEM-1","issue":"51","issued":{"date-parts":[["2007","12"]]},"language":"eng","page":"36914-36922","publisher-place":"United States","title":"Characterization of the NuoM (ND4) subunit in Escherichia coli NDH-1: conserved  charged residues essential for energy-coupled activities.","type":"article-journal","volume":"282"},"uris":["http://www.mendeley.com/documents/?uuid=c462412d-1d13-497a-9c25-389772e45063"]}],"mendeley":{"formattedCitation":"(Torres-Bacete &lt;i&gt;et al&lt;/i&gt;, 2007)","plainTextFormattedCitation":"(Torres-Bacete et al, 2007)","previouslyFormattedCitation":"(Torres-Bacete &lt;i&gt;et al&lt;/i&gt;, 2007)"},"properties":{"noteIndex":0},"schema":"https://github.com/citation-style-language/schema/raw/master/csl-citation.json"}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(Torres-Bacete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2007)</w:t>
            </w:r>
            <w:r w:rsidRPr="00E97FC1">
              <w:rPr>
                <w:rFonts w:ascii="Helvetica" w:hAnsi="Helvetica" w:cs="Helvetica"/>
                <w:b/>
                <w:bCs/>
                <w:sz w:val="16"/>
                <w:szCs w:val="16"/>
                <w:lang w:val="en-GB"/>
              </w:rPr>
              <w:fldChar w:fldCharType="end"/>
            </w:r>
          </w:p>
        </w:tc>
      </w:tr>
      <w:tr w:rsidR="002471A8" w:rsidRPr="00E97FC1" w14:paraId="6EDE7B24" w14:textId="77777777" w:rsidTr="002471A8">
        <w:trPr>
          <w:trHeight w:val="65"/>
        </w:trPr>
        <w:tc>
          <w:tcPr>
            <w:tcW w:w="1705" w:type="dxa"/>
          </w:tcPr>
          <w:p w14:paraId="3658884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K265A</w:t>
            </w:r>
          </w:p>
        </w:tc>
        <w:tc>
          <w:tcPr>
            <w:tcW w:w="2160" w:type="dxa"/>
          </w:tcPr>
          <w:p w14:paraId="7D718800"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TM8, central axe</w:t>
            </w:r>
          </w:p>
        </w:tc>
        <w:tc>
          <w:tcPr>
            <w:tcW w:w="1440" w:type="dxa"/>
          </w:tcPr>
          <w:p w14:paraId="077B514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20E9CC37"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96%</w:t>
            </w:r>
          </w:p>
        </w:tc>
        <w:tc>
          <w:tcPr>
            <w:tcW w:w="1260" w:type="dxa"/>
          </w:tcPr>
          <w:p w14:paraId="444C0F0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35-80%</w:t>
            </w:r>
          </w:p>
        </w:tc>
        <w:tc>
          <w:tcPr>
            <w:tcW w:w="1080" w:type="dxa"/>
          </w:tcPr>
          <w:p w14:paraId="34E9707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low</w:t>
            </w:r>
          </w:p>
        </w:tc>
        <w:tc>
          <w:tcPr>
            <w:tcW w:w="1260" w:type="dxa"/>
          </w:tcPr>
          <w:p w14:paraId="7A8C2E70" w14:textId="67A8FCB6"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{"citationItems":[{"id":"ITEM-1","itemData":{"DOI":"10.1074/jbc.M707855200","ISSN":"0021-9258 (Print)","PMID":"17977822","abstract":"The proton-translocating NADH-quinone (Q) oxidoreductase (NDH-1) from Escherichia  coli is composed of two segments: a peripheral arm and a membrane arm. The membrane arm contains 7 hydrophobic subunits. Of these subunits, NuoM, a homolog of the mitochondrial ND4 subunit, is proposed to be involved in proton translocation and Q-binding. Therefore, we conducted site-directed mutation of 15 amino acid residues of NuoM and investigated their properties. In all mutants, the assembly of the whole enzyme seemed intact. Mutation of highly conserved Glu144 and Lys234 leads to almost total elimination of energy-transducing NDH-1 activities as well as increased production of superoxide radicals. Their NADH dehydrogenase activities were almost normal. Because these two residues are predicted to be located in the transmembrane segments of NuoM, the results strongly suggest that they participate in proton translocation. Although it is hypothesized that His interacts with a Q head group, mutations at four His moderately inhibited NDH-1 activities and had almost no effect on the Km values for Q or IC50 values of capsaicin-40, a competitive inhibitor for the Q binding site. The data suggest that these His are not involved in the catalytic Q-binding. Functional roles of NuoM and advantages of NDH-1 research as a model for mitochondrial complex I study have been discussed.","author":[{"dropping-particle":"","family":"Torres-Bacete","given":"Jesus","non-dropping-particle":"","parse-names":false,"suffix":""},{"dropping-particle":"","family":"Nakamaru-Ogiso","given":"Eiko","non-dropping-particle":"","parse-names":false,"suffix":""},{"dropping-particle":"","family":"Matsuno-Yagi","given":"Akemi","non-dropping-particle":"","parse-names":false,"suffix":""},{"dropping-particle":"","family":"Yagi","given":"Takao","non-dropping-particle":"","parse-names":false,"suffix":""}],"container-title":"The Journal of biological chemistry","id":"ITEM-1","issue":"51","issued":{"date-parts":[["2007","12"]]},"language":"eng","page":"36914-36922","publisher-place":"United States","title":"Characterization of the NuoM (ND4) subunit in Escherichia coli NDH-1: conserved  charged residues essential for energy-coupled activities.","type":"article-journal","volume":"282"},"uris":["http://www.mendeley.com/documents/?uuid=c462412d-1d13-497a-9c25-389772e45063"]}],"mendeley":{"formattedCitation":"(Torres-Bacete &lt;i&gt;et al&lt;/i&gt;, 2007)","plainTextFormattedCitation":"(Torres-Bacete et al, 2007)","previouslyFormattedCitation":"(Torres-Bacete &lt;i&gt;et al&lt;/i&gt;, 2007)"},"properties":{"noteIndex":0},"schema":"https://github.com/citation-style-language/schema/raw/master/csl-citation.json"}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(Torres-Bacete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2007)</w:t>
            </w:r>
            <w:r w:rsidRPr="00E97FC1">
              <w:rPr>
                <w:rFonts w:ascii="Helvetica" w:hAnsi="Helvetica" w:cs="Helvetica"/>
                <w:b/>
                <w:bCs/>
                <w:sz w:val="16"/>
                <w:szCs w:val="16"/>
                <w:lang w:val="en-GB"/>
              </w:rPr>
              <w:fldChar w:fldCharType="end"/>
            </w:r>
          </w:p>
        </w:tc>
      </w:tr>
      <w:tr w:rsidR="002471A8" w:rsidRPr="00E97FC1" w14:paraId="7CDC30A6" w14:textId="77777777" w:rsidTr="002471A8">
        <w:trPr>
          <w:trHeight w:val="65"/>
        </w:trPr>
        <w:tc>
          <w:tcPr>
            <w:tcW w:w="1705" w:type="dxa"/>
          </w:tcPr>
          <w:p w14:paraId="6827090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lastRenderedPageBreak/>
              <w:t>R273A</w:t>
            </w:r>
          </w:p>
        </w:tc>
        <w:tc>
          <w:tcPr>
            <w:tcW w:w="2160" w:type="dxa"/>
          </w:tcPr>
          <w:p w14:paraId="3C92B34D" w14:textId="77777777" w:rsidR="002471A8" w:rsidRPr="00E97FC1" w:rsidRDefault="002471A8" w:rsidP="002471A8">
            <w:pPr>
              <w:rPr>
                <w:rFonts w:ascii="Helvetica" w:hAnsi="Helvetica" w:cs="Helvetica"/>
                <w:b/>
                <w:bCs/>
                <w:sz w:val="20"/>
                <w:lang w:val="en-GB"/>
              </w:rPr>
            </w:pPr>
            <w:r w:rsidRPr="00E97FC1">
              <w:rPr>
                <w:rFonts w:ascii="Helvetica" w:hAnsi="Helvetica" w:cs="Helvetica"/>
                <w:bCs/>
                <w:sz w:val="20"/>
                <w:lang w:val="en-GB"/>
              </w:rPr>
              <w:t xml:space="preserve">TM8 - </w:t>
            </w:r>
            <w:r w:rsidRPr="00E97FC1">
              <w:rPr>
                <w:rFonts w:ascii="Helvetica" w:hAnsi="Helvetica" w:cs="Helvetica"/>
                <w:iCs/>
                <w:sz w:val="20"/>
                <w:lang w:val="en-GB"/>
              </w:rPr>
              <w:t xml:space="preserve">β-hairpin </w:t>
            </w:r>
            <w:r w:rsidRPr="00E97FC1">
              <w:rPr>
                <w:rFonts w:ascii="Helvetica" w:hAnsi="Helvetica" w:cs="Helvetica"/>
                <w:bCs/>
                <w:sz w:val="20"/>
                <w:lang w:val="en-GB"/>
              </w:rPr>
              <w:t>SB</w:t>
            </w:r>
          </w:p>
        </w:tc>
        <w:tc>
          <w:tcPr>
            <w:tcW w:w="1440" w:type="dxa"/>
          </w:tcPr>
          <w:p w14:paraId="62F575A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7DB04C7B"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105%</w:t>
            </w:r>
          </w:p>
        </w:tc>
        <w:tc>
          <w:tcPr>
            <w:tcW w:w="1260" w:type="dxa"/>
          </w:tcPr>
          <w:p w14:paraId="6F72F454"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92%</w:t>
            </w:r>
          </w:p>
        </w:tc>
        <w:tc>
          <w:tcPr>
            <w:tcW w:w="1080" w:type="dxa"/>
          </w:tcPr>
          <w:p w14:paraId="28143F37"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2BC9EED5" w14:textId="5250467F"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{"citationItems":[{"id":"ITEM-1","itemData":{"DOI":"10.1074/jbc.M707855200","ISSN":"0021-9258 (Print)","PMID":"17977822","abstract":"The proton-translocating NADH-quinone (Q) oxidoreductase (NDH-1) from Escherichia  coli is composed of two segments: a peripheral arm and a membrane arm. The membrane arm contains 7 hydrophobic subunits. Of these subunits, NuoM, a homolog of the mitochondrial ND4 subunit, is proposed to be involved in proton translocation and Q-binding. Therefore, we conducted site-directed mutation of 15 amino acid residues of NuoM and investigated their properties. In all mutants, the assembly of the whole enzyme seemed intact. Mutation of highly conserved Glu144 and Lys234 leads to almost total elimination of energy-transducing NDH-1 activities as well as increased production of superoxide radicals. Their NADH dehydrogenase activities were almost normal. Because these two residues are predicted to be located in the transmembrane segments of NuoM, the results strongly suggest that they participate in proton translocation. Although it is hypothesized that His interacts with a Q head group, mutations at four His moderately inhibited NDH-1 activities and had almost no effect on the Km values for Q or IC50 values of capsaicin-40, a competitive inhibitor for the Q binding site. The data suggest that these His are not involved in the catalytic Q-binding. Functional roles of NuoM and advantages of NDH-1 research as a model for mitochondrial complex I study have been discussed.","author":[{"dropping-particle":"","family":"Torres-Bacete","given":"Jesus","non-dropping-particle":"","parse-names":false,"suffix":""},{"dropping-particle":"","family":"Nakamaru-Ogiso","given":"Eiko","non-dropping-particle":"","parse-names":false,"suffix":""},{"dropping-particle":"","family":"Matsuno-Yagi","given":"Akemi","non-dropping-particle":"","parse-names":false,"suffix":""},{"dropping-particle":"","family":"Yagi","given":"Takao","non-dropping-particle":"","parse-names":false,"suffix":""}],"container-title":"The Journal of biological chemistry","id":"ITEM-1","issue":"51","issued":{"date-parts":[["2007","12"]]},"language":"eng","page":"36914-36922","publisher-place":"United States","title":"Characterization of the NuoM (ND4) subunit in Escherichia coli NDH-1: conserved  charged residues essential for energy-coupled activities.","type":"article-journal","volume":"282"},"uris":["http://www.mendeley.com/documents/?uuid=c462412d-1d13-497a-9c25-389772e45063"]}],"mendeley":{"formattedCitation":"(Torres-Bacete &lt;i&gt;et al&lt;/i&gt;, 2007)","plainTextFormattedCitation":"(Torres-Bacete et al, 2007)","previouslyFormattedCitation":"(Torres-Bacete &lt;i&gt;et al&lt;/i&gt;, 2007)"},"properties":{"noteIndex":0},"schema":"https://github.com/citation-style-language/schema/raw/master/csl-citation.json"}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(Torres-Bacete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2007)</w:t>
            </w:r>
            <w:r w:rsidRPr="00E97FC1">
              <w:rPr>
                <w:rFonts w:ascii="Helvetica" w:hAnsi="Helvetica" w:cs="Helvetica"/>
                <w:b/>
                <w:bCs/>
                <w:sz w:val="16"/>
                <w:szCs w:val="16"/>
                <w:lang w:val="en-GB"/>
              </w:rPr>
              <w:fldChar w:fldCharType="end"/>
            </w:r>
          </w:p>
        </w:tc>
      </w:tr>
      <w:tr w:rsidR="002471A8" w:rsidRPr="00E97FC1" w14:paraId="649DD2F9" w14:textId="77777777" w:rsidTr="002471A8">
        <w:trPr>
          <w:trHeight w:val="65"/>
        </w:trPr>
        <w:tc>
          <w:tcPr>
            <w:tcW w:w="1705" w:type="dxa"/>
          </w:tcPr>
          <w:p w14:paraId="2643574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H322A</w:t>
            </w:r>
          </w:p>
        </w:tc>
        <w:tc>
          <w:tcPr>
            <w:tcW w:w="2160" w:type="dxa"/>
            <w:vMerge w:val="restart"/>
          </w:tcPr>
          <w:p w14:paraId="00771157"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central axe</w:t>
            </w:r>
          </w:p>
          <w:p w14:paraId="72E0D6F9" w14:textId="77777777" w:rsidR="002471A8" w:rsidRPr="00E97FC1" w:rsidRDefault="002471A8" w:rsidP="002471A8">
            <w:pPr>
              <w:rPr>
                <w:rFonts w:ascii="Helvetica" w:hAnsi="Helvetica" w:cs="Helvetica"/>
                <w:sz w:val="20"/>
                <w:lang w:val="en-GB"/>
              </w:rPr>
            </w:pPr>
          </w:p>
        </w:tc>
        <w:tc>
          <w:tcPr>
            <w:tcW w:w="1440" w:type="dxa"/>
          </w:tcPr>
          <w:p w14:paraId="36A3FA4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4BC569DB"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99%</w:t>
            </w:r>
          </w:p>
        </w:tc>
        <w:tc>
          <w:tcPr>
            <w:tcW w:w="1260" w:type="dxa"/>
          </w:tcPr>
          <w:p w14:paraId="6F7ADE4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100%</w:t>
            </w:r>
          </w:p>
        </w:tc>
        <w:tc>
          <w:tcPr>
            <w:tcW w:w="1080" w:type="dxa"/>
          </w:tcPr>
          <w:p w14:paraId="57AD72C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341A00CF" w14:textId="5CCBECA6"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{"citationItems":[{"id":"ITEM-1","itemData":{"DOI":"10.1074/jbc.M707855200","ISSN":"0021-9258 (Print)","PMID":"17977822","abstract":"The proton-translocating NADH-quinone (Q) oxidoreductase (NDH-1) from Escherichia  coli is composed of two segments: a peripheral arm and a membrane arm. The membrane arm contains 7 hydrophobic subunits. Of these subunits, NuoM, a homolog of the mitochondrial ND4 subunit, is proposed to be involved in proton translocation and Q-binding. Therefore, we conducted site-directed mutation of 15 amino acid residues of NuoM and investigated their properties. In all mutants, the assembly of the whole enzyme seemed intact. Mutation of highly conserved Glu144 and Lys234 leads to almost total elimination of energy-transducing NDH-1 activities as well as increased production of superoxide radicals. Their NADH dehydrogenase activities were almost normal. Because these two residues are predicted to be located in the transmembrane segments of NuoM, the results strongly suggest that they participate in proton translocation. Although it is hypothesized that His interacts with a Q head group, mutations at four His moderately inhibited NDH-1 activities and had almost no effect on the Km values for Q or IC50 values of capsaicin-40, a competitive inhibitor for the Q binding site. The data suggest that these His are not involved in the catalytic Q-binding. Functional roles of NuoM and advantages of NDH-1 research as a model for mitochondrial complex I study have been discussed.","author":[{"dropping-particle":"","family":"Torres-Bacete","given":"Jesus","non-dropping-particle":"","parse-names":false,"suffix":""},{"dropping-particle":"","family":"Nakamaru-Ogiso","given":"Eiko","non-dropping-particle":"","parse-names":false,"suffix":""},{"dropping-particle":"","family":"Matsuno-Yagi","given":"Akemi","non-dropping-particle":"","parse-names":false,"suffix":""},{"dropping-particle":"","family":"Yagi","given":"Takao","non-dropping-particle":"","parse-names":false,"suffix":""}],"container-title":"The Journal of biological chemistry","id":"ITEM-1","issue":"51","issued":{"date-parts":[["2007","12"]]},"language":"eng","page":"36914-36922","publisher-place":"United States","title":"Characterization of the NuoM (ND4) subunit in Escherichia coli NDH-1: conserved  charged residues essential for energy-coupled activities.","type":"article-journal","volume":"282"},"uris":["http://www.mendeley.com/documents/?uuid=c462412d-1d13-497a-9c25-389772e45063"]}],"mendeley":{"formattedCitation":"(Torres-Bacete &lt;i&gt;et al&lt;/i&gt;, 2007)","plainTextFormattedCitation":"(Torres-Bacete et al, 2007)","previouslyFormattedCitation":"(Torres-Bacete &lt;i&gt;et al&lt;/i&gt;, 2007)"},"properties":{"noteIndex":0},"schema":"https://github.com/citation-style-language/schema/raw/master/csl-citation.json"}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(Torres-Bacete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2007)</w:t>
            </w:r>
            <w:r w:rsidRPr="00E97FC1">
              <w:rPr>
                <w:rFonts w:ascii="Helvetica" w:hAnsi="Helvetica" w:cs="Helvetica"/>
                <w:b/>
                <w:bCs/>
                <w:sz w:val="16"/>
                <w:szCs w:val="16"/>
                <w:lang w:val="en-GB"/>
              </w:rPr>
              <w:fldChar w:fldCharType="end"/>
            </w:r>
          </w:p>
        </w:tc>
      </w:tr>
      <w:tr w:rsidR="002471A8" w:rsidRPr="00E97FC1" w14:paraId="45D85E27" w14:textId="77777777" w:rsidTr="002471A8">
        <w:trPr>
          <w:trHeight w:val="65"/>
        </w:trPr>
        <w:tc>
          <w:tcPr>
            <w:tcW w:w="1705" w:type="dxa"/>
          </w:tcPr>
          <w:p w14:paraId="15B3892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H322A</w:t>
            </w:r>
          </w:p>
        </w:tc>
        <w:tc>
          <w:tcPr>
            <w:tcW w:w="2160" w:type="dxa"/>
            <w:vMerge/>
          </w:tcPr>
          <w:p w14:paraId="23A07555" w14:textId="77777777" w:rsidR="002471A8" w:rsidRPr="00E97FC1" w:rsidRDefault="002471A8" w:rsidP="002471A8">
            <w:pPr>
              <w:rPr>
                <w:rFonts w:ascii="Helvetica" w:hAnsi="Helvetica" w:cs="Helvetica"/>
                <w:sz w:val="20"/>
                <w:lang w:val="en-GB"/>
              </w:rPr>
            </w:pPr>
          </w:p>
        </w:tc>
        <w:tc>
          <w:tcPr>
            <w:tcW w:w="1440" w:type="dxa"/>
          </w:tcPr>
          <w:p w14:paraId="5DC1F62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170" w:type="dxa"/>
          </w:tcPr>
          <w:p w14:paraId="750CF97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0DCAB55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61%</w:t>
            </w:r>
          </w:p>
        </w:tc>
        <w:tc>
          <w:tcPr>
            <w:tcW w:w="1080" w:type="dxa"/>
          </w:tcPr>
          <w:p w14:paraId="349B176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74-92%</w:t>
            </w:r>
          </w:p>
        </w:tc>
        <w:tc>
          <w:tcPr>
            <w:tcW w:w="1260" w:type="dxa"/>
          </w:tcPr>
          <w:p w14:paraId="3CDEAE7A" w14:textId="234A378F"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{"citationItems":[{"id":"ITEM-1","itemData":{"DOI":"10.1021/jacs.0c02789","ISSN":"1520-5126 (Electronic)","PMID":"32643371","abstract":"The respiratory complex I transduces redox energy into an electrochemical proton  gradient in aerobic respiratory chains, powering energy-requiring processes in the cell. However, despite recently resolved molecular structures, the mechanism of this gigantic enzyme remains poorly understood. By combining large-scale quantum and classical simulations with site-directed mutagenesis and biophysical experiments, we show here how the conformational state of buried ion-pairs and water molecules control the protonation dynamics in the membrane domain of complex I and establish evolutionary conserved long-range coupling elements. We suggest that an electrostatic wave propagates in forward and reverse directions across the 200 Å long membrane domain during enzyme turnover, without significant dissipation of energy. Our findings demonstrate molecular principles that enable efficient long-range proton-electron coupling (PCET) and how perturbation of this PCET machinery may lead to development of mitochondrial disease.","author":[{"dropping-particle":"","family":"Mühlbauer","given":"Max E","non-dropping-particle":"","parse-names":false,"suffix":""},{"dropping-particle":"","family":"Saura","given":"Patricia","non-dropping-particle":"","parse-names":false,"suffix":""},{"dropping-particle":"","family":"Nuber","given":"Franziska","non-dropping-particle":"","parse-names":false,"suffix":""},{"dropping-particle":"","family":"Luca","given":"Andrea","non-dropping-particle":"Di","parse-names":false,"suffix":""},{"dropping-particle":"","family":"Friedrich","given":"Thorsten","non-dropping-particle":"","parse-names":false,"suffix":""},{"dropping-particle":"","family":"Kaila","given":"Ville R I","non-dropping-particle":"","parse-names":false,"suffix":""}],"container-title":"Journal of the American Chemical Society","id":"ITEM-1","issue":"32","issued":{"date-parts":[["2020","8"]]},"language":"eng","page":"13718-13728","publisher-place":"United States","title":"Water-Gated Proton Transfer Dynamics in Respiratory Complex I.","type":"article-journal","volume":"142"},"uris":["http://www.mendeley.com/documents/?uuid=956184aa-289f-4d83-85dc-7a47abd53d33"]}],"mendeley":{"formattedCitation":"(Mühlbauer &lt;i&gt;et al&lt;/i&gt;, 2020)","plainTextFormattedCitation":"(Mühlbauer et al, 2020)","previouslyFormattedCitation":"(Mühlbauer &lt;i&gt;et al&lt;/i&gt;, 2020)"},"properties":{"noteIndex":0},"schema":"https://github.com/citation-style-language/schema/raw/master/csl-citation.json"}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(Mühlbauer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2020)</w:t>
            </w:r>
            <w:r w:rsidRPr="00E97FC1">
              <w:rPr>
                <w:rFonts w:ascii="Helvetica" w:hAnsi="Helvetica" w:cs="Helvetica"/>
                <w:b/>
                <w:bCs/>
                <w:sz w:val="16"/>
                <w:szCs w:val="16"/>
                <w:lang w:val="en-GB"/>
              </w:rPr>
              <w:fldChar w:fldCharType="end"/>
            </w:r>
          </w:p>
        </w:tc>
      </w:tr>
      <w:tr w:rsidR="002471A8" w:rsidRPr="00E97FC1" w14:paraId="7B4C9ECD" w14:textId="77777777" w:rsidTr="002471A8">
        <w:trPr>
          <w:trHeight w:val="65"/>
        </w:trPr>
        <w:tc>
          <w:tcPr>
            <w:tcW w:w="1705" w:type="dxa"/>
          </w:tcPr>
          <w:p w14:paraId="18A0E43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H348A</w:t>
            </w:r>
          </w:p>
        </w:tc>
        <w:tc>
          <w:tcPr>
            <w:tcW w:w="2160" w:type="dxa"/>
            <w:vMerge w:val="restart"/>
          </w:tcPr>
          <w:p w14:paraId="6F602151"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central axe</w:t>
            </w:r>
          </w:p>
          <w:p w14:paraId="55EB0C9F" w14:textId="77777777" w:rsidR="002471A8" w:rsidRPr="00E97FC1" w:rsidRDefault="002471A8" w:rsidP="002471A8">
            <w:pPr>
              <w:rPr>
                <w:rFonts w:ascii="Helvetica" w:hAnsi="Helvetica" w:cs="Helvetica"/>
                <w:sz w:val="20"/>
                <w:lang w:val="en-GB"/>
              </w:rPr>
            </w:pPr>
          </w:p>
        </w:tc>
        <w:tc>
          <w:tcPr>
            <w:tcW w:w="1440" w:type="dxa"/>
          </w:tcPr>
          <w:p w14:paraId="355014B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5C36977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100%</w:t>
            </w:r>
          </w:p>
        </w:tc>
        <w:tc>
          <w:tcPr>
            <w:tcW w:w="1260" w:type="dxa"/>
          </w:tcPr>
          <w:p w14:paraId="355E009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92%</w:t>
            </w:r>
          </w:p>
        </w:tc>
        <w:tc>
          <w:tcPr>
            <w:tcW w:w="1080" w:type="dxa"/>
          </w:tcPr>
          <w:p w14:paraId="724A199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1FC59E0A" w14:textId="69F5793E"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{"citationItems":[{"id":"ITEM-1","itemData":{"DOI":"10.1074/jbc.M707855200","ISSN":"0021-9258 (Print)","PMID":"17977822","abstract":"The proton-translocating NADH-quinone (Q) oxidoreductase (NDH-1) from Escherichia  coli is composed of two segments: a peripheral arm and a membrane arm. The membrane arm contains 7 hydrophobic subunits. Of these subunits, NuoM, a homolog of the mitochondrial ND4 subunit, is proposed to be involved in proton translocation and Q-binding. Therefore, we conducted site-directed mutation of 15 amino acid residues of NuoM and investigated their properties. In all mutants, the assembly of the whole enzyme seemed intact. Mutation of highly conserved Glu144 and Lys234 leads to almost total elimination of energy-transducing NDH-1 activities as well as increased production of superoxide radicals. Their NADH dehydrogenase activities were almost normal. Because these two residues are predicted to be located in the transmembrane segments of NuoM, the results strongly suggest that they participate in proton translocation. Although it is hypothesized that His interacts with a Q head group, mutations at four His moderately inhibited NDH-1 activities and had almost no effect on the Km values for Q or IC50 values of capsaicin-40, a competitive inhibitor for the Q binding site. The data suggest that these His are not involved in the catalytic Q-binding. Functional roles of NuoM and advantages of NDH-1 research as a model for mitochondrial complex I study have been discussed.","author":[{"dropping-particle":"","family":"Torres-Bacete","given":"Jesus","non-dropping-particle":"","parse-names":false,"suffix":""},{"dropping-particle":"","family":"Nakamaru-Ogiso","given":"Eiko","non-dropping-particle":"","parse-names":false,"suffix":""},{"dropping-particle":"","family":"Matsuno-Yagi","given":"Akemi","non-dropping-particle":"","parse-names":false,"suffix":""},{"dropping-particle":"","family":"Yagi","given":"Takao","non-dropping-particle":"","parse-names":false,"suffix":""}],"container-title":"The Journal of biological chemistry","id":"ITEM-1","issue":"51","issued":{"date-parts":[["2007","12"]]},"language":"eng","page":"36914-36922","publisher-place":"United States","title":"Characterization of the NuoM (ND4) subunit in Escherichia coli NDH-1: conserved  charged residues essential for energy-coupled activities.","type":"article-journal","volume":"282"},"uris":["http://www.mendeley.com/documents/?uuid=c462412d-1d13-497a-9c25-389772e45063"]}],"mendeley":{"formattedCitation":"(Torres-Bacete &lt;i&gt;et al&lt;/i&gt;, 2007)","plainTextFormattedCitation":"(Torres-Bacete et al, 2007)","previouslyFormattedCitation":"(Torres-Bacete &lt;i&gt;et al&lt;/i&gt;, 2007)"},"properties":{"noteIndex":0},"schema":"https://github.com/citation-style-language/schema/raw/master/csl-citation.json"}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(Torres-Bacete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2007)</w:t>
            </w:r>
            <w:r w:rsidRPr="00E97FC1">
              <w:rPr>
                <w:rFonts w:ascii="Helvetica" w:hAnsi="Helvetica" w:cs="Helvetica"/>
                <w:b/>
                <w:bCs/>
                <w:sz w:val="16"/>
                <w:szCs w:val="16"/>
                <w:lang w:val="en-GB"/>
              </w:rPr>
              <w:fldChar w:fldCharType="end"/>
            </w:r>
          </w:p>
        </w:tc>
      </w:tr>
      <w:tr w:rsidR="002471A8" w:rsidRPr="00E97FC1" w14:paraId="6AE347D9" w14:textId="77777777" w:rsidTr="002471A8">
        <w:trPr>
          <w:trHeight w:val="65"/>
        </w:trPr>
        <w:tc>
          <w:tcPr>
            <w:tcW w:w="1705" w:type="dxa"/>
          </w:tcPr>
          <w:p w14:paraId="45750F0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H348A</w:t>
            </w:r>
          </w:p>
        </w:tc>
        <w:tc>
          <w:tcPr>
            <w:tcW w:w="2160" w:type="dxa"/>
            <w:vMerge/>
          </w:tcPr>
          <w:p w14:paraId="36CDDFB3" w14:textId="77777777" w:rsidR="002471A8" w:rsidRPr="00E97FC1" w:rsidRDefault="002471A8" w:rsidP="002471A8">
            <w:pPr>
              <w:rPr>
                <w:rFonts w:ascii="Helvetica" w:hAnsi="Helvetica" w:cs="Helvetica"/>
                <w:sz w:val="20"/>
                <w:lang w:val="en-GB"/>
              </w:rPr>
            </w:pPr>
          </w:p>
        </w:tc>
        <w:tc>
          <w:tcPr>
            <w:tcW w:w="1440" w:type="dxa"/>
          </w:tcPr>
          <w:p w14:paraId="130BA84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170" w:type="dxa"/>
          </w:tcPr>
          <w:p w14:paraId="4144566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75B2C13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82%</w:t>
            </w:r>
          </w:p>
        </w:tc>
        <w:tc>
          <w:tcPr>
            <w:tcW w:w="1080" w:type="dxa"/>
          </w:tcPr>
          <w:p w14:paraId="65AB767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61-79%</w:t>
            </w:r>
          </w:p>
        </w:tc>
        <w:tc>
          <w:tcPr>
            <w:tcW w:w="1260" w:type="dxa"/>
          </w:tcPr>
          <w:p w14:paraId="7DEC3CBE" w14:textId="49F8AB3F"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{"citationItems":[{"id":"ITEM-1","itemData":{"DOI":"10.1021/jacs.0c02789","ISSN":"1520-5126 (Electronic)","PMID":"32643371","abstract":"The respiratory complex I transduces redox energy into an electrochemical proton  gradient in aerobic respiratory chains, powering energy-requiring processes in the cell. However, despite recently resolved molecular structures, the mechanism of this gigantic enzyme remains poorly understood. By combining large-scale quantum and classical simulations with site-directed mutagenesis and biophysical experiments, we show here how the conformational state of buried ion-pairs and water molecules control the protonation dynamics in the membrane domain of complex I and establish evolutionary conserved long-range coupling elements. We suggest that an electrostatic wave propagates in forward and reverse directions across the 200 Å long membrane domain during enzyme turnover, without significant dissipation of energy. Our findings demonstrate molecular principles that enable efficient long-range proton-electron coupling (PCET) and how perturbation of this PCET machinery may lead to development of mitochondrial disease.","author":[{"dropping-particle":"","family":"Mühlbauer","given":"Max E","non-dropping-particle":"","parse-names":false,"suffix":""},{"dropping-particle":"","family":"Saura","given":"Patricia","non-dropping-particle":"","parse-names":false,"suffix":""},{"dropping-particle":"","family":"Nuber","given":"Franziska","non-dropping-particle":"","parse-names":false,"suffix":""},{"dropping-particle":"","family":"Luca","given":"Andrea","non-dropping-particle":"Di","parse-names":false,"suffix":""},{"dropping-particle":"","family":"Friedrich","given":"Thorsten","non-dropping-particle":"","parse-names":false,"suffix":""},{"dropping-particle":"","family":"Kaila","given":"Ville R I","non-dropping-particle":"","parse-names":false,"suffix":""}],"container-title":"Journal of the American Chemical Society","id":"ITEM-1","issue":"32","issued":{"date-parts":[["2020","8"]]},"language":"eng","page":"13718-13728","publisher-place":"United States","title":"Water-Gated Proton Transfer Dynamics in Respiratory Complex I.","type":"article-journal","volume":"142"},"uris":["http://www.mendeley.com/documents/?uuid=956184aa-289f-4d83-85dc-7a47abd53d33"]}],"mendeley":{"formattedCitation":"(Mühlbauer &lt;i&gt;et al&lt;/i&gt;, 2020)","plainTextFormattedCitation":"(Mühlbauer et al, 2020)","previouslyFormattedCitation":"(Mühlbauer &lt;i&gt;et al&lt;/i&gt;, 2020)"},"properties":{"noteIndex":0},"schema":"https://github.com/citation-style-language/schema/raw/master/csl-citation.json"}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(Mühlbauer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2020)</w:t>
            </w:r>
            <w:r w:rsidRPr="00E97FC1">
              <w:rPr>
                <w:rFonts w:ascii="Helvetica" w:hAnsi="Helvetica" w:cs="Helvetica"/>
                <w:b/>
                <w:bCs/>
                <w:sz w:val="16"/>
                <w:szCs w:val="16"/>
                <w:lang w:val="en-GB"/>
              </w:rPr>
              <w:fldChar w:fldCharType="end"/>
            </w:r>
          </w:p>
        </w:tc>
      </w:tr>
      <w:tr w:rsidR="002471A8" w:rsidRPr="00E97FC1" w14:paraId="6676A2B2" w14:textId="77777777" w:rsidTr="002471A8">
        <w:trPr>
          <w:trHeight w:val="65"/>
        </w:trPr>
        <w:tc>
          <w:tcPr>
            <w:tcW w:w="1705" w:type="dxa"/>
          </w:tcPr>
          <w:p w14:paraId="2C482F5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H322/H348</w:t>
            </w:r>
          </w:p>
        </w:tc>
        <w:tc>
          <w:tcPr>
            <w:tcW w:w="2160" w:type="dxa"/>
          </w:tcPr>
          <w:p w14:paraId="684DF366" w14:textId="77777777" w:rsidR="002471A8" w:rsidRPr="00E97FC1" w:rsidRDefault="002471A8" w:rsidP="002471A8">
            <w:pPr>
              <w:rPr>
                <w:rFonts w:ascii="Helvetica" w:hAnsi="Helvetica" w:cs="Helvetica"/>
                <w:sz w:val="20"/>
                <w:lang w:val="en-GB"/>
              </w:rPr>
            </w:pPr>
          </w:p>
        </w:tc>
        <w:tc>
          <w:tcPr>
            <w:tcW w:w="1440" w:type="dxa"/>
          </w:tcPr>
          <w:p w14:paraId="117F907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170" w:type="dxa"/>
          </w:tcPr>
          <w:p w14:paraId="65D6A54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768EC85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48</w:t>
            </w:r>
          </w:p>
        </w:tc>
        <w:tc>
          <w:tcPr>
            <w:tcW w:w="1080" w:type="dxa"/>
          </w:tcPr>
          <w:p w14:paraId="5EA98D7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40-63%</w:t>
            </w:r>
          </w:p>
        </w:tc>
        <w:tc>
          <w:tcPr>
            <w:tcW w:w="1260" w:type="dxa"/>
          </w:tcPr>
          <w:p w14:paraId="29A628C4" w14:textId="6ACBBB45"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{"citationItems":[{"id":"ITEM-1","itemData":{"DOI":"10.1021/jacs.0c02789","ISSN":"1520-5126 (Electronic)","PMID":"32643371","abstract":"The respiratory complex I transduces redox energy into an electrochemical proton  gradient in aerobic respiratory chains, powering energy-requiring processes in the cell. However, despite recently resolved molecular structures, the mechanism of this gigantic enzyme remains poorly understood. By combining large-scale quantum and classical simulations with site-directed mutagenesis and biophysical experiments, we show here how the conformational state of buried ion-pairs and water molecules control the protonation dynamics in the membrane domain of complex I and establish evolutionary conserved long-range coupling elements. We suggest that an electrostatic wave propagates in forward and reverse directions across the 200 Å long membrane domain during enzyme turnover, without significant dissipation of energy. Our findings demonstrate molecular principles that enable efficient long-range proton-electron coupling (PCET) and how perturbation of this PCET machinery may lead to development of mitochondrial disease.","author":[{"dropping-particle":"","family":"Mühlbauer","given":"Max E","non-dropping-particle":"","parse-names":false,"suffix":""},{"dropping-particle":"","family":"Saura","given":"Patricia","non-dropping-particle":"","parse-names":false,"suffix":""},{"dropping-particle":"","family":"Nuber","given":"Franziska","non-dropping-particle":"","parse-names":false,"suffix":""},{"dropping-particle":"","family":"Luca","given":"Andrea","non-dropping-particle":"Di","parse-names":false,"suffix":""},{"dropping-particle":"","family":"Friedrich","given":"Thorsten","non-dropping-particle":"","parse-names":false,"suffix":""},{"dropping-particle":"","family":"Kaila","given":"Ville R I","non-dropping-particle":"","parse-names":false,"suffix":""}],"container-title":"Journal of the American Chemical Society","id":"ITEM-1","issue":"32","issued":{"date-parts":[["2020","8"]]},"language":"eng","page":"13718-13728","publisher-place":"United States","title":"Water-Gated Proton Transfer Dynamics in Respiratory Complex I.","type":"article-journal","volume":"142"},"uris":["http://www.mendeley.com/documents/?uuid=956184aa-289f-4d83-85dc-7a47abd53d33"]}],"mendeley":{"formattedCitation":"(Mühlbauer &lt;i&gt;et al&lt;/i&gt;, 2020)","plainTextFormattedCitation":"(Mühlbauer et al, 2020)","previouslyFormattedCitation":"(Mühlbauer &lt;i&gt;et al&lt;/i&gt;, 2020)"},"properties":{"noteIndex":0},"schema":"https://github.com/citation-style-language/schema/raw/master/csl-citation.json"}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(Mühlbauer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2020)</w:t>
            </w:r>
            <w:r w:rsidRPr="00E97FC1">
              <w:rPr>
                <w:rFonts w:ascii="Helvetica" w:hAnsi="Helvetica" w:cs="Helvetica"/>
                <w:b/>
                <w:bCs/>
                <w:sz w:val="16"/>
                <w:szCs w:val="16"/>
                <w:lang w:val="en-GB"/>
              </w:rPr>
              <w:fldChar w:fldCharType="end"/>
            </w:r>
          </w:p>
        </w:tc>
      </w:tr>
      <w:tr w:rsidR="002471A8" w:rsidRPr="00E97FC1" w14:paraId="7876E838" w14:textId="77777777" w:rsidTr="002471A8">
        <w:trPr>
          <w:trHeight w:val="65"/>
        </w:trPr>
        <w:tc>
          <w:tcPr>
            <w:tcW w:w="1705" w:type="dxa"/>
          </w:tcPr>
          <w:p w14:paraId="704C690B"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R365A</w:t>
            </w:r>
          </w:p>
        </w:tc>
        <w:tc>
          <w:tcPr>
            <w:tcW w:w="2160" w:type="dxa"/>
          </w:tcPr>
          <w:p w14:paraId="3E66B7CB" w14:textId="77777777" w:rsidR="002471A8" w:rsidRPr="00E97FC1" w:rsidRDefault="002471A8" w:rsidP="002471A8">
            <w:pPr>
              <w:rPr>
                <w:rFonts w:ascii="Helvetica" w:hAnsi="Helvetica" w:cs="Helvetica"/>
                <w:iCs/>
                <w:sz w:val="20"/>
                <w:lang w:val="en-GB"/>
              </w:rPr>
            </w:pPr>
            <w:r w:rsidRPr="00E97FC1">
              <w:rPr>
                <w:rFonts w:ascii="Helvetica" w:hAnsi="Helvetica" w:cs="Helvetica"/>
                <w:iCs/>
                <w:sz w:val="20"/>
                <w:lang w:val="en-GB"/>
              </w:rPr>
              <w:t>surface, SB TM11-TM14</w:t>
            </w:r>
          </w:p>
        </w:tc>
        <w:tc>
          <w:tcPr>
            <w:tcW w:w="1440" w:type="dxa"/>
          </w:tcPr>
          <w:p w14:paraId="05A5B6B3"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normal</w:t>
            </w:r>
          </w:p>
        </w:tc>
        <w:tc>
          <w:tcPr>
            <w:tcW w:w="1170" w:type="dxa"/>
          </w:tcPr>
          <w:p w14:paraId="415E9D3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85%</w:t>
            </w:r>
          </w:p>
        </w:tc>
        <w:tc>
          <w:tcPr>
            <w:tcW w:w="1260" w:type="dxa"/>
          </w:tcPr>
          <w:p w14:paraId="65C2E714"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87%</w:t>
            </w:r>
          </w:p>
        </w:tc>
        <w:tc>
          <w:tcPr>
            <w:tcW w:w="1080" w:type="dxa"/>
          </w:tcPr>
          <w:p w14:paraId="0127D3C5"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NA</w:t>
            </w:r>
          </w:p>
        </w:tc>
        <w:tc>
          <w:tcPr>
            <w:tcW w:w="1260" w:type="dxa"/>
          </w:tcPr>
          <w:p w14:paraId="6FF3D673" w14:textId="592BB3A9"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{"citationItems":[{"id":"ITEM-1","itemData":{"DOI":"10.1074/jbc.M707855200","ISSN":"0021-9258 (Print)","PMID":"17977822","abstract":"The proton-translocating NADH-quinone (Q) oxidoreductase (NDH-1) from Escherichia  coli is composed of two segments: a peripheral arm and a membrane arm. The membrane arm contains 7 hydrophobic subunits. Of these subunits, NuoM, a homolog of the mitochondrial ND4 subunit, is proposed to be involved in proton translocation and Q-binding. Therefore, we conducted site-directed mutation of 15 amino acid residues of NuoM and investigated their properties. In all mutants, the assembly of the whole enzyme seemed intact. Mutation of highly conserved Glu144 and Lys234 leads to almost total elimination of energy-transducing NDH-1 activities as well as increased production of superoxide radicals. Their NADH dehydrogenase activities were almost normal. Because these two residues are predicted to be located in the transmembrane segments of NuoM, the results strongly suggest that they participate in proton translocation. Although it is hypothesized that His interacts with a Q head group, mutations at four His moderately inhibited NDH-1 activities and had almost no effect on the Km values for Q or IC50 values of capsaicin-40, a competitive inhibitor for the Q binding site. The data suggest that these His are not involved in the catalytic Q-binding. Functional roles of NuoM and advantages of NDH-1 research as a model for mitochondrial complex I study have been discussed.","author":[{"dropping-particle":"","family":"Torres-Bacete","given":"Jesus","non-dropping-particle":"","parse-names":false,"suffix":""},{"dropping-particle":"","family":"Nakamaru-Ogiso","given":"Eiko","non-dropping-particle":"","parse-names":false,"suffix":""},{"dropping-particle":"","family":"Matsuno-Yagi","given":"Akemi","non-dropping-particle":"","parse-names":false,"suffix":""},{"dropping-particle":"","family":"Yagi","given":"Takao","non-dropping-particle":"","parse-names":false,"suffix":""}],"container-title":"The Journal of biological chemistry","id":"ITEM-1","issue":"51","issued":{"date-parts":[["2007","12"]]},"language":"eng","page":"36914-36922","publisher-place":"United States","title":"Characterization of the NuoM (ND4) subunit in Escherichia coli NDH-1: conserved  charged residues essential for energy-coupled activities.","type":"article-journal","volume":"282"},"uris":["http://www.mendeley.com/documents/?uuid=c462412d-1d13-497a-9c25-389772e45063"]}],"mendeley":{"formattedCitation":"(Torres-Bacete &lt;i&gt;et al&lt;/i&gt;, 2007)","plainTextFormattedCitation":"(Torres-Bacete et al, 2007)","previouslyFormattedCitation":"(Torres-Bacete &lt;i&gt;et al&lt;/i&gt;, 2007)"},"properties":{"noteIndex":0},"schema":"https://github.com/citation-style-language/schema/raw/master/csl-citation.json"}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(Torres-Bacete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2007)</w:t>
            </w:r>
            <w:r w:rsidRPr="00E97FC1">
              <w:rPr>
                <w:rFonts w:ascii="Helvetica" w:hAnsi="Helvetica" w:cs="Helvetica"/>
                <w:b/>
                <w:bCs/>
                <w:sz w:val="16"/>
                <w:szCs w:val="16"/>
                <w:lang w:val="en-GB"/>
              </w:rPr>
              <w:fldChar w:fldCharType="end"/>
            </w:r>
          </w:p>
        </w:tc>
      </w:tr>
      <w:tr w:rsidR="002471A8" w:rsidRPr="00E97FC1" w14:paraId="758ECB81" w14:textId="77777777" w:rsidTr="002471A8">
        <w:trPr>
          <w:trHeight w:val="65"/>
        </w:trPr>
        <w:tc>
          <w:tcPr>
            <w:tcW w:w="1705" w:type="dxa"/>
          </w:tcPr>
          <w:p w14:paraId="04B7AE0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R369H</w:t>
            </w:r>
          </w:p>
        </w:tc>
        <w:tc>
          <w:tcPr>
            <w:tcW w:w="2160" w:type="dxa"/>
          </w:tcPr>
          <w:p w14:paraId="159CC606"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surface, HB to TM7b</w:t>
            </w:r>
          </w:p>
        </w:tc>
        <w:tc>
          <w:tcPr>
            <w:tcW w:w="1440" w:type="dxa"/>
          </w:tcPr>
          <w:p w14:paraId="3A65887B"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6431A847"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94%</w:t>
            </w:r>
          </w:p>
        </w:tc>
        <w:tc>
          <w:tcPr>
            <w:tcW w:w="1260" w:type="dxa"/>
          </w:tcPr>
          <w:p w14:paraId="6011A49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63-68%</w:t>
            </w:r>
          </w:p>
        </w:tc>
        <w:tc>
          <w:tcPr>
            <w:tcW w:w="1080" w:type="dxa"/>
          </w:tcPr>
          <w:p w14:paraId="1FE3941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260" w:type="dxa"/>
          </w:tcPr>
          <w:p w14:paraId="78B5E7E9" w14:textId="3D985032"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{"citationItems":[{"id":"ITEM-1","itemData":{"DOI":"10.1074/jbc.M707855200","ISSN":"0021-9258 (Print)","PMID":"17977822","abstract":"The proton-translocating NADH-quinone (Q) oxidoreductase (NDH-1) from Escherichia  coli is composed of two segments: a peripheral arm and a membrane arm. The membrane arm contains 7 hydrophobic subunits. Of these subunits, NuoM, a homolog of the mitochondrial ND4 subunit, is proposed to be involved in proton translocation and Q-binding. Therefore, we conducted site-directed mutation of 15 amino acid residues of NuoM and investigated their properties. In all mutants, the assembly of the whole enzyme seemed intact. Mutation of highly conserved Glu144 and Lys234 leads to almost total elimination of energy-transducing NDH-1 activities as well as increased production of superoxide radicals. Their NADH dehydrogenase activities were almost normal. Because these two residues are predicted to be located in the transmembrane segments of NuoM, the results strongly suggest that they participate in proton translocation. Although it is hypothesized that His interacts with a Q head group, mutations at four His moderately inhibited NDH-1 activities and had almost no effect on the Km values for Q or IC50 values of capsaicin-40, a competitive inhibitor for the Q binding site. The data suggest that these His are not involved in the catalytic Q-binding. Functional roles of NuoM and advantages of NDH-1 research as a model for mitochondrial complex I study have been discussed.","author":[{"dropping-particle":"","family":"Torres-Bacete","given":"Jesus","non-dropping-particle":"","parse-names":false,"suffix":""},{"dropping-particle":"","family":"Nakamaru-Ogiso","given":"Eiko","non-dropping-particle":"","parse-names":false,"suffix":""},{"dropping-particle":"","family":"Matsuno-Yagi","given":"Akemi","non-dropping-particle":"","parse-names":false,"suffix":""},{"dropping-particle":"","family":"Yagi","given":"Takao","non-dropping-particle":"","parse-names":false,"suffix":""}],"container-title":"The Journal of biological chemistry","id":"ITEM-1","issue":"51","issued":{"date-parts":[["2007","12"]]},"language":"eng","page":"36914-36922","publisher-place":"United States","title":"Characterization of the NuoM (ND4) subunit in Escherichia coli NDH-1: conserved  charged residues essential for energy-coupled activities.","type":"article-journal","volume":"282"},"uris":["http://www.mendeley.com/documents/?uuid=c462412d-1d13-497a-9c25-389772e45063"]}],"mendeley":{"formattedCitation":"(Torres-Bacete &lt;i&gt;et al&lt;/i&gt;, 2007)","plainTextFormattedCitation":"(Torres-Bacete et al, 2007)","previouslyFormattedCitation":"(Torres-Bacete &lt;i&gt;et al&lt;/i&gt;, 2007)"},"properties":{"noteIndex":0},"schema":"https://github.com/citation-style-language/schema/raw/master/csl-citation.json"}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(Torres-Bacete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2007)</w:t>
            </w:r>
            <w:r w:rsidRPr="00E97FC1">
              <w:rPr>
                <w:rFonts w:ascii="Helvetica" w:hAnsi="Helvetica" w:cs="Helvetica"/>
                <w:b/>
                <w:bCs/>
                <w:sz w:val="16"/>
                <w:szCs w:val="16"/>
                <w:lang w:val="en-GB"/>
              </w:rPr>
              <w:fldChar w:fldCharType="end"/>
            </w:r>
          </w:p>
        </w:tc>
      </w:tr>
      <w:tr w:rsidR="002471A8" w:rsidRPr="00E97FC1" w14:paraId="7ADFD84E" w14:textId="77777777" w:rsidTr="002471A8">
        <w:trPr>
          <w:trHeight w:val="65"/>
        </w:trPr>
        <w:tc>
          <w:tcPr>
            <w:tcW w:w="1705" w:type="dxa"/>
          </w:tcPr>
          <w:p w14:paraId="0222096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P399A</w:t>
            </w:r>
          </w:p>
        </w:tc>
        <w:tc>
          <w:tcPr>
            <w:tcW w:w="2160" w:type="dxa"/>
          </w:tcPr>
          <w:p w14:paraId="6ED07449"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Broken helix at M/L interface</w:t>
            </w:r>
          </w:p>
        </w:tc>
        <w:tc>
          <w:tcPr>
            <w:tcW w:w="1440" w:type="dxa"/>
          </w:tcPr>
          <w:p w14:paraId="4E09FE9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7079EC1B"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78%</w:t>
            </w:r>
          </w:p>
        </w:tc>
        <w:tc>
          <w:tcPr>
            <w:tcW w:w="1260" w:type="dxa"/>
          </w:tcPr>
          <w:p w14:paraId="1063B98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52-63%</w:t>
            </w:r>
          </w:p>
        </w:tc>
        <w:tc>
          <w:tcPr>
            <w:tcW w:w="1080" w:type="dxa"/>
          </w:tcPr>
          <w:p w14:paraId="5CD225D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reduced</w:t>
            </w:r>
          </w:p>
        </w:tc>
        <w:tc>
          <w:tcPr>
            <w:tcW w:w="1260" w:type="dxa"/>
          </w:tcPr>
          <w:p w14:paraId="0503B914" w14:textId="68FE88E1"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{"citationItems":[{"id":"ITEM-1","itemData":{"DOI":"10.1074/jbc.M113.482968","ISSN":"1083-351X (Electronic)","PMID":"23864658","abstract":"The proton-translocating NADH-quinone oxidoreductase (complex I/NDH-1) contains a peripheral and a membrane domain. Three antiporter-like subunits in the membrane domain, NuoL, NuoM, and NuoN (ND5, ND4 and ND2, respectively), are structurally similar. We analyzed the role of NuoN in Escherichia coli NDH-1. The lysine residue at position 395 in NuoN (NLys(395)) is conserved in NuoL (LLys(399)) but is replaced by glutamic acid (MGlu(407)) in NuoM. Our mutation study on NLys(395) suggests that this residue participates in the proton translocation. Furthermore, we found that MGlu(407) is also essential and most likely interacts with conserved LArg(175). Glutamic acids, NGlu(133), MGlu(144), and LGlu(144), are corresponding residues. Unlike mutants of MGlu(144) and LGlu(144), mutation of NGlu(133) scarcely affected the energy-transducing activities. However, a double mutant of NGlu(133) and nearby KGlu(72) showed significant inhibition of these activities. This suggests that NGlu(133) bears a functional role similar to LGlu(144) and MGlu(144) but its mutation can be partially compensated by the nearby carboxyl residue. Conserved prolines located at loops of discontinuous transmembrane helices of NuoL, NuoM, and NuoN were shown to play a similar role in the energy-transducing activity. It seems likely that NuoL, NuoM, and NuoN pump protons by a similar mechanism. Our data also revealed that NLys(158) is one of the key interaction points with helix HL in NuoL. A truncation study indicated that the C-terminal amphipathic segments of NTM14 interacts with the Mbeta sheet located on the opposite side of helix HL. Taken together, the mechanism of H(+) translocation in NDH-1 is discussed.","author":[{"dropping-particle":"","family":"Sato","given":"Motoaki","non-dropping-particle":"","parse-names":false,"suffix":""},{"dropping-particle":"","family":"Sinha","given":"Prem Kumar","non-dropping-particle":"","parse-names":false,"suffix":""},{"dropping-particle":"","family":"Torres-Bacete","given":"Jesus","non-dropping-particle":"","parse-names":false,"suffix":""},{"dropping-particle":"","family":"Matsuno-Yagi","given":"Akemi","non-dropping-particle":"","parse-names":false,"suffix":""},{"dropping-particle":"","family":"Yagi","given":"Takao","non-dropping-particle":"","parse-names":false,"suffix":""}],"container-title":"The Journal of biological chemistry","id":"ITEM-1","issue":"34","issued":{"date-parts":[["2013","8"]]},"language":"eng","page":"24705-24716","publisher-place":"United States","title":"Energy transducing roles of antiporter-like subunits in Escherichia coli NDH-1 with main focus on subunit NuoN (ND2).","type":"article-journal","volume":"288"},"uris":["http://www.mendeley.com/documents/?uuid=0db84ce5-f2b7-4f63-9ef8-4e12ef999eec"]}],"mendeley":{"formattedCitation":"(Sato &lt;i&gt;et al&lt;/i&gt;, 2013)","plainTextFormattedCitation":"(Sato et al, 2013)","previouslyFormattedCitation":"(Sato &lt;i&gt;et al&lt;/i&gt;, 2013)"},"properties":{"noteIndex":0},"schema":"https://github.com/citation-style-language/schema/raw/master/csl-citation.json"}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(Sato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2013)</w:t>
            </w:r>
            <w:r w:rsidRPr="00E97FC1">
              <w:rPr>
                <w:rFonts w:ascii="Helvetica" w:hAnsi="Helvetica" w:cs="Helvetica"/>
                <w:b/>
                <w:bCs/>
                <w:sz w:val="16"/>
                <w:szCs w:val="16"/>
                <w:lang w:val="en-GB"/>
              </w:rPr>
              <w:fldChar w:fldCharType="end"/>
            </w:r>
          </w:p>
        </w:tc>
      </w:tr>
      <w:tr w:rsidR="002471A8" w:rsidRPr="00E97FC1" w14:paraId="6B0A12C8" w14:textId="77777777" w:rsidTr="002471A8">
        <w:trPr>
          <w:trHeight w:val="65"/>
        </w:trPr>
        <w:tc>
          <w:tcPr>
            <w:tcW w:w="1705" w:type="dxa"/>
          </w:tcPr>
          <w:p w14:paraId="787A105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E407A</w:t>
            </w:r>
          </w:p>
        </w:tc>
        <w:tc>
          <w:tcPr>
            <w:tcW w:w="2160" w:type="dxa"/>
          </w:tcPr>
          <w:p w14:paraId="7DD1919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TM12, NuoL interface, central axe</w:t>
            </w:r>
          </w:p>
        </w:tc>
        <w:tc>
          <w:tcPr>
            <w:tcW w:w="1440" w:type="dxa"/>
          </w:tcPr>
          <w:p w14:paraId="6BCAA89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58B384B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65%</w:t>
            </w:r>
          </w:p>
        </w:tc>
        <w:tc>
          <w:tcPr>
            <w:tcW w:w="1260" w:type="dxa"/>
          </w:tcPr>
          <w:p w14:paraId="79F87B0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5-8%</w:t>
            </w:r>
          </w:p>
        </w:tc>
        <w:tc>
          <w:tcPr>
            <w:tcW w:w="1080" w:type="dxa"/>
          </w:tcPr>
          <w:p w14:paraId="4C9403F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low</w:t>
            </w:r>
          </w:p>
        </w:tc>
        <w:tc>
          <w:tcPr>
            <w:tcW w:w="1260" w:type="dxa"/>
          </w:tcPr>
          <w:p w14:paraId="65683D71" w14:textId="1BE28916"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{"citationItems":[{"id":"ITEM-1","itemData":{"DOI":"10.1074/jbc.M113.482968","ISSN":"1083-351X (Electronic)","PMID":"23864658","abstract":"The proton-translocating NADH-quinone oxidoreductase (complex I/NDH-1) contains a peripheral and a membrane domain. Three antiporter-like subunits in the membrane domain, NuoL, NuoM, and NuoN (ND5, ND4 and ND2, respectively), are structurally similar. We analyzed the role of NuoN in Escherichia coli NDH-1. The lysine residue at position 395 in NuoN (NLys(395)) is conserved in NuoL (LLys(399)) but is replaced by glutamic acid (MGlu(407)) in NuoM. Our mutation study on NLys(395) suggests that this residue participates in the proton translocation. Furthermore, we found that MGlu(407) is also essential and most likely interacts with conserved LArg(175). Glutamic acids, NGlu(133), MGlu(144), and LGlu(144), are corresponding residues. Unlike mutants of MGlu(144) and LGlu(144), mutation of NGlu(133) scarcely affected the energy-transducing activities. However, a double mutant of NGlu(133) and nearby KGlu(72) showed significant inhibition of these activities. This suggests that NGlu(133) bears a functional role similar to LGlu(144) and MGlu(144) but its mutation can be partially compensated by the nearby carboxyl residue. Conserved prolines located at loops of discontinuous transmembrane helices of NuoL, NuoM, and NuoN were shown to play a similar role in the energy-transducing activity. It seems likely that NuoL, NuoM, and NuoN pump protons by a similar mechanism. Our data also revealed that NLys(158) is one of the key interaction points with helix HL in NuoL. A truncation study indicated that the C-terminal amphipathic segments of NTM14 interacts with the Mbeta sheet located on the opposite side of helix HL. Taken together, the mechanism of H(+) translocation in NDH-1 is discussed.","author":[{"dropping-particle":"","family":"Sato","given":"Motoaki","non-dropping-particle":"","parse-names":false,"suffix":""},{"dropping-particle":"","family":"Sinha","given":"Prem Kumar","non-dropping-particle":"","parse-names":false,"suffix":""},{"dropping-particle":"","family":"Torres-Bacete","given":"Jesus","non-dropping-particle":"","parse-names":false,"suffix":""},{"dropping-particle":"","family":"Matsuno-Yagi","given":"Akemi","non-dropping-particle":"","parse-names":false,"suffix":""},{"dropping-particle":"","family":"Yagi","given":"Takao","non-dropping-particle":"","parse-names":false,"suffix":""}],"container-title":"The Journal of biological chemistry","id":"ITEM-1","issue":"34","issued":{"date-parts":[["2013","8"]]},"language":"eng","page":"24705-24716","publisher-place":"United States","title":"Energy transducing roles of antiporter-like subunits in Escherichia coli NDH-1 with main focus on subunit NuoN (ND2).","type":"article-journal","volume":"288"},"uris":["http://www.mendeley.com/documents/?uuid=0db84ce5-f2b7-4f63-9ef8-4e12ef999eec"]}],"mendeley":{"formattedCitation":"(Sato &lt;i&gt;et al&lt;/i&gt;, 2013)","plainTextFormattedCitation":"(Sato et al, 2013)","previouslyFormattedCitation":"(Sato &lt;i&gt;et al&lt;/i&gt;, 2013)"},"properties":{"noteIndex":0},"schema":"https://github.com/citation-style-language/schema/raw/master/csl-citation.json"}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(Sato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2013)</w:t>
            </w:r>
            <w:r w:rsidRPr="00E97FC1">
              <w:rPr>
                <w:rFonts w:ascii="Helvetica" w:hAnsi="Helvetica" w:cs="Helvetica"/>
                <w:b/>
                <w:bCs/>
                <w:sz w:val="16"/>
                <w:szCs w:val="16"/>
                <w:lang w:val="en-GB"/>
              </w:rPr>
              <w:fldChar w:fldCharType="end"/>
            </w:r>
          </w:p>
        </w:tc>
      </w:tr>
      <w:tr w:rsidR="002471A8" w:rsidRPr="00E97FC1" w14:paraId="6271591F" w14:textId="77777777" w:rsidTr="002471A8">
        <w:trPr>
          <w:trHeight w:val="65"/>
        </w:trPr>
        <w:tc>
          <w:tcPr>
            <w:tcW w:w="1705" w:type="dxa"/>
          </w:tcPr>
          <w:p w14:paraId="7C7F70B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Y435A</w:t>
            </w:r>
          </w:p>
        </w:tc>
        <w:tc>
          <w:tcPr>
            <w:tcW w:w="2160" w:type="dxa"/>
          </w:tcPr>
          <w:p w14:paraId="401462F7"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proton channel</w:t>
            </w:r>
          </w:p>
        </w:tc>
        <w:tc>
          <w:tcPr>
            <w:tcW w:w="1440" w:type="dxa"/>
          </w:tcPr>
          <w:p w14:paraId="69257E0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5E60229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99%</w:t>
            </w:r>
          </w:p>
        </w:tc>
        <w:tc>
          <w:tcPr>
            <w:tcW w:w="1260" w:type="dxa"/>
          </w:tcPr>
          <w:p w14:paraId="291BCB1B"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94</w:t>
            </w:r>
          </w:p>
        </w:tc>
        <w:tc>
          <w:tcPr>
            <w:tcW w:w="1080" w:type="dxa"/>
          </w:tcPr>
          <w:p w14:paraId="2A4B92E4"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304F04A1" w14:textId="513A9D1D" w:rsidR="002471A8" w:rsidRPr="00E97FC1" w:rsidRDefault="002471A8" w:rsidP="002471A8">
            <w:pPr>
              <w:rPr>
                <w:rFonts w:ascii="Helvetica" w:hAnsi="Helvetica" w:cs="Helvetica"/>
                <w:b/>
                <w:bCs/>
                <w:sz w:val="16"/>
                <w:szCs w:val="16"/>
                <w:lang w:val="en-GB"/>
              </w:rPr>
            </w:pPr>
            <w:r w:rsidRPr="00E97FC1">
              <w:rPr>
                <w:rFonts w:ascii="Helvetica" w:hAnsi="Helvetica" w:cs="Helvetica"/>
                <w:b/>
                <w:bCs/>
                <w:sz w:val="16"/>
                <w:szCs w:val="16"/>
                <w:lang w:val="en-GB"/>
              </w:rPr>
              <w:fldChar w:fldCharType="begin" w:fldLock="1"/>
            </w:r>
            <w:r w:rsidR="00DC25DF" w:rsidRPr="00E97FC1">
              <w:rPr>
                <w:rFonts w:ascii="Helvetica" w:hAnsi="Helvetica" w:cs="Helvetica"/>
                <w:b/>
                <w:bCs/>
                <w:sz w:val="16"/>
                <w:szCs w:val="16"/>
                <w:lang w:val="en-GB"/>
              </w:rPr>
              <w:instrText>ADDIN CSL_CITATION {"citationItems":[{"id":"ITEM-1","itemData":{"DOI":"10.1074/jbc.M707855200","ISSN":"0021-9258 (Print)","PMID":"17977822","abstract":"The proton-translocating NADH-quinone (Q) oxidoreductase (NDH-1) from Escherichia  coli is composed of two segments: a peripheral arm and a membrane arm. The membrane arm contains 7 hydrophobic subunits. Of these subunits, NuoM, a homolog of the mitochondrial ND4 subunit, is proposed to be involved in proton translocation and Q-binding. Therefore, we conducted site-directed mutation of 15 amino acid residues of NuoM and investigated their properties. In all mutants, the assembly of the whole enzyme seemed intact. Mutation of highly conserved Glu144 and Lys234 leads to almost total elimination of energy-transducing NDH-1 activities as well as increased production of superoxide radicals. Their NADH dehydrogenase activities were almost normal. Because these two residues are predicted to be located in the transmembrane segments of NuoM, the results strongly suggest that they participate in proton translocation. Although it is hypothesized that His interacts with a Q head group, mutations at four His moderately inhibited NDH-1 activities and had almost no effect on the Km values for Q or IC50 values of capsaicin-40, a competitive inhibitor for the Q binding site. The data suggest that these His are not involved in the catalytic Q-binding. Functional roles of NuoM and advantages of NDH-1 research as a model for mitochondrial complex I study have been discussed.","author":[{"dropping-particle":"","family":"Torres-Bacete","given":"Jesus","non-dropping-particle":"","parse-names":false,"suffix":""},{"dropping-particle":"","family":"Nakamaru-Ogiso","given":"Eiko","non-dropping-particle":"","parse-names":false,"suffix":""},{"dropping-particle":"","family":"Matsuno-Yagi","given":"Akemi","non-dropping-particle":"","parse-names":false,"suffix":""},{"dropping-particle":"","family":"Yagi","given":"Takao","non-dropping-particle":"","parse-names":false,"suffix":""}],"container-title":"The Journal of biological chemistry","id":"ITEM-1","issue":"51","issued":{"date-parts":[["2007","12"]]},"language":"eng","page":"36914-36922","publisher-place":"United States","title":"Characterization of the NuoM (ND4) subunit in Escherichia coli NDH-1: conserved  charged residues essential for energy-coupled activities.","type":"article-journal","volume":"282"},"uris":["http://www.mendeley.com/documents/?uuid=c462412d-1d13-497a-9c25-389772e45063"]}],"mendeley":{"formattedCitation":"(Torres-Bacete &lt;i&gt;et al&lt;/i&gt;, 2007)","plainTextFormattedCitation":"(Torres-Bacete et al, 2007)","previouslyFormattedCitation":"(Torres-Bacete &lt;i&gt;et al&lt;/i&gt;, 2007)"},"properties":{"noteIndex":0},"schema":"https://github.com/citation-style-language/schema/raw/master/csl-citation.json"}</w:instrText>
            </w:r>
            <w:r w:rsidRPr="00E97FC1">
              <w:rPr>
                <w:rFonts w:ascii="Helvetica" w:hAnsi="Helvetica" w:cs="Helvetica"/>
                <w:b/>
                <w:bCs/>
                <w:sz w:val="16"/>
                <w:szCs w:val="16"/>
                <w:lang w:val="en-GB"/>
              </w:rPr>
              <w:fldChar w:fldCharType="separate"/>
            </w:r>
            <w:r w:rsidRPr="00E97FC1">
              <w:rPr>
                <w:rFonts w:ascii="Helvetica" w:hAnsi="Helvetica" w:cs="Helvetica"/>
                <w:bCs/>
                <w:noProof/>
                <w:sz w:val="16"/>
                <w:szCs w:val="16"/>
                <w:lang w:val="en-GB"/>
              </w:rPr>
              <w:t xml:space="preserve">(Torres-Bacete </w:t>
            </w:r>
            <w:r w:rsidRPr="00E97FC1">
              <w:rPr>
                <w:rFonts w:ascii="Helvetica" w:hAnsi="Helvetica" w:cs="Helvetica"/>
                <w:bCs/>
                <w:i/>
                <w:noProof/>
                <w:sz w:val="16"/>
                <w:szCs w:val="16"/>
                <w:lang w:val="en-GB"/>
              </w:rPr>
              <w:t>et al</w:t>
            </w:r>
            <w:r w:rsidRPr="00E97FC1">
              <w:rPr>
                <w:rFonts w:ascii="Helvetica" w:hAnsi="Helvetica" w:cs="Helvetica"/>
                <w:bCs/>
                <w:noProof/>
                <w:sz w:val="16"/>
                <w:szCs w:val="16"/>
                <w:lang w:val="en-GB"/>
              </w:rPr>
              <w:t>, 2007)</w:t>
            </w:r>
            <w:r w:rsidRPr="00E97FC1">
              <w:rPr>
                <w:rFonts w:ascii="Helvetica" w:hAnsi="Helvetica" w:cs="Helvetica"/>
                <w:b/>
                <w:bCs/>
                <w:sz w:val="16"/>
                <w:szCs w:val="16"/>
                <w:lang w:val="en-GB"/>
              </w:rPr>
              <w:fldChar w:fldCharType="end"/>
            </w:r>
          </w:p>
        </w:tc>
      </w:tr>
    </w:tbl>
    <w:p w14:paraId="230517ED" w14:textId="77777777" w:rsidR="002471A8" w:rsidRPr="00E97FC1" w:rsidRDefault="002471A8" w:rsidP="002471A8">
      <w:pPr>
        <w:rPr>
          <w:rFonts w:ascii="Helvetica" w:hAnsi="Helvetica" w:cs="Helvetica"/>
          <w:lang w:val="en-GB"/>
        </w:rPr>
      </w:pPr>
    </w:p>
    <w:p w14:paraId="1573B21F" w14:textId="77777777" w:rsidR="002471A8" w:rsidRPr="00E97FC1" w:rsidRDefault="002471A8" w:rsidP="002471A8">
      <w:pPr>
        <w:ind w:left="720"/>
        <w:rPr>
          <w:rFonts w:ascii="Helvetica" w:hAnsi="Helvetica" w:cs="Helvetica"/>
          <w:b/>
          <w:lang w:val="en-GB"/>
        </w:rPr>
      </w:pPr>
      <w:r w:rsidRPr="00E97FC1">
        <w:rPr>
          <w:rFonts w:ascii="Helvetica" w:hAnsi="Helvetica" w:cs="Helvetica"/>
          <w:b/>
          <w:lang w:val="en-GB"/>
        </w:rPr>
        <w:t>b) Mutations in the membrane arm, continuation</w:t>
      </w:r>
    </w:p>
    <w:p w14:paraId="12850CA2" w14:textId="77777777" w:rsidR="002471A8" w:rsidRPr="00E97FC1" w:rsidRDefault="002471A8" w:rsidP="002471A8">
      <w:pPr>
        <w:rPr>
          <w:rFonts w:ascii="Helvetica" w:hAnsi="Helvetica" w:cs="Helvetica"/>
          <w:lang w:val="en-GB"/>
        </w:rPr>
      </w:pPr>
    </w:p>
    <w:tbl>
      <w:tblPr>
        <w:tblW w:w="10075" w:type="dxa"/>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0A0" w:firstRow="1" w:lastRow="0" w:firstColumn="1" w:lastColumn="0" w:noHBand="0" w:noVBand="0"/>
      </w:tblPr>
      <w:tblGrid>
        <w:gridCol w:w="1165"/>
        <w:gridCol w:w="2700"/>
        <w:gridCol w:w="1440"/>
        <w:gridCol w:w="1170"/>
        <w:gridCol w:w="1260"/>
        <w:gridCol w:w="1080"/>
        <w:gridCol w:w="1260"/>
      </w:tblGrid>
      <w:tr w:rsidR="002471A8" w:rsidRPr="00E97FC1" w14:paraId="0BF0D0F7" w14:textId="77777777" w:rsidTr="002471A8">
        <w:tc>
          <w:tcPr>
            <w:tcW w:w="1165" w:type="dxa"/>
            <w:vMerge w:val="restart"/>
          </w:tcPr>
          <w:p w14:paraId="15424D44" w14:textId="77777777" w:rsidR="002471A8" w:rsidRPr="00E97FC1" w:rsidRDefault="002471A8" w:rsidP="002471A8">
            <w:pPr>
              <w:rPr>
                <w:rFonts w:ascii="Helvetica" w:hAnsi="Helvetica" w:cs="Helvetica"/>
                <w:sz w:val="22"/>
                <w:lang w:val="en-GB"/>
              </w:rPr>
            </w:pPr>
            <w:r w:rsidRPr="00E97FC1">
              <w:rPr>
                <w:rFonts w:ascii="Helvetica" w:hAnsi="Helvetica" w:cs="Helvetica"/>
                <w:sz w:val="22"/>
                <w:lang w:val="en-GB"/>
              </w:rPr>
              <w:t>Mutation</w:t>
            </w:r>
          </w:p>
        </w:tc>
        <w:tc>
          <w:tcPr>
            <w:tcW w:w="2700" w:type="dxa"/>
            <w:vMerge w:val="restart"/>
          </w:tcPr>
          <w:p w14:paraId="2B9AD5D6"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Amino acid location</w:t>
            </w:r>
          </w:p>
        </w:tc>
        <w:tc>
          <w:tcPr>
            <w:tcW w:w="1440" w:type="dxa"/>
            <w:vMerge w:val="restart"/>
          </w:tcPr>
          <w:p w14:paraId="6E0A4C0E"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Expression/assembly</w:t>
            </w:r>
          </w:p>
        </w:tc>
        <w:tc>
          <w:tcPr>
            <w:tcW w:w="3510" w:type="dxa"/>
            <w:gridSpan w:val="3"/>
          </w:tcPr>
          <w:p w14:paraId="1C14A2B5"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Effect</w:t>
            </w:r>
          </w:p>
        </w:tc>
        <w:tc>
          <w:tcPr>
            <w:tcW w:w="1260" w:type="dxa"/>
            <w:vMerge w:val="restart"/>
          </w:tcPr>
          <w:p w14:paraId="5EB2C9B3"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Reference and comments</w:t>
            </w:r>
          </w:p>
        </w:tc>
      </w:tr>
      <w:tr w:rsidR="002471A8" w:rsidRPr="00E97FC1" w14:paraId="17297650" w14:textId="77777777" w:rsidTr="002471A8">
        <w:tc>
          <w:tcPr>
            <w:tcW w:w="1165" w:type="dxa"/>
            <w:vMerge/>
          </w:tcPr>
          <w:p w14:paraId="308D4DA7" w14:textId="77777777" w:rsidR="002471A8" w:rsidRPr="00E97FC1" w:rsidRDefault="002471A8" w:rsidP="002471A8">
            <w:pPr>
              <w:jc w:val="center"/>
              <w:rPr>
                <w:rFonts w:ascii="Helvetica" w:hAnsi="Helvetica" w:cs="Helvetica"/>
                <w:sz w:val="22"/>
                <w:lang w:val="en-GB"/>
              </w:rPr>
            </w:pPr>
          </w:p>
        </w:tc>
        <w:tc>
          <w:tcPr>
            <w:tcW w:w="2700" w:type="dxa"/>
            <w:vMerge/>
          </w:tcPr>
          <w:p w14:paraId="37E8C2CE" w14:textId="77777777" w:rsidR="002471A8" w:rsidRPr="00E97FC1" w:rsidRDefault="002471A8" w:rsidP="002471A8">
            <w:pPr>
              <w:jc w:val="center"/>
              <w:rPr>
                <w:rFonts w:ascii="Helvetica" w:hAnsi="Helvetica" w:cs="Helvetica"/>
                <w:sz w:val="22"/>
                <w:lang w:val="en-GB"/>
              </w:rPr>
            </w:pPr>
          </w:p>
        </w:tc>
        <w:tc>
          <w:tcPr>
            <w:tcW w:w="1440" w:type="dxa"/>
            <w:vMerge/>
          </w:tcPr>
          <w:p w14:paraId="77862915" w14:textId="77777777" w:rsidR="002471A8" w:rsidRPr="00E97FC1" w:rsidRDefault="002471A8" w:rsidP="002471A8">
            <w:pPr>
              <w:jc w:val="center"/>
              <w:rPr>
                <w:rFonts w:ascii="Helvetica" w:hAnsi="Helvetica" w:cs="Helvetica"/>
                <w:sz w:val="22"/>
                <w:lang w:val="en-GB"/>
              </w:rPr>
            </w:pPr>
          </w:p>
        </w:tc>
        <w:tc>
          <w:tcPr>
            <w:tcW w:w="1170" w:type="dxa"/>
          </w:tcPr>
          <w:p w14:paraId="70E2F912"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FMN-site</w:t>
            </w:r>
          </w:p>
          <w:p w14:paraId="4E7A1DDA"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activity</w:t>
            </w:r>
          </w:p>
        </w:tc>
        <w:tc>
          <w:tcPr>
            <w:tcW w:w="1260" w:type="dxa"/>
          </w:tcPr>
          <w:p w14:paraId="3DD806D7"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Oxido-reductase activity</w:t>
            </w:r>
          </w:p>
        </w:tc>
        <w:tc>
          <w:tcPr>
            <w:tcW w:w="1080" w:type="dxa"/>
          </w:tcPr>
          <w:p w14:paraId="238B4D5C"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Proton pumping activity</w:t>
            </w:r>
          </w:p>
        </w:tc>
        <w:tc>
          <w:tcPr>
            <w:tcW w:w="1260" w:type="dxa"/>
            <w:vMerge/>
          </w:tcPr>
          <w:p w14:paraId="32238170" w14:textId="77777777" w:rsidR="002471A8" w:rsidRPr="00E97FC1" w:rsidRDefault="002471A8" w:rsidP="002471A8">
            <w:pPr>
              <w:jc w:val="center"/>
              <w:rPr>
                <w:rFonts w:ascii="Helvetica" w:hAnsi="Helvetica" w:cs="Helvetica"/>
                <w:sz w:val="22"/>
                <w:lang w:val="en-GB"/>
              </w:rPr>
            </w:pPr>
          </w:p>
        </w:tc>
      </w:tr>
      <w:tr w:rsidR="002471A8" w:rsidRPr="00E97FC1" w14:paraId="75747851" w14:textId="77777777" w:rsidTr="002471A8">
        <w:trPr>
          <w:trHeight w:val="65"/>
        </w:trPr>
        <w:tc>
          <w:tcPr>
            <w:tcW w:w="10075" w:type="dxa"/>
            <w:gridSpan w:val="7"/>
          </w:tcPr>
          <w:p w14:paraId="2CAC9FA0" w14:textId="77777777" w:rsidR="002471A8" w:rsidRPr="00E97FC1" w:rsidRDefault="002471A8" w:rsidP="002471A8">
            <w:pPr>
              <w:rPr>
                <w:rFonts w:ascii="Helvetica" w:hAnsi="Helvetica" w:cs="Helvetica"/>
                <w:b/>
                <w:bCs/>
                <w:sz w:val="22"/>
                <w:lang w:val="en-GB"/>
              </w:rPr>
            </w:pPr>
            <w:r w:rsidRPr="00E97FC1">
              <w:rPr>
                <w:rFonts w:ascii="Helvetica" w:hAnsi="Helvetica" w:cs="Helvetica"/>
                <w:b/>
                <w:bCs/>
                <w:sz w:val="28"/>
                <w:lang w:val="en-GB"/>
              </w:rPr>
              <w:t>NuoN</w:t>
            </w:r>
          </w:p>
        </w:tc>
      </w:tr>
      <w:tr w:rsidR="002471A8" w:rsidRPr="00E97FC1" w14:paraId="22930AD0" w14:textId="77777777" w:rsidTr="002471A8">
        <w:trPr>
          <w:trHeight w:val="65"/>
        </w:trPr>
        <w:tc>
          <w:tcPr>
            <w:tcW w:w="1165" w:type="dxa"/>
          </w:tcPr>
          <w:p w14:paraId="1038A84D"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M74K</w:t>
            </w:r>
          </w:p>
        </w:tc>
        <w:tc>
          <w:tcPr>
            <w:tcW w:w="2700" w:type="dxa"/>
          </w:tcPr>
          <w:p w14:paraId="689D4299" w14:textId="77777777" w:rsidR="002471A8" w:rsidRPr="00E97FC1" w:rsidRDefault="002471A8" w:rsidP="002471A8">
            <w:pPr>
              <w:rPr>
                <w:rFonts w:ascii="Helvetica" w:hAnsi="Helvetica" w:cs="Helvetica"/>
                <w:iCs/>
                <w:sz w:val="20"/>
                <w:lang w:val="en-GB"/>
              </w:rPr>
            </w:pPr>
            <w:r w:rsidRPr="00E97FC1">
              <w:rPr>
                <w:rFonts w:ascii="Helvetica" w:hAnsi="Helvetica" w:cs="Helvetica"/>
                <w:iCs/>
                <w:sz w:val="20"/>
                <w:lang w:val="en-GB"/>
              </w:rPr>
              <w:t>surface</w:t>
            </w:r>
          </w:p>
        </w:tc>
        <w:tc>
          <w:tcPr>
            <w:tcW w:w="1440" w:type="dxa"/>
          </w:tcPr>
          <w:p w14:paraId="7410E35C"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normal</w:t>
            </w:r>
          </w:p>
        </w:tc>
        <w:tc>
          <w:tcPr>
            <w:tcW w:w="1170" w:type="dxa"/>
          </w:tcPr>
          <w:p w14:paraId="46EF435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63F68737"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90%</w:t>
            </w:r>
          </w:p>
        </w:tc>
        <w:tc>
          <w:tcPr>
            <w:tcW w:w="1080" w:type="dxa"/>
          </w:tcPr>
          <w:p w14:paraId="03AE2E70"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100%</w:t>
            </w:r>
          </w:p>
        </w:tc>
        <w:tc>
          <w:tcPr>
            <w:tcW w:w="1260" w:type="dxa"/>
          </w:tcPr>
          <w:p w14:paraId="4C382FEA" w14:textId="70830458"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{"citationItems":[{"id":"ITEM-1","itemData":{"DOI":"10.1021/bi0340346","ISSN":"0006-2960 (Print)","PMID":"12718520","abstract":"The last gene in the nuo operon of Escherichia coli, nuoN, encodes a membrane-bound  subunit of Complex I (NADH:ubiquinone oxidoreductase). In this report, the gene for subunit N was disrupted by a 163 bp deletion in the chromosome, resulting in the loss of Complex I function, as measured by deamino-NADH oxidase activity. This activity could be recovered after transformation of the mutant strain by a plasmid that contains the previously identified nuoN gene and the upstream intergenic region between nuoM and nuoN. Mutagenesis of the first ATG downstream of nuoM led to a loss of function, indicating that this is the likely initiation codon for nuoN, and predicting a protein of 485 amino acids and 52 044 Da. Thirty site-specific mutations in nuoN at 19 different positions were constructed in a vector that expresses the full-length subunit N with both an octahistidine tag and an HA epitope tag at the carboxyl terminus. Highly conserved charged and aromatic residues were selected for mutagenesis, as well as a substitution that occurs as a secondary mutation in Leber's hereditary optic neuropathy (LHON). Membranes from the mutant strains were tested for production of subunit N by immunoblots and for NADH-linked activities. Mutants with substitutions at six different positions (K158, K217, H224, K247, Y300, and K395) had rates of deamino-NADH oxidase activity that were no more than 50% of that of the wild type and had reduced rates of proton translocation. These mutants also showed enhanced inhibition by decylubiquinone, indicating that subunit N interacts with quinones. The mutation associated with LHON, G391S, had little effect on these functions.","author":[{"dropping-particle":"","family":"Amarneh","given":"Bilal","non-dropping-particle":"","parse-names":false,"suffix":""},{"dropping-particle":"","family":"Vik","given":"Steven B","non-dropping-particle":"","parse-names":false,"suffix":""}],"container-title":"Biochemistry","id":"ITEM-1","issue":"17","issued":{"date-parts":[["2003","5"]]},"language":"eng","page":"4800-4808","publisher-place":"United States","title":"Mutagenesis of subunit N of the Escherichia coli complex I. Identification of the  initiation codon and the sensitivity of mutants to decylubiquinone.","type":"article-journal","volume":"42"},"uris":["http://www.mendeley.com/documents/?uuid=29689110-0ea3-4187-b44d-a7de5828f6d4"]}],"mendeley":{"formattedCitation":"(Amarneh &amp; Vik, 2003)","plainTextFormattedCitation":"(Amarneh &amp; Vik, 2003)","previouslyFormattedCitation":"(Amarneh &amp; Vik, 2003)"},"properties":{"noteIndex":0},"schema":"https://github.com/citation-style-language/schema/raw/master/csl-citation.json"}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(Amarneh &amp; Vik, 2003)</w:t>
            </w:r>
            <w:r w:rsidRPr="00E97FC1">
              <w:rPr>
                <w:rFonts w:ascii="Helvetica" w:hAnsi="Helvetica" w:cs="Helvetica"/>
                <w:b/>
                <w:bCs/>
                <w:sz w:val="16"/>
                <w:szCs w:val="20"/>
                <w:lang w:val="en-GB"/>
              </w:rPr>
              <w:fldChar w:fldCharType="end"/>
            </w:r>
          </w:p>
        </w:tc>
      </w:tr>
      <w:tr w:rsidR="002471A8" w:rsidRPr="00E97FC1" w14:paraId="368F5D2E" w14:textId="77777777" w:rsidTr="002471A8">
        <w:trPr>
          <w:trHeight w:val="65"/>
        </w:trPr>
        <w:tc>
          <w:tcPr>
            <w:tcW w:w="1165" w:type="dxa"/>
          </w:tcPr>
          <w:p w14:paraId="7E128921"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C88S</w:t>
            </w:r>
          </w:p>
        </w:tc>
        <w:tc>
          <w:tcPr>
            <w:tcW w:w="2700" w:type="dxa"/>
            <w:vMerge w:val="restart"/>
          </w:tcPr>
          <w:p w14:paraId="2823A057" w14:textId="77777777" w:rsidR="002471A8" w:rsidRPr="00E97FC1" w:rsidRDefault="002471A8" w:rsidP="002471A8">
            <w:pPr>
              <w:rPr>
                <w:rFonts w:ascii="Helvetica" w:hAnsi="Helvetica" w:cs="Helvetica"/>
                <w:iCs/>
                <w:sz w:val="20"/>
                <w:lang w:val="en-GB"/>
              </w:rPr>
            </w:pPr>
            <w:r w:rsidRPr="00E97FC1">
              <w:rPr>
                <w:rFonts w:ascii="Helvetica" w:hAnsi="Helvetica" w:cs="Helvetica"/>
                <w:iCs/>
                <w:sz w:val="20"/>
                <w:lang w:val="en-GB"/>
              </w:rPr>
              <w:t>TM3, interior</w:t>
            </w:r>
          </w:p>
        </w:tc>
        <w:tc>
          <w:tcPr>
            <w:tcW w:w="1440" w:type="dxa"/>
          </w:tcPr>
          <w:p w14:paraId="79CAEC10"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normal</w:t>
            </w:r>
          </w:p>
        </w:tc>
        <w:tc>
          <w:tcPr>
            <w:tcW w:w="1170" w:type="dxa"/>
          </w:tcPr>
          <w:p w14:paraId="78CF266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3E025DA5"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100%</w:t>
            </w:r>
          </w:p>
        </w:tc>
        <w:tc>
          <w:tcPr>
            <w:tcW w:w="1080" w:type="dxa"/>
          </w:tcPr>
          <w:p w14:paraId="7BCF5D60"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100%</w:t>
            </w:r>
          </w:p>
        </w:tc>
        <w:tc>
          <w:tcPr>
            <w:tcW w:w="1260" w:type="dxa"/>
          </w:tcPr>
          <w:p w14:paraId="5D3E354B" w14:textId="3919B71A"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{"citationItems":[{"id":"ITEM-1","itemData":{"DOI":"10.1021/bi0340346","ISSN":"0006-2960 (Print)","PMID":"12718520","abstract":"The last gene in the nuo operon of Escherichia coli, nuoN, encodes a membrane-bound  subunit of Complex I (NADH:ubiquinone oxidoreductase). In this report, the gene for subunit N was disrupted by a 163 bp deletion in the chromosome, resulting in the loss of Complex I function, as measured by deamino-NADH oxidase activity. This activity could be recovered after transformation of the mutant strain by a plasmid that contains the previously identified nuoN gene and the upstream intergenic region between nuoM and nuoN. Mutagenesis of the first ATG downstream of nuoM led to a loss of function, indicating that this is the likely initiation codon for nuoN, and predicting a protein of 485 amino acids and 52 044 Da. Thirty site-specific mutations in nuoN at 19 different positions were constructed in a vector that expresses the full-length subunit N with both an octahistidine tag and an HA epitope tag at the carboxyl terminus. Highly conserved charged and aromatic residues were selected for mutagenesis, as well as a substitution that occurs as a secondary mutation in Leber's hereditary optic neuropathy (LHON). Membranes from the mutant strains were tested for production of subunit N by immunoblots and for NADH-linked activities. Mutants with substitutions at six different positions (K158, K217, H224, K247, Y300, and K395) had rates of deamino-NADH oxidase activity that were no more than 50% of that of the wild type and had reduced rates of proton translocation. These mutants also showed enhanced inhibition by decylubiquinone, indicating that subunit N interacts with quinones. The mutation associated with LHON, G391S, had little effect on these functions.","author":[{"dropping-particle":"","family":"Amarneh","given":"Bilal","non-dropping-particle":"","parse-names":false,"suffix":""},{"dropping-particle":"","family":"Vik","given":"Steven B","non-dropping-particle":"","parse-names":false,"suffix":""}],"container-title":"Biochemistry","id":"ITEM-1","issue":"17","issued":{"date-parts":[["2003","5"]]},"language":"eng","page":"4800-4808","publisher-place":"United States","title":"Mutagenesis of subunit N of the Escherichia coli complex I. Identification of the  initiation codon and the sensitivity of mutants to decylubiquinone.","type":"article-journal","volume":"42"},"uris":["http://www.mendeley.com/documents/?uuid=29689110-0ea3-4187-b44d-a7de5828f6d4"]}],"mendeley":{"formattedCitation":"(Amarneh &amp; Vik, 2003)","plainTextFormattedCitation":"(Amarneh &amp; Vik, 2003)","previouslyFormattedCitation":"(Amarneh &amp; Vik, 2003)"},"properties":{"noteIndex":0},"schema":"https://github.com/citation-style-language/schema/raw/master/csl-citation.json"}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(Amarneh &amp; Vik, 2003)</w:t>
            </w:r>
            <w:r w:rsidRPr="00E97FC1">
              <w:rPr>
                <w:rFonts w:ascii="Helvetica" w:hAnsi="Helvetica" w:cs="Helvetica"/>
                <w:b/>
                <w:bCs/>
                <w:sz w:val="16"/>
                <w:szCs w:val="20"/>
                <w:lang w:val="en-GB"/>
              </w:rPr>
              <w:fldChar w:fldCharType="end"/>
            </w:r>
          </w:p>
        </w:tc>
      </w:tr>
      <w:tr w:rsidR="002471A8" w:rsidRPr="00E97FC1" w14:paraId="72D6C483" w14:textId="77777777" w:rsidTr="002471A8">
        <w:trPr>
          <w:trHeight w:val="65"/>
        </w:trPr>
        <w:tc>
          <w:tcPr>
            <w:tcW w:w="1165" w:type="dxa"/>
          </w:tcPr>
          <w:p w14:paraId="34F68CDF"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C88V</w:t>
            </w:r>
          </w:p>
        </w:tc>
        <w:tc>
          <w:tcPr>
            <w:tcW w:w="2700" w:type="dxa"/>
            <w:vMerge/>
          </w:tcPr>
          <w:p w14:paraId="718714B6" w14:textId="77777777" w:rsidR="002471A8" w:rsidRPr="00E97FC1" w:rsidRDefault="002471A8" w:rsidP="002471A8">
            <w:pPr>
              <w:rPr>
                <w:rFonts w:ascii="Helvetica" w:hAnsi="Helvetica" w:cs="Helvetica"/>
                <w:iCs/>
                <w:sz w:val="20"/>
                <w:szCs w:val="20"/>
                <w:lang w:val="en-GB"/>
              </w:rPr>
            </w:pPr>
          </w:p>
        </w:tc>
        <w:tc>
          <w:tcPr>
            <w:tcW w:w="1440" w:type="dxa"/>
          </w:tcPr>
          <w:p w14:paraId="663271D1"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normal</w:t>
            </w:r>
          </w:p>
        </w:tc>
        <w:tc>
          <w:tcPr>
            <w:tcW w:w="1170" w:type="dxa"/>
          </w:tcPr>
          <w:p w14:paraId="384547C0"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54DE6F02"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100%</w:t>
            </w:r>
          </w:p>
        </w:tc>
        <w:tc>
          <w:tcPr>
            <w:tcW w:w="1080" w:type="dxa"/>
          </w:tcPr>
          <w:p w14:paraId="74558CE5"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100%</w:t>
            </w:r>
          </w:p>
        </w:tc>
        <w:tc>
          <w:tcPr>
            <w:tcW w:w="1260" w:type="dxa"/>
          </w:tcPr>
          <w:p w14:paraId="110B1FFC" w14:textId="49D6A9BC"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{"citationItems":[{"id":"ITEM-1","itemData":{"DOI":"10.1021/bi0340346","ISSN":"0006-2960 (Print)","PMID":"12718520","abstract":"The last gene in the nuo operon of Escherichia coli, nuoN, encodes a membrane-bound  subunit of Complex I (NADH:ubiquinone oxidoreductase). In this report, the gene for subunit N was disrupted by a 163 bp deletion in the chromosome, resulting in the loss of Complex I function, as measured by deamino-NADH oxidase activity. This activity could be recovered after transformation of the mutant strain by a plasmid that contains the previously identified nuoN gene and the upstream intergenic region between nuoM and nuoN. Mutagenesis of the first ATG downstream of nuoM led to a loss of function, indicating that this is the likely initiation codon for nuoN, and predicting a protein of 485 amino acids and 52 044 Da. Thirty site-specific mutations in nuoN at 19 different positions were constructed in a vector that expresses the full-length subunit N with both an octahistidine tag and an HA epitope tag at the carboxyl terminus. Highly conserved charged and aromatic residues were selected for mutagenesis, as well as a substitution that occurs as a secondary mutation in Leber's hereditary optic neuropathy (LHON). Membranes from the mutant strains were tested for production of subunit N by immunoblots and for NADH-linked activities. Mutants with substitutions at six different positions (K158, K217, H224, K247, Y300, and K395) had rates of deamino-NADH oxidase activity that were no more than 50% of that of the wild type and had reduced rates of proton translocation. These mutants also showed enhanced inhibition by decylubiquinone, indicating that subunit N interacts with quinones. The mutation associated with LHON, G391S, had little effect on these functions.","author":[{"dropping-particle":"","family":"Amarneh","given":"Bilal","non-dropping-particle":"","parse-names":false,"suffix":""},{"dropping-particle":"","family":"Vik","given":"Steven B","non-dropping-particle":"","parse-names":false,"suffix":""}],"container-title":"Biochemistry","id":"ITEM-1","issue":"17","issued":{"date-parts":[["2003","5"]]},"language":"eng","page":"4800-4808","publisher-place":"United States","title":"Mutagenesis of subunit N of the Escherichia coli complex I. Identification of the  initiation codon and the sensitivity of mutants to decylubiquinone.","type":"article-journal","volume":"42"},"uris":["http://www.mendeley.com/documents/?uuid=29689110-0ea3-4187-b44d-a7de5828f6d4"]}],"mendeley":{"formattedCitation":"(Amarneh &amp; Vik, 2003)","plainTextFormattedCitation":"(Amarneh &amp; Vik, 2003)","previouslyFormattedCitation":"(Amarneh &amp; Vik, 2003)"},"properties":{"noteIndex":0},"schema":"https://github.com/citation-style-language/schema/raw/master/csl-citation.json"}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(Amarneh &amp; Vik, 2003)</w:t>
            </w:r>
            <w:r w:rsidRPr="00E97FC1">
              <w:rPr>
                <w:rFonts w:ascii="Helvetica" w:hAnsi="Helvetica" w:cs="Helvetica"/>
                <w:b/>
                <w:bCs/>
                <w:sz w:val="16"/>
                <w:szCs w:val="20"/>
                <w:lang w:val="en-GB"/>
              </w:rPr>
              <w:fldChar w:fldCharType="end"/>
            </w:r>
          </w:p>
        </w:tc>
      </w:tr>
      <w:tr w:rsidR="002471A8" w:rsidRPr="00E97FC1" w14:paraId="031ADE14" w14:textId="77777777" w:rsidTr="002471A8">
        <w:trPr>
          <w:trHeight w:val="65"/>
        </w:trPr>
        <w:tc>
          <w:tcPr>
            <w:tcW w:w="1165" w:type="dxa"/>
          </w:tcPr>
          <w:p w14:paraId="343DB7B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E104C</w:t>
            </w:r>
          </w:p>
        </w:tc>
        <w:tc>
          <w:tcPr>
            <w:tcW w:w="2700" w:type="dxa"/>
          </w:tcPr>
          <w:p w14:paraId="3EBEF26E"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surface, near NuoJ</w:t>
            </w:r>
          </w:p>
        </w:tc>
        <w:tc>
          <w:tcPr>
            <w:tcW w:w="1440" w:type="dxa"/>
          </w:tcPr>
          <w:p w14:paraId="3E6729D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16BD330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735BCBD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90%</w:t>
            </w:r>
          </w:p>
        </w:tc>
        <w:tc>
          <w:tcPr>
            <w:tcW w:w="1080" w:type="dxa"/>
          </w:tcPr>
          <w:p w14:paraId="23A8D73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100%</w:t>
            </w:r>
          </w:p>
        </w:tc>
        <w:tc>
          <w:tcPr>
            <w:tcW w:w="1260" w:type="dxa"/>
          </w:tcPr>
          <w:p w14:paraId="1F546106" w14:textId="29AA498C"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{"citationItems":[{"id":"ITEM-1","itemData":{"DOI":"10.1021/bi0340346","ISSN":"0006-2960 (Print)","PMID":"12718520","abstract":"The last gene in the nuo operon of Escherichia coli, nuoN, encodes a membrane-bound  subunit of Complex I (NADH:ubiquinone oxidoreductase). In this report, the gene for subunit N was disrupted by a 163 bp deletion in the chromosome, resulting in the loss of Complex I function, as measured by deamino-NADH oxidase activity. This activity could be recovered after transformation of the mutant strain by a plasmid that contains the previously identified nuoN gene and the upstream intergenic region between nuoM and nuoN. Mutagenesis of the first ATG downstream of nuoM led to a loss of function, indicating that this is the likely initiation codon for nuoN, and predicting a protein of 485 amino acids and 52 044 Da. Thirty site-specific mutations in nuoN at 19 different positions were constructed in a vector that expresses the full-length subunit N with both an octahistidine tag and an HA epitope tag at the carboxyl terminus. Highly conserved charged and aromatic residues were selected for mutagenesis, as well as a substitution that occurs as a secondary mutation in Leber's hereditary optic neuropathy (LHON). Membranes from the mutant strains were tested for production of subunit N by immunoblots and for NADH-linked activities. Mutants with substitutions at six different positions (K158, K217, H224, K247, Y300, and K395) had rates of deamino-NADH oxidase activity that were no more than 50% of that of the wild type and had reduced rates of proton translocation. These mutants also showed enhanced inhibition by decylubiquinone, indicating that subunit N interacts with quinones. The mutation associated with LHON, G391S, had little effect on these functions.","author":[{"dropping-particle":"","family":"Amarneh","given":"Bilal","non-dropping-particle":"","parse-names":false,"suffix":""},{"dropping-particle":"","family":"Vik","given":"Steven B","non-dropping-particle":"","parse-names":false,"suffix":""}],"container-title":"Biochemistry","id":"ITEM-1","issue":"17","issued":{"date-parts":[["2003","5"]]},"language":"eng","page":"4800-4808","publisher-place":"United States","title":"Mutagenesis of subunit N of the Escherichia coli complex I. Identification of the  initiation codon and the sensitivity of mutants to decylubiquinone.","type":"article-journal","volume":"42"},"uris":["http://www.mendeley.com/documents/?uuid=29689110-0ea3-4187-b44d-a7de5828f6d4"]}],"mendeley":{"formattedCitation":"(Amarneh &amp; Vik, 2003)","plainTextFormattedCitation":"(Amarneh &amp; Vik, 2003)","previouslyFormattedCitation":"(Amarneh &amp; Vik, 2003)"},"properties":{"noteIndex":0},"schema":"https://github.com/citation-style-language/schema/raw/master/csl-citation.json"}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(Amarneh &amp; Vik, 2003)</w:t>
            </w:r>
            <w:r w:rsidRPr="00E97FC1">
              <w:rPr>
                <w:rFonts w:ascii="Helvetica" w:hAnsi="Helvetica" w:cs="Helvetica"/>
                <w:b/>
                <w:bCs/>
                <w:sz w:val="16"/>
                <w:szCs w:val="20"/>
                <w:lang w:val="en-GB"/>
              </w:rPr>
              <w:fldChar w:fldCharType="end"/>
            </w:r>
          </w:p>
        </w:tc>
      </w:tr>
      <w:tr w:rsidR="002471A8" w:rsidRPr="00E97FC1" w14:paraId="2F935870" w14:textId="77777777" w:rsidTr="002471A8">
        <w:trPr>
          <w:trHeight w:val="65"/>
        </w:trPr>
        <w:tc>
          <w:tcPr>
            <w:tcW w:w="1165" w:type="dxa"/>
          </w:tcPr>
          <w:p w14:paraId="38C64FE7"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lastRenderedPageBreak/>
              <w:t>E133A</w:t>
            </w:r>
          </w:p>
        </w:tc>
        <w:tc>
          <w:tcPr>
            <w:tcW w:w="2700" w:type="dxa"/>
            <w:vMerge w:val="restart"/>
          </w:tcPr>
          <w:p w14:paraId="2AF411F6" w14:textId="77777777" w:rsidR="002471A8" w:rsidRPr="00E97FC1" w:rsidRDefault="002471A8" w:rsidP="002471A8">
            <w:pPr>
              <w:rPr>
                <w:rFonts w:ascii="Helvetica" w:hAnsi="Helvetica" w:cs="Helvetica"/>
                <w:bCs/>
                <w:sz w:val="20"/>
                <w:lang w:val="en-GB"/>
              </w:rPr>
            </w:pPr>
            <w:r w:rsidRPr="00E97FC1">
              <w:rPr>
                <w:rFonts w:ascii="Helvetica" w:hAnsi="Helvetica" w:cs="Helvetica"/>
                <w:sz w:val="20"/>
                <w:lang w:val="en-GB"/>
              </w:rPr>
              <w:t xml:space="preserve">E-channel / </w:t>
            </w:r>
            <w:r w:rsidRPr="00E97FC1">
              <w:rPr>
                <w:rFonts w:ascii="Helvetica" w:hAnsi="Helvetica" w:cs="Helvetica"/>
                <w:bCs/>
                <w:sz w:val="20"/>
                <w:lang w:val="en-GB"/>
              </w:rPr>
              <w:t>interface with NuoK</w:t>
            </w:r>
          </w:p>
        </w:tc>
        <w:tc>
          <w:tcPr>
            <w:tcW w:w="1440" w:type="dxa"/>
          </w:tcPr>
          <w:p w14:paraId="7061C7F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7240E7A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3F04EAC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70%</w:t>
            </w:r>
          </w:p>
        </w:tc>
        <w:tc>
          <w:tcPr>
            <w:tcW w:w="1080" w:type="dxa"/>
          </w:tcPr>
          <w:p w14:paraId="3AAFDC2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100%</w:t>
            </w:r>
          </w:p>
        </w:tc>
        <w:tc>
          <w:tcPr>
            <w:tcW w:w="1260" w:type="dxa"/>
          </w:tcPr>
          <w:p w14:paraId="079D109F" w14:textId="384C893F"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{"citationItems":[{"id":"ITEM-1","itemData":{"DOI":"10.1021/bi0340346","ISSN":"0006-2960 (Print)","PMID":"12718520","abstract":"The last gene in the nuo operon of Escherichia coli, nuoN, encodes a membrane-bound  subunit of Complex I (NADH:ubiquinone oxidoreductase). In this report, the gene for subunit N was disrupted by a 163 bp deletion in the chromosome, resulting in the loss of Complex I function, as measured by deamino-NADH oxidase activity. This activity could be recovered after transformation of the mutant strain by a plasmid that contains the previously identified nuoN gene and the upstream intergenic region between nuoM and nuoN. Mutagenesis of the first ATG downstream of nuoM led to a loss of function, indicating that this is the likely initiation codon for nuoN, and predicting a protein of 485 amino acids and 52 044 Da. Thirty site-specific mutations in nuoN at 19 different positions were constructed in a vector that expresses the full-length subunit N with both an octahistidine tag and an HA epitope tag at the carboxyl terminus. Highly conserved charged and aromatic residues were selected for mutagenesis, as well as a substitution that occurs as a secondary mutation in Leber's hereditary optic neuropathy (LHON). Membranes from the mutant strains were tested for production of subunit N by immunoblots and for NADH-linked activities. Mutants with substitutions at six different positions (K158, K217, H224, K247, Y300, and K395) had rates of deamino-NADH oxidase activity that were no more than 50% of that of the wild type and had reduced rates of proton translocation. These mutants also showed enhanced inhibition by decylubiquinone, indicating that subunit N interacts with quinones. The mutation associated with LHON, G391S, had little effect on these functions.","author":[{"dropping-particle":"","family":"Amarneh","given":"Bilal","non-dropping-particle":"","parse-names":false,"suffix":""},{"dropping-particle":"","family":"Vik","given":"Steven B","non-dropping-particle":"","parse-names":false,"suffix":""}],"container-title":"Biochemistry","id":"ITEM-1","issue":"17","issued":{"date-parts":[["2003","5"]]},"language":"eng","page":"4800-4808","publisher-place":"United States","title":"Mutagenesis of subunit N of the Escherichia coli complex I. Identification of the  initiation codon and the sensitivity of mutants to decylubiquinone.","type":"article-journal","volume":"42"},"uris":["http://www.mendeley.com/documents/?uuid=29689110-0ea3-4187-b44d-a7de5828f6d4"]}],"mendeley":{"formattedCitation":"(Amarneh &amp; Vik, 2003)","plainTextFormattedCitation":"(Amarneh &amp; Vik, 2003)","previouslyFormattedCitation":"(Amarneh &amp; Vik, 2003)"},"properties":{"noteIndex":0},"schema":"https://github.com/citation-style-language/schema/raw/master/csl-citation.json"}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(Amarneh &amp; Vik, 2003)</w:t>
            </w:r>
            <w:r w:rsidRPr="00E97FC1">
              <w:rPr>
                <w:rFonts w:ascii="Helvetica" w:hAnsi="Helvetica" w:cs="Helvetica"/>
                <w:b/>
                <w:bCs/>
                <w:sz w:val="16"/>
                <w:szCs w:val="20"/>
                <w:lang w:val="en-GB"/>
              </w:rPr>
              <w:fldChar w:fldCharType="end"/>
            </w:r>
          </w:p>
        </w:tc>
      </w:tr>
      <w:tr w:rsidR="002471A8" w:rsidRPr="00E97FC1" w14:paraId="6856566C" w14:textId="77777777" w:rsidTr="002471A8">
        <w:trPr>
          <w:trHeight w:val="65"/>
        </w:trPr>
        <w:tc>
          <w:tcPr>
            <w:tcW w:w="1165" w:type="dxa"/>
          </w:tcPr>
          <w:p w14:paraId="42B48EC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E133C</w:t>
            </w:r>
          </w:p>
        </w:tc>
        <w:tc>
          <w:tcPr>
            <w:tcW w:w="2700" w:type="dxa"/>
            <w:vMerge/>
          </w:tcPr>
          <w:p w14:paraId="23D5B305" w14:textId="77777777" w:rsidR="002471A8" w:rsidRPr="00E97FC1" w:rsidRDefault="002471A8" w:rsidP="002471A8">
            <w:pPr>
              <w:rPr>
                <w:rFonts w:ascii="Helvetica" w:hAnsi="Helvetica" w:cs="Helvetica"/>
                <w:bCs/>
                <w:sz w:val="20"/>
                <w:szCs w:val="20"/>
                <w:lang w:val="en-GB"/>
              </w:rPr>
            </w:pPr>
          </w:p>
        </w:tc>
        <w:tc>
          <w:tcPr>
            <w:tcW w:w="1440" w:type="dxa"/>
          </w:tcPr>
          <w:p w14:paraId="58419B0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67E58867"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6BAEB2F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70%</w:t>
            </w:r>
          </w:p>
        </w:tc>
        <w:tc>
          <w:tcPr>
            <w:tcW w:w="1080" w:type="dxa"/>
          </w:tcPr>
          <w:p w14:paraId="28151FA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100%</w:t>
            </w:r>
          </w:p>
        </w:tc>
        <w:tc>
          <w:tcPr>
            <w:tcW w:w="1260" w:type="dxa"/>
          </w:tcPr>
          <w:p w14:paraId="4D6CF741" w14:textId="28694CE1"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{"citationItems":[{"id":"ITEM-1","itemData":{"DOI":"10.1021/bi0340346","ISSN":"0006-2960 (Print)","PMID":"12718520","abstract":"The last gene in the nuo operon of Escherichia coli, nuoN, encodes a membrane-bound  subunit of Complex I (NADH:ubiquinone oxidoreductase). In this report, the gene for subunit N was disrupted by a 163 bp deletion in the chromosome, resulting in the loss of Complex I function, as measured by deamino-NADH oxidase activity. This activity could be recovered after transformation of the mutant strain by a plasmid that contains the previously identified nuoN gene and the upstream intergenic region between nuoM and nuoN. Mutagenesis of the first ATG downstream of nuoM led to a loss of function, indicating that this is the likely initiation codon for nuoN, and predicting a protein of 485 amino acids and 52 044 Da. Thirty site-specific mutations in nuoN at 19 different positions were constructed in a vector that expresses the full-length subunit N with both an octahistidine tag and an HA epitope tag at the carboxyl terminus. Highly conserved charged and aromatic residues were selected for mutagenesis, as well as a substitution that occurs as a secondary mutation in Leber's hereditary optic neuropathy (LHON). Membranes from the mutant strains were tested for production of subunit N by immunoblots and for NADH-linked activities. Mutants with substitutions at six different positions (K158, K217, H224, K247, Y300, and K395) had rates of deamino-NADH oxidase activity that were no more than 50% of that of the wild type and had reduced rates of proton translocation. These mutants also showed enhanced inhibition by decylubiquinone, indicating that subunit N interacts with quinones. The mutation associated with LHON, G391S, had little effect on these functions.","author":[{"dropping-particle":"","family":"Amarneh","given":"Bilal","non-dropping-particle":"","parse-names":false,"suffix":""},{"dropping-particle":"","family":"Vik","given":"Steven B","non-dropping-particle":"","parse-names":false,"suffix":""}],"container-title":"Biochemistry","id":"ITEM-1","issue":"17","issued":{"date-parts":[["2003","5"]]},"language":"eng","page":"4800-4808","publisher-place":"United States","title":"Mutagenesis of subunit N of the Escherichia coli complex I. Identification of the  initiation codon and the sensitivity of mutants to decylubiquinone.","type":"article-journal","volume":"42"},"uris":["http://www.mendeley.com/documents/?uuid=29689110-0ea3-4187-b44d-a7de5828f6d4"]}],"mendeley":{"formattedCitation":"(Amarneh &amp; Vik, 2003)","plainTextFormattedCitation":"(Amarneh &amp; Vik, 2003)","previouslyFormattedCitation":"(Amarneh &amp; Vik, 2003)"},"properties":{"noteIndex":0},"schema":"https://github.com/citation-style-language/schema/raw/master/csl-citation.json"}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(Amarneh &amp; Vik, 2003)</w:t>
            </w:r>
            <w:r w:rsidRPr="00E97FC1">
              <w:rPr>
                <w:rFonts w:ascii="Helvetica" w:hAnsi="Helvetica" w:cs="Helvetica"/>
                <w:b/>
                <w:bCs/>
                <w:sz w:val="16"/>
                <w:szCs w:val="20"/>
                <w:lang w:val="en-GB"/>
              </w:rPr>
              <w:fldChar w:fldCharType="end"/>
            </w:r>
          </w:p>
        </w:tc>
      </w:tr>
      <w:tr w:rsidR="002471A8" w:rsidRPr="00E97FC1" w14:paraId="237612AA" w14:textId="77777777" w:rsidTr="002471A8">
        <w:trPr>
          <w:trHeight w:val="65"/>
        </w:trPr>
        <w:tc>
          <w:tcPr>
            <w:tcW w:w="1165" w:type="dxa"/>
          </w:tcPr>
          <w:p w14:paraId="533E56F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E133D</w:t>
            </w:r>
          </w:p>
        </w:tc>
        <w:tc>
          <w:tcPr>
            <w:tcW w:w="2700" w:type="dxa"/>
            <w:vMerge/>
          </w:tcPr>
          <w:p w14:paraId="199ADA29" w14:textId="77777777" w:rsidR="002471A8" w:rsidRPr="00E97FC1" w:rsidRDefault="002471A8" w:rsidP="002471A8">
            <w:pPr>
              <w:rPr>
                <w:rFonts w:ascii="Helvetica" w:hAnsi="Helvetica" w:cs="Helvetica"/>
                <w:bCs/>
                <w:sz w:val="20"/>
                <w:szCs w:val="20"/>
                <w:lang w:val="en-GB"/>
              </w:rPr>
            </w:pPr>
          </w:p>
        </w:tc>
        <w:tc>
          <w:tcPr>
            <w:tcW w:w="1440" w:type="dxa"/>
          </w:tcPr>
          <w:p w14:paraId="64B0129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51C6E1F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55D75470"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80%</w:t>
            </w:r>
          </w:p>
        </w:tc>
        <w:tc>
          <w:tcPr>
            <w:tcW w:w="1080" w:type="dxa"/>
          </w:tcPr>
          <w:p w14:paraId="40CF1DC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100%</w:t>
            </w:r>
          </w:p>
        </w:tc>
        <w:tc>
          <w:tcPr>
            <w:tcW w:w="1260" w:type="dxa"/>
          </w:tcPr>
          <w:p w14:paraId="64B589D8" w14:textId="41969D84"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{"citationItems":[{"id":"ITEM-1","itemData":{"DOI":"10.1021/bi0340346","ISSN":"0006-2960 (Print)","PMID":"12718520","abstract":"The last gene in the nuo operon of Escherichia coli, nuoN, encodes a membrane-bound  subunit of Complex I (NADH:ubiquinone oxidoreductase). In this report, the gene for subunit N was disrupted by a 163 bp deletion in the chromosome, resulting in the loss of Complex I function, as measured by deamino-NADH oxidase activity. This activity could be recovered after transformation of the mutant strain by a plasmid that contains the previously identified nuoN gene and the upstream intergenic region between nuoM and nuoN. Mutagenesis of the first ATG downstream of nuoM led to a loss of function, indicating that this is the likely initiation codon for nuoN, and predicting a protein of 485 amino acids and 52 044 Da. Thirty site-specific mutations in nuoN at 19 different positions were constructed in a vector that expresses the full-length subunit N with both an octahistidine tag and an HA epitope tag at the carboxyl terminus. Highly conserved charged and aromatic residues were selected for mutagenesis, as well as a substitution that occurs as a secondary mutation in Leber's hereditary optic neuropathy (LHON). Membranes from the mutant strains were tested for production of subunit N by immunoblots and for NADH-linked activities. Mutants with substitutions at six different positions (K158, K217, H224, K247, Y300, and K395) had rates of deamino-NADH oxidase activity that were no more than 50% of that of the wild type and had reduced rates of proton translocation. These mutants also showed enhanced inhibition by decylubiquinone, indicating that subunit N interacts with quinones. The mutation associated with LHON, G391S, had little effect on these functions.","author":[{"dropping-particle":"","family":"Amarneh","given":"Bilal","non-dropping-particle":"","parse-names":false,"suffix":""},{"dropping-particle":"","family":"Vik","given":"Steven B","non-dropping-particle":"","parse-names":false,"suffix":""}],"container-title":"Biochemistry","id":"ITEM-1","issue":"17","issued":{"date-parts":[["2003","5"]]},"language":"eng","page":"4800-4808","publisher-place":"United States","title":"Mutagenesis of subunit N of the Escherichia coli complex I. Identification of the  initiation codon and the sensitivity of mutants to decylubiquinone.","type":"article-journal","volume":"42"},"uris":["http://www.mendeley.com/documents/?uuid=29689110-0ea3-4187-b44d-a7de5828f6d4"]}],"mendeley":{"formattedCitation":"(Amarneh &amp; Vik, 2003)","plainTextFormattedCitation":"(Amarneh &amp; Vik, 2003)","previouslyFormattedCitation":"(Amarneh &amp; Vik, 2003)"},"properties":{"noteIndex":0},"schema":"https://github.com/citation-style-language/schema/raw/master/csl-citation.json"}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(Amarneh &amp; Vik, 2003)</w:t>
            </w:r>
            <w:r w:rsidRPr="00E97FC1">
              <w:rPr>
                <w:rFonts w:ascii="Helvetica" w:hAnsi="Helvetica" w:cs="Helvetica"/>
                <w:b/>
                <w:bCs/>
                <w:sz w:val="16"/>
                <w:szCs w:val="20"/>
                <w:lang w:val="en-GB"/>
              </w:rPr>
              <w:fldChar w:fldCharType="end"/>
            </w:r>
          </w:p>
        </w:tc>
      </w:tr>
      <w:tr w:rsidR="002471A8" w:rsidRPr="00E97FC1" w14:paraId="09DC8F7E" w14:textId="77777777" w:rsidTr="002471A8">
        <w:trPr>
          <w:trHeight w:val="65"/>
        </w:trPr>
        <w:tc>
          <w:tcPr>
            <w:tcW w:w="1165" w:type="dxa"/>
          </w:tcPr>
          <w:p w14:paraId="03B6CC84"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E133A</w:t>
            </w:r>
          </w:p>
        </w:tc>
        <w:tc>
          <w:tcPr>
            <w:tcW w:w="2700" w:type="dxa"/>
            <w:vMerge/>
          </w:tcPr>
          <w:p w14:paraId="16D0A5BE" w14:textId="77777777" w:rsidR="002471A8" w:rsidRPr="00E97FC1" w:rsidRDefault="002471A8" w:rsidP="002471A8">
            <w:pPr>
              <w:rPr>
                <w:rFonts w:ascii="Helvetica" w:hAnsi="Helvetica" w:cs="Helvetica"/>
                <w:bCs/>
                <w:sz w:val="20"/>
                <w:szCs w:val="20"/>
                <w:lang w:val="en-GB"/>
              </w:rPr>
            </w:pPr>
          </w:p>
        </w:tc>
        <w:tc>
          <w:tcPr>
            <w:tcW w:w="1440" w:type="dxa"/>
          </w:tcPr>
          <w:p w14:paraId="5D732FE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2702A95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102%</w:t>
            </w:r>
          </w:p>
        </w:tc>
        <w:tc>
          <w:tcPr>
            <w:tcW w:w="1260" w:type="dxa"/>
          </w:tcPr>
          <w:p w14:paraId="2C27F77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88%</w:t>
            </w:r>
          </w:p>
        </w:tc>
        <w:tc>
          <w:tcPr>
            <w:tcW w:w="1080" w:type="dxa"/>
          </w:tcPr>
          <w:p w14:paraId="144DE0F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100%</w:t>
            </w:r>
          </w:p>
        </w:tc>
        <w:tc>
          <w:tcPr>
            <w:tcW w:w="1260" w:type="dxa"/>
          </w:tcPr>
          <w:p w14:paraId="0ABCD8F9" w14:textId="19C57D48"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{"citationItems":[{"id":"ITEM-1","itemData":{"DOI":"10.1074/jbc.M113.482968","ISSN":"1083-351X (Electronic)","PMID":"23864658","abstract":"The proton-translocating NADH-quinone oxidoreductase (complex I/NDH-1) contains a peripheral and a membrane domain. Three antiporter-like subunits in the membrane domain, NuoL, NuoM, and NuoN (ND5, ND4 and ND2, respectively), are structurally similar. We analyzed the role of NuoN in Escherichia coli NDH-1. The lysine residue at position 395 in NuoN (NLys(395)) is conserved in NuoL (LLys(399)) but is replaced by glutamic acid (MGlu(407)) in NuoM. Our mutation study on NLys(395) suggests that this residue participates in the proton translocation. Furthermore, we found that MGlu(407) is also essential and most likely interacts with conserved LArg(175). Glutamic acids, NGlu(133), MGlu(144), and LGlu(144), are corresponding residues. Unlike mutants of MGlu(144) and LGlu(144), mutation of NGlu(133) scarcely affected the energy-transducing activities. However, a double mutant of NGlu(133) and nearby KGlu(72) showed significant inhibition of these activities. This suggests that NGlu(133) bears a functional role similar to LGlu(144) and MGlu(144) but its mutation can be partially compensated by the nearby carboxyl residue. Conserved prolines located at loops of discontinuous transmembrane helices of NuoL, NuoM, and NuoN were shown to play a similar role in the energy-transducing activity. It seems likely that NuoL, NuoM, and NuoN pump protons by a similar mechanism. Our data also revealed that NLys(158) is one of the key interaction points with helix HL in NuoL. A truncation study indicated that the C-terminal amphipathic segments of NTM14 interacts with the Mbeta sheet located on the opposite side of helix HL. Taken together, the mechanism of H(+) translocation in NDH-1 is discussed.","author":[{"dropping-particle":"","family":"Sato","given":"Motoaki","non-dropping-particle":"","parse-names":false,"suffix":""},{"dropping-particle":"","family":"Sinha","given":"Prem Kumar","non-dropping-particle":"","parse-names":false,"suffix":""},{"dropping-particle":"","family":"Torres-Bacete","given":"Jesus","non-dropping-particle":"","parse-names":false,"suffix":""},{"dropping-particle":"","family":"Matsuno-Yagi","given":"Akemi","non-dropping-particle":"","parse-names":false,"suffix":""},{"dropping-particle":"","family":"Yagi","given":"Takao","non-dropping-particle":"","parse-names":false,"suffix":""}],"container-title":"The Journal of biological chemistry","id":"ITEM-1","issue":"34","issued":{"date-parts":[["2013","8"]]},"language":"eng","page":"24705-24716","publisher-place":"United States","title":"Energy transducing roles of antiporter-like subunits in Escherichia coli NDH-1 with main focus on subunit NuoN (ND2).","type":"article-journal","volume":"288"},"uris":["http://www.mendeley.com/documents/?uuid=0db84ce5-f2b7-4f63-9ef8-4e12ef999eec"]}],"mendeley":{"formattedCitation":"(Sato &lt;i&gt;et al&lt;/i&gt;, 2013)","plainTextFormattedCitation":"(Sato et al, 2013)","previouslyFormattedCitation":"(Sato &lt;i&gt;et al&lt;/i&gt;, 2013)"},"properties":{"noteIndex":0},"schema":"https://github.com/citation-style-language/schema/raw/master/csl-citation.json"}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(Sato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2013)</w:t>
            </w:r>
            <w:r w:rsidRPr="00E97FC1">
              <w:rPr>
                <w:rFonts w:ascii="Helvetica" w:hAnsi="Helvetica" w:cs="Helvetica"/>
                <w:b/>
                <w:bCs/>
                <w:sz w:val="16"/>
                <w:szCs w:val="20"/>
                <w:lang w:val="en-GB"/>
              </w:rPr>
              <w:fldChar w:fldCharType="end"/>
            </w:r>
          </w:p>
        </w:tc>
      </w:tr>
      <w:tr w:rsidR="002471A8" w:rsidRPr="00E97FC1" w14:paraId="71B696FA" w14:textId="77777777" w:rsidTr="002471A8">
        <w:trPr>
          <w:trHeight w:val="65"/>
        </w:trPr>
        <w:tc>
          <w:tcPr>
            <w:tcW w:w="1165" w:type="dxa"/>
          </w:tcPr>
          <w:p w14:paraId="6D798FB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E133A/</w:t>
            </w:r>
          </w:p>
          <w:p w14:paraId="6B8C43F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vertAlign w:val="subscript"/>
                <w:lang w:val="en-GB"/>
              </w:rPr>
              <w:t>K</w:t>
            </w:r>
            <w:r w:rsidRPr="00E97FC1">
              <w:rPr>
                <w:rFonts w:ascii="Helvetica" w:hAnsi="Helvetica" w:cs="Helvetica"/>
                <w:sz w:val="20"/>
                <w:szCs w:val="20"/>
                <w:lang w:val="en-GB"/>
              </w:rPr>
              <w:t>E72A</w:t>
            </w:r>
          </w:p>
        </w:tc>
        <w:tc>
          <w:tcPr>
            <w:tcW w:w="2700" w:type="dxa"/>
          </w:tcPr>
          <w:p w14:paraId="7F192456" w14:textId="77777777" w:rsidR="002471A8" w:rsidRPr="00E97FC1" w:rsidRDefault="002471A8" w:rsidP="002471A8">
            <w:pPr>
              <w:rPr>
                <w:rFonts w:ascii="Helvetica" w:hAnsi="Helvetica" w:cs="Helvetica"/>
                <w:bCs/>
                <w:sz w:val="20"/>
                <w:lang w:val="en-GB"/>
              </w:rPr>
            </w:pPr>
          </w:p>
        </w:tc>
        <w:tc>
          <w:tcPr>
            <w:tcW w:w="1440" w:type="dxa"/>
          </w:tcPr>
          <w:p w14:paraId="0293F8F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01C21F94"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71%</w:t>
            </w:r>
          </w:p>
        </w:tc>
        <w:tc>
          <w:tcPr>
            <w:tcW w:w="1260" w:type="dxa"/>
          </w:tcPr>
          <w:p w14:paraId="0F42251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19%</w:t>
            </w:r>
          </w:p>
        </w:tc>
        <w:tc>
          <w:tcPr>
            <w:tcW w:w="1080" w:type="dxa"/>
          </w:tcPr>
          <w:p w14:paraId="7794E5C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low</w:t>
            </w:r>
          </w:p>
        </w:tc>
        <w:tc>
          <w:tcPr>
            <w:tcW w:w="1260" w:type="dxa"/>
          </w:tcPr>
          <w:p w14:paraId="263F9EAA" w14:textId="7E173CE3"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{"citationItems":[{"id":"ITEM-1","itemData":{"DOI":"10.1074/jbc.M113.482968","ISSN":"1083-351X (Electronic)","PMID":"23864658","abstract":"The proton-translocating NADH-quinone oxidoreductase (complex I/NDH-1) contains a peripheral and a membrane domain. Three antiporter-like subunits in the membrane domain, NuoL, NuoM, and NuoN (ND5, ND4 and ND2, respectively), are structurally similar. We analyzed the role of NuoN in Escherichia coli NDH-1. The lysine residue at position 395 in NuoN (NLys(395)) is conserved in NuoL (LLys(399)) but is replaced by glutamic acid (MGlu(407)) in NuoM. Our mutation study on NLys(395) suggests that this residue participates in the proton translocation. Furthermore, we found that MGlu(407) is also essential and most likely interacts with conserved LArg(175). Glutamic acids, NGlu(133), MGlu(144), and LGlu(144), are corresponding residues. Unlike mutants of MGlu(144) and LGlu(144), mutation of NGlu(133) scarcely affected the energy-transducing activities. However, a double mutant of NGlu(133) and nearby KGlu(72) showed significant inhibition of these activities. This suggests that NGlu(133) bears a functional role similar to LGlu(144) and MGlu(144) but its mutation can be partially compensated by the nearby carboxyl residue. Conserved prolines located at loops of discontinuous transmembrane helices of NuoL, NuoM, and NuoN were shown to play a similar role in the energy-transducing activity. It seems likely that NuoL, NuoM, and NuoN pump protons by a similar mechanism. Our data also revealed that NLys(158) is one of the key interaction points with helix HL in NuoL. A truncation study indicated that the C-terminal amphipathic segments of NTM14 interacts with the Mbeta sheet located on the opposite side of helix HL. Taken together, the mechanism of H(+) translocation in NDH-1 is discussed.","author":[{"dropping-particle":"","family":"Sato","given":"Motoaki","non-dropping-particle":"","parse-names":false,"suffix":""},{"dropping-particle":"","family":"Sinha","given":"Prem Kumar","non-dropping-particle":"","parse-names":false,"suffix":""},{"dropping-particle":"","family":"Torres-Bacete","given":"Jesus","non-dropping-particle":"","parse-names":false,"suffix":""},{"dropping-particle":"","family":"Matsuno-Yagi","given":"Akemi","non-dropping-particle":"","parse-names":false,"suffix":""},{"dropping-particle":"","family":"Yagi","given":"Takao","non-dropping-particle":"","parse-names":false,"suffix":""}],"container-title":"The Journal of biological chemistry","id":"ITEM-1","issue":"34","issued":{"date-parts":[["2013","8"]]},"language":"eng","page":"24705-24716","publisher-place":"United States","title":"Energy transducing roles of antiporter-like subunits in Escherichia coli NDH-1 with main focus on subunit NuoN (ND2).","type":"article-journal","volume":"288"},"uris":["http://www.mendeley.com/documents/?uuid=0db84ce5-f2b7-4f63-9ef8-4e12ef999eec"]}],"mendeley":{"formattedCitation":"(Sato &lt;i&gt;et al&lt;/i&gt;, 2013)","plainTextFormattedCitation":"(Sato et al, 2013)","previouslyFormattedCitation":"(Sato &lt;i&gt;et al&lt;/i&gt;, 2013)"},"properties":{"noteIndex":0},"schema":"https://github.com/citation-style-language/schema/raw/master/csl-citation.json"}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(Sato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2013)</w:t>
            </w:r>
            <w:r w:rsidRPr="00E97FC1">
              <w:rPr>
                <w:rFonts w:ascii="Helvetica" w:hAnsi="Helvetica" w:cs="Helvetica"/>
                <w:b/>
                <w:bCs/>
                <w:sz w:val="16"/>
                <w:szCs w:val="20"/>
                <w:lang w:val="en-GB"/>
              </w:rPr>
              <w:fldChar w:fldCharType="end"/>
            </w:r>
          </w:p>
        </w:tc>
      </w:tr>
      <w:tr w:rsidR="002471A8" w:rsidRPr="00E97FC1" w14:paraId="296FD710" w14:textId="77777777" w:rsidTr="002471A8">
        <w:trPr>
          <w:trHeight w:val="65"/>
        </w:trPr>
        <w:tc>
          <w:tcPr>
            <w:tcW w:w="1165" w:type="dxa"/>
          </w:tcPr>
          <w:p w14:paraId="04CAF002"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R151C</w:t>
            </w:r>
          </w:p>
        </w:tc>
        <w:tc>
          <w:tcPr>
            <w:tcW w:w="2700" w:type="dxa"/>
          </w:tcPr>
          <w:p w14:paraId="78662183" w14:textId="77777777" w:rsidR="002471A8" w:rsidRPr="00E97FC1" w:rsidRDefault="002471A8" w:rsidP="002471A8">
            <w:pPr>
              <w:rPr>
                <w:rFonts w:ascii="Helvetica" w:hAnsi="Helvetica" w:cs="Helvetica"/>
                <w:iCs/>
                <w:sz w:val="20"/>
                <w:lang w:val="en-GB"/>
              </w:rPr>
            </w:pPr>
            <w:r w:rsidRPr="00E97FC1">
              <w:rPr>
                <w:rFonts w:ascii="Helvetica" w:hAnsi="Helvetica" w:cs="Helvetica"/>
                <w:iCs/>
                <w:sz w:val="20"/>
                <w:lang w:val="en-GB"/>
              </w:rPr>
              <w:t>surface</w:t>
            </w:r>
          </w:p>
        </w:tc>
        <w:tc>
          <w:tcPr>
            <w:tcW w:w="1440" w:type="dxa"/>
          </w:tcPr>
          <w:p w14:paraId="0120A5EA"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normal</w:t>
            </w:r>
          </w:p>
        </w:tc>
        <w:tc>
          <w:tcPr>
            <w:tcW w:w="1170" w:type="dxa"/>
          </w:tcPr>
          <w:p w14:paraId="5C89B74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2A49249E"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90%</w:t>
            </w:r>
          </w:p>
        </w:tc>
        <w:tc>
          <w:tcPr>
            <w:tcW w:w="1080" w:type="dxa"/>
          </w:tcPr>
          <w:p w14:paraId="530E9013"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100%</w:t>
            </w:r>
          </w:p>
        </w:tc>
        <w:tc>
          <w:tcPr>
            <w:tcW w:w="1260" w:type="dxa"/>
          </w:tcPr>
          <w:p w14:paraId="70B9F819" w14:textId="282E9E4A"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{"citationItems":[{"id":"ITEM-1","itemData":{"DOI":"10.1021/bi0340346","ISSN":"0006-2960 (Print)","PMID":"12718520","abstract":"The last gene in the nuo operon of Escherichia coli, nuoN, encodes a membrane-bound  subunit of Complex I (NADH:ubiquinone oxidoreductase). In this report, the gene for subunit N was disrupted by a 163 bp deletion in the chromosome, resulting in the loss of Complex I function, as measured by deamino-NADH oxidase activity. This activity could be recovered after transformation of the mutant strain by a plasmid that contains the previously identified nuoN gene and the upstream intergenic region between nuoM and nuoN. Mutagenesis of the first ATG downstream of nuoM led to a loss of function, indicating that this is the likely initiation codon for nuoN, and predicting a protein of 485 amino acids and 52 044 Da. Thirty site-specific mutations in nuoN at 19 different positions were constructed in a vector that expresses the full-length subunit N with both an octahistidine tag and an HA epitope tag at the carboxyl terminus. Highly conserved charged and aromatic residues were selected for mutagenesis, as well as a substitution that occurs as a secondary mutation in Leber's hereditary optic neuropathy (LHON). Membranes from the mutant strains were tested for production of subunit N by immunoblots and for NADH-linked activities. Mutants with substitutions at six different positions (K158, K217, H224, K247, Y300, and K395) had rates of deamino-NADH oxidase activity that were no more than 50% of that of the wild type and had reduced rates of proton translocation. These mutants also showed enhanced inhibition by decylubiquinone, indicating that subunit N interacts with quinones. The mutation associated with LHON, G391S, had little effect on these functions.","author":[{"dropping-particle":"","family":"Amarneh","given":"Bilal","non-dropping-particle":"","parse-names":false,"suffix":""},{"dropping-particle":"","family":"Vik","given":"Steven B","non-dropping-particle":"","parse-names":false,"suffix":""}],"container-title":"Biochemistry","id":"ITEM-1","issue":"17","issued":{"date-parts":[["2003","5"]]},"language":"eng","page":"4800-4808","publisher-place":"United States","title":"Mutagenesis of subunit N of the Escherichia coli complex I. Identification of the  initiation codon and the sensitivity of mutants to decylubiquinone.","type":"article-journal","volume":"42"},"uris":["http://www.mendeley.com/documents/?uuid=29689110-0ea3-4187-b44d-a7de5828f6d4"]}],"mendeley":{"formattedCitation":"(Amarneh &amp; Vik, 2003)","plainTextFormattedCitation":"(Amarneh &amp; Vik, 2003)","previouslyFormattedCitation":"(Amarneh &amp; Vik, 2003)"},"properties":{"noteIndex":0},"schema":"https://github.com/citation-style-language/schema/raw/master/csl-citation.json"}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(Amarneh &amp; Vik, 2003)</w:t>
            </w:r>
            <w:r w:rsidRPr="00E97FC1">
              <w:rPr>
                <w:rFonts w:ascii="Helvetica" w:hAnsi="Helvetica" w:cs="Helvetica"/>
                <w:b/>
                <w:bCs/>
                <w:sz w:val="16"/>
                <w:szCs w:val="20"/>
                <w:lang w:val="en-GB"/>
              </w:rPr>
              <w:fldChar w:fldCharType="end"/>
            </w:r>
          </w:p>
        </w:tc>
      </w:tr>
      <w:tr w:rsidR="002471A8" w:rsidRPr="00E97FC1" w14:paraId="41510FF1" w14:textId="77777777" w:rsidTr="002471A8">
        <w:trPr>
          <w:trHeight w:val="65"/>
        </w:trPr>
        <w:tc>
          <w:tcPr>
            <w:tcW w:w="1165" w:type="dxa"/>
          </w:tcPr>
          <w:p w14:paraId="429A3D9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E154C</w:t>
            </w:r>
          </w:p>
        </w:tc>
        <w:tc>
          <w:tcPr>
            <w:tcW w:w="2700" w:type="dxa"/>
          </w:tcPr>
          <w:p w14:paraId="32393C85"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surface, interacts with NuoK N-terminus</w:t>
            </w:r>
          </w:p>
        </w:tc>
        <w:tc>
          <w:tcPr>
            <w:tcW w:w="1440" w:type="dxa"/>
          </w:tcPr>
          <w:p w14:paraId="58D3876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45FEEA30"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5F6B16D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70%</w:t>
            </w:r>
          </w:p>
        </w:tc>
        <w:tc>
          <w:tcPr>
            <w:tcW w:w="1080" w:type="dxa"/>
          </w:tcPr>
          <w:p w14:paraId="2A591DEA"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90%</w:t>
            </w:r>
          </w:p>
        </w:tc>
        <w:tc>
          <w:tcPr>
            <w:tcW w:w="1260" w:type="dxa"/>
          </w:tcPr>
          <w:p w14:paraId="37DD56A0" w14:textId="4DC4C8DE"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{"citationItems":[{"id":"ITEM-1","itemData":{"DOI":"10.1021/bi0340346","ISSN":"0006-2960 (Print)","PMID":"12718520","abstract":"The last gene in the nuo operon of Escherichia coli, nuoN, encodes a membrane-bound  subunit of Complex I (NADH:ubiquinone oxidoreductase). In this report, the gene for subunit N was disrupted by a 163 bp deletion in the chromosome, resulting in the loss of Complex I function, as measured by deamino-NADH oxidase activity. This activity could be recovered after transformation of the mutant strain by a plasmid that contains the previously identified nuoN gene and the upstream intergenic region between nuoM and nuoN. Mutagenesis of the first ATG downstream of nuoM led to a loss of function, indicating that this is the likely initiation codon for nuoN, and predicting a protein of 485 amino acids and 52 044 Da. Thirty site-specific mutations in nuoN at 19 different positions were constructed in a vector that expresses the full-length subunit N with both an octahistidine tag and an HA epitope tag at the carboxyl terminus. Highly conserved charged and aromatic residues were selected for mutagenesis, as well as a substitution that occurs as a secondary mutation in Leber's hereditary optic neuropathy (LHON). Membranes from the mutant strains were tested for production of subunit N by immunoblots and for NADH-linked activities. Mutants with substitutions at six different positions (K158, K217, H224, K247, Y300, and K395) had rates of deamino-NADH oxidase activity that were no more than 50% of that of the wild type and had reduced rates of proton translocation. These mutants also showed enhanced inhibition by decylubiquinone, indicating that subunit N interacts with quinones. The mutation associated with LHON, G391S, had little effect on these functions.","author":[{"dropping-particle":"","family":"Amarneh","given":"Bilal","non-dropping-particle":"","parse-names":false,"suffix":""},{"dropping-particle":"","family":"Vik","given":"Steven B","non-dropping-particle":"","parse-names":false,"suffix":""}],"container-title":"Biochemistry","id":"ITEM-1","issue":"17","issued":{"date-parts":[["2003","5"]]},"language":"eng","page":"4800-4808","publisher-place":"United States","title":"Mutagenesis of subunit N of the Escherichia coli complex I. Identification of the  initiation codon and the sensitivity of mutants to decylubiquinone.","type":"article-journal","volume":"42"},"uris":["http://www.mendeley.com/documents/?uuid=29689110-0ea3-4187-b44d-a7de5828f6d4"]}],"mendeley":{"formattedCitation":"(Amarneh &amp; Vik, 2003)","plainTextFormattedCitation":"(Amarneh &amp; Vik, 2003)","previouslyFormattedCitation":"(Amarneh &amp; Vik, 2003)"},"properties":{"noteIndex":0},"schema":"https://github.com/citation-style-language/schema/raw/master/csl-citation.json"}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(Amarneh &amp; Vik, 2003)</w:t>
            </w:r>
            <w:r w:rsidRPr="00E97FC1">
              <w:rPr>
                <w:rFonts w:ascii="Helvetica" w:hAnsi="Helvetica" w:cs="Helvetica"/>
                <w:b/>
                <w:bCs/>
                <w:sz w:val="16"/>
                <w:szCs w:val="20"/>
                <w:lang w:val="en-GB"/>
              </w:rPr>
              <w:fldChar w:fldCharType="end"/>
            </w:r>
          </w:p>
        </w:tc>
      </w:tr>
      <w:tr w:rsidR="002471A8" w:rsidRPr="00E97FC1" w14:paraId="2B0D3172" w14:textId="77777777" w:rsidTr="002471A8">
        <w:trPr>
          <w:trHeight w:val="65"/>
        </w:trPr>
        <w:tc>
          <w:tcPr>
            <w:tcW w:w="1165" w:type="dxa"/>
          </w:tcPr>
          <w:p w14:paraId="5DDD65E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K158C</w:t>
            </w:r>
          </w:p>
        </w:tc>
        <w:tc>
          <w:tcPr>
            <w:tcW w:w="2700" w:type="dxa"/>
            <w:vMerge w:val="restart"/>
          </w:tcPr>
          <w:p w14:paraId="119AD7C3" w14:textId="77777777" w:rsidR="002471A8" w:rsidRPr="00E97FC1" w:rsidRDefault="002471A8" w:rsidP="002471A8">
            <w:pPr>
              <w:rPr>
                <w:rFonts w:ascii="Helvetica" w:hAnsi="Helvetica" w:cs="Helvetica"/>
                <w:bCs/>
                <w:sz w:val="20"/>
                <w:lang w:val="en-GB"/>
              </w:rPr>
            </w:pPr>
          </w:p>
          <w:p w14:paraId="7C5417F2" w14:textId="77777777" w:rsidR="002471A8" w:rsidRPr="00E97FC1" w:rsidRDefault="002471A8" w:rsidP="002471A8">
            <w:pPr>
              <w:rPr>
                <w:rFonts w:ascii="Helvetica" w:hAnsi="Helvetica" w:cs="Helvetica"/>
                <w:sz w:val="20"/>
                <w:lang w:val="en-GB"/>
              </w:rPr>
            </w:pPr>
            <w:r w:rsidRPr="00E97FC1">
              <w:rPr>
                <w:rFonts w:ascii="Helvetica" w:hAnsi="Helvetica" w:cs="Helvetica"/>
                <w:bCs/>
                <w:sz w:val="20"/>
                <w:lang w:val="en-GB"/>
              </w:rPr>
              <w:t>TM6 – HL HB</w:t>
            </w:r>
          </w:p>
        </w:tc>
        <w:tc>
          <w:tcPr>
            <w:tcW w:w="1440" w:type="dxa"/>
          </w:tcPr>
          <w:p w14:paraId="4127A36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28B3EC3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86%</w:t>
            </w:r>
          </w:p>
        </w:tc>
        <w:tc>
          <w:tcPr>
            <w:tcW w:w="1260" w:type="dxa"/>
          </w:tcPr>
          <w:p w14:paraId="1979353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50%</w:t>
            </w:r>
          </w:p>
        </w:tc>
        <w:tc>
          <w:tcPr>
            <w:tcW w:w="1080" w:type="dxa"/>
          </w:tcPr>
          <w:p w14:paraId="59FAA2B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80%</w:t>
            </w:r>
          </w:p>
        </w:tc>
        <w:tc>
          <w:tcPr>
            <w:tcW w:w="1260" w:type="dxa"/>
          </w:tcPr>
          <w:p w14:paraId="7F423C38" w14:textId="64007423"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{"citationItems":[{"id":"ITEM-1","itemData":{"DOI":"10.1371/journal.pone.0017420","ISSN":"1932-6203 (Electronic)","PMID":"21387012","abstract":"BACKGROUND: The membrane arm of Complex I (NADH:ubiquinone oxidoreductase) contains  three large, and closely related subunits, which are called L, M, and N in E. coli. These subunits are homologous to components of multi-subunit Na(+)/H(+) antiporters, and so are implicated in proton translocation. METHODOLOGY/PRINCIPAL FINDINGS: Nineteen site-specific mutations were constructed at two corresponding positions in each of the three subunits. Two positions were selected in each subunit: L_K169, M_K173, N_K158 and L_Q236, M_H241, N_H224. Membrane vesicles were prepared from all of the resulting mutant strains, and were assayed for deamino-NADH oxidase activity, proton translocation, ferricyanide reductase activity, and sensitivity to capsaicin. Corresponding mutations in the three subunits were found to have very similar effects on all activities measured. In addition, the effect of adding exogenous decylubiquinone on these activities was tested. 50 µM decylubiquinone stimulated both deamino-NADH oxidase activity and proton translocation by wild type membrane vesicles, but was inhibitory towards the same activities by membrane vesicles bearing the lysine substitution at the L236/M241/N224 positions. CONCLUSIONS/SIGNIFICANCE: The results show a close correlation with reduced activity among the corresponding mutations, and provide evidence that the L, M, and N subunits have a common role in Complex I.","author":[{"dropping-particle":"","family":"Michel","given":"Jose","non-dropping-particle":"","parse-names":false,"suffix":""},{"dropping-particle":"","family":"DeLeon-Rangel","given":"Jessica","non-dropping-particle":"","parse-names":false,"suffix":""},{"dropping-particle":"","family":"Zhu","given":"Shaotong","non-dropping-particle":"","parse-names":false,"suffix":""},{"dropping-particle":"","family":"Ree","given":"Kalie","non-dropping-particle":"Van","parse-names":false,"suffix":""},{"dropping-particle":"","family":"Vik","given":"Steven B","non-dropping-particle":"","parse-names":false,"suffix":""}],"container-title":"PloS one","id":"ITEM-1","issue":"2","issued":{"date-parts":[["2011","2"]]},"language":"eng","page":"e17420","title":"Mutagenesis of the L, M, and N subunits of Complex I from Escherichia coli indicates  a common role in function.","type":"article-journal","volume":"6"},"uris":["http://www.mendeley.com/documents/?uuid=c0aa016f-3662-48d1-a31e-f06d6ca21965"]}],"mendeley":{"formattedCitation":"(Michel &lt;i&gt;et al&lt;/i&gt;, 2011)","plainTextFormattedCitation":"(Michel et al, 2011)","previouslyFormattedCitation":"(Michel &lt;i&gt;et al&lt;/i&gt;, 2011)"},"properties":{"noteIndex":0},"schema":"https://github.com/citation-style-language/schema/raw/master/csl-citation.json"}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(Michel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2011)</w:t>
            </w:r>
            <w:r w:rsidRPr="00E97FC1">
              <w:rPr>
                <w:rFonts w:ascii="Helvetica" w:hAnsi="Helvetica" w:cs="Helvetica"/>
                <w:b/>
                <w:bCs/>
                <w:sz w:val="16"/>
                <w:szCs w:val="20"/>
                <w:lang w:val="en-GB"/>
              </w:rPr>
              <w:fldChar w:fldCharType="end"/>
            </w:r>
          </w:p>
        </w:tc>
      </w:tr>
      <w:tr w:rsidR="002471A8" w:rsidRPr="00E97FC1" w14:paraId="6D03B656" w14:textId="77777777" w:rsidTr="002471A8">
        <w:trPr>
          <w:trHeight w:val="65"/>
        </w:trPr>
        <w:tc>
          <w:tcPr>
            <w:tcW w:w="1165" w:type="dxa"/>
          </w:tcPr>
          <w:p w14:paraId="342EBB0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K158R</w:t>
            </w:r>
          </w:p>
        </w:tc>
        <w:tc>
          <w:tcPr>
            <w:tcW w:w="2700" w:type="dxa"/>
            <w:vMerge/>
          </w:tcPr>
          <w:p w14:paraId="7FCADD5A" w14:textId="77777777" w:rsidR="002471A8" w:rsidRPr="00E97FC1" w:rsidRDefault="002471A8" w:rsidP="002471A8">
            <w:pPr>
              <w:rPr>
                <w:rFonts w:ascii="Helvetica" w:hAnsi="Helvetica" w:cs="Helvetica"/>
                <w:bCs/>
                <w:sz w:val="20"/>
                <w:szCs w:val="20"/>
                <w:lang w:val="en-GB"/>
              </w:rPr>
            </w:pPr>
          </w:p>
        </w:tc>
        <w:tc>
          <w:tcPr>
            <w:tcW w:w="1440" w:type="dxa"/>
          </w:tcPr>
          <w:p w14:paraId="249ABAA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5EF7ADB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71%</w:t>
            </w:r>
          </w:p>
        </w:tc>
        <w:tc>
          <w:tcPr>
            <w:tcW w:w="1260" w:type="dxa"/>
          </w:tcPr>
          <w:p w14:paraId="5ECF90BB"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70%</w:t>
            </w:r>
          </w:p>
        </w:tc>
        <w:tc>
          <w:tcPr>
            <w:tcW w:w="1080" w:type="dxa"/>
          </w:tcPr>
          <w:p w14:paraId="5BF03491"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80%</w:t>
            </w:r>
          </w:p>
        </w:tc>
        <w:tc>
          <w:tcPr>
            <w:tcW w:w="1260" w:type="dxa"/>
          </w:tcPr>
          <w:p w14:paraId="291D8854" w14:textId="2318D081"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{"citationItems":[{"id":"ITEM-1","itemData":{"DOI":"10.1371/journal.pone.0017420","ISSN":"1932-6203 (Electronic)","PMID":"21387012","abstract":"BACKGROUND: The membrane arm of Complex I (NADH:ubiquinone oxidoreductase) contains  three large, and closely related subunits, which are called L, M, and N in E. coli. These subunits are homologous to components of multi-subunit Na(+)/H(+) antiporters, and so are implicated in proton translocation. METHODOLOGY/PRINCIPAL FINDINGS: Nineteen site-specific mutations were constructed at two corresponding positions in each of the three subunits. Two positions were selected in each subunit: L_K169, M_K173, N_K158 and L_Q236, M_H241, N_H224. Membrane vesicles were prepared from all of the resulting mutant strains, and were assayed for deamino-NADH oxidase activity, proton translocation, ferricyanide reductase activity, and sensitivity to capsaicin. Corresponding mutations in the three subunits were found to have very similar effects on all activities measured. In addition, the effect of adding exogenous decylubiquinone on these activities was tested. 50 µM decylubiquinone stimulated both deamino-NADH oxidase activity and proton translocation by wild type membrane vesicles, but was inhibitory towards the same activities by membrane vesicles bearing the lysine substitution at the L236/M241/N224 positions. CONCLUSIONS/SIGNIFICANCE: The results show a close correlation with reduced activity among the corresponding mutations, and provide evidence that the L, M, and N subunits have a common role in Complex I.","author":[{"dropping-particle":"","family":"Michel","given":"Jose","non-dropping-particle":"","parse-names":false,"suffix":""},{"dropping-particle":"","family":"DeLeon-Rangel","given":"Jessica","non-dropping-particle":"","parse-names":false,"suffix":""},{"dropping-particle":"","family":"Zhu","given":"Shaotong","non-dropping-particle":"","parse-names":false,"suffix":""},{"dropping-particle":"","family":"Ree","given":"Kalie","non-dropping-particle":"Van","parse-names":false,"suffix":""},{"dropping-particle":"","family":"Vik","given":"Steven B","non-dropping-particle":"","parse-names":false,"suffix":""}],"container-title":"PloS one","id":"ITEM-1","issue":"2","issued":{"date-parts":[["2011","2"]]},"language":"eng","page":"e17420","title":"Mutagenesis of the L, M, and N subunits of Complex I from Escherichia coli indicates  a common role in function.","type":"article-journal","volume":"6"},"uris":["http://www.mendeley.com/documents/?uuid=c0aa016f-3662-48d1-a31e-f06d6ca21965"]}],"mendeley":{"formattedCitation":"(Michel &lt;i&gt;et al&lt;/i&gt;, 2011)","plainTextFormattedCitation":"(Michel et al, 2011)","previouslyFormattedCitation":"(Michel &lt;i&gt;et al&lt;/i&gt;, 2011)"},"properties":{"noteIndex":0},"schema":"https://github.com/citation-style-language/schema/raw/master/csl-citation.json"}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(Michel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2011)</w:t>
            </w:r>
            <w:r w:rsidRPr="00E97FC1">
              <w:rPr>
                <w:rFonts w:ascii="Helvetica" w:hAnsi="Helvetica" w:cs="Helvetica"/>
                <w:b/>
                <w:bCs/>
                <w:sz w:val="16"/>
                <w:szCs w:val="20"/>
                <w:lang w:val="en-GB"/>
              </w:rPr>
              <w:fldChar w:fldCharType="end"/>
            </w:r>
          </w:p>
        </w:tc>
      </w:tr>
      <w:tr w:rsidR="002471A8" w:rsidRPr="00E97FC1" w14:paraId="43E61571" w14:textId="77777777" w:rsidTr="002471A8">
        <w:trPr>
          <w:trHeight w:val="65"/>
        </w:trPr>
        <w:tc>
          <w:tcPr>
            <w:tcW w:w="1165" w:type="dxa"/>
          </w:tcPr>
          <w:p w14:paraId="4276E77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K158E</w:t>
            </w:r>
          </w:p>
        </w:tc>
        <w:tc>
          <w:tcPr>
            <w:tcW w:w="2700" w:type="dxa"/>
            <w:vMerge/>
          </w:tcPr>
          <w:p w14:paraId="6699D0F6" w14:textId="77777777" w:rsidR="002471A8" w:rsidRPr="00E97FC1" w:rsidRDefault="002471A8" w:rsidP="002471A8">
            <w:pPr>
              <w:rPr>
                <w:rFonts w:ascii="Helvetica" w:hAnsi="Helvetica" w:cs="Helvetica"/>
                <w:bCs/>
                <w:sz w:val="20"/>
                <w:szCs w:val="20"/>
                <w:lang w:val="en-GB"/>
              </w:rPr>
            </w:pPr>
          </w:p>
        </w:tc>
        <w:tc>
          <w:tcPr>
            <w:tcW w:w="1440" w:type="dxa"/>
          </w:tcPr>
          <w:p w14:paraId="35F2515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2C269C7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95%</w:t>
            </w:r>
          </w:p>
        </w:tc>
        <w:tc>
          <w:tcPr>
            <w:tcW w:w="1260" w:type="dxa"/>
          </w:tcPr>
          <w:p w14:paraId="604D6DB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47%</w:t>
            </w:r>
          </w:p>
        </w:tc>
        <w:tc>
          <w:tcPr>
            <w:tcW w:w="1080" w:type="dxa"/>
          </w:tcPr>
          <w:p w14:paraId="1577530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reduced</w:t>
            </w:r>
          </w:p>
        </w:tc>
        <w:tc>
          <w:tcPr>
            <w:tcW w:w="1260" w:type="dxa"/>
          </w:tcPr>
          <w:p w14:paraId="1DB856C9" w14:textId="363F22FB"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{"citationItems":[{"id":"ITEM-1","itemData":{"DOI":"10.1371/journal.pone.0017420","ISSN":"1932-6203 (Electronic)","PMID":"21387012","abstract":"BACKGROUND: The membrane arm of Complex I (NADH:ubiquinone oxidoreductase) contains  three large, and closely related subunits, which are called L, M, and N in E. coli. These subunits are homologous to components of multi-subunit Na(+)/H(+) antiporters, and so are implicated in proton translocation. METHODOLOGY/PRINCIPAL FINDINGS: Nineteen site-specific mutations were constructed at two corresponding positions in each of the three subunits. Two positions were selected in each subunit: L_K169, M_K173, N_K158 and L_Q236, M_H241, N_H224. Membrane vesicles were prepared from all of the resulting mutant strains, and were assayed for deamino-NADH oxidase activity, proton translocation, ferricyanide reductase activity, and sensitivity to capsaicin. Corresponding mutations in the three subunits were found to have very similar effects on all activities measured. In addition, the effect of adding exogenous decylubiquinone on these activities was tested. 50 µM decylubiquinone stimulated both deamino-NADH oxidase activity and proton translocation by wild type membrane vesicles, but was inhibitory towards the same activities by membrane vesicles bearing the lysine substitution at the L236/M241/N224 positions. CONCLUSIONS/SIGNIFICANCE: The results show a close correlation with reduced activity among the corresponding mutations, and provide evidence that the L, M, and N subunits have a common role in Complex I.","author":[{"dropping-particle":"","family":"Michel","given":"Jose","non-dropping-particle":"","parse-names":false,"suffix":""},{"dropping-particle":"","family":"DeLeon-Rangel","given":"Jessica","non-dropping-particle":"","parse-names":false,"suffix":""},{"dropping-particle":"","family":"Zhu","given":"Shaotong","non-dropping-particle":"","parse-names":false,"suffix":""},{"dropping-particle":"","family":"Ree","given":"Kalie","non-dropping-particle":"Van","parse-names":false,"suffix":""},{"dropping-particle":"","family":"Vik","given":"Steven B","non-dropping-particle":"","parse-names":false,"suffix":""}],"container-title":"PloS one","id":"ITEM-1","issue":"2","issued":{"date-parts":[["2011","2"]]},"language":"eng","page":"e17420","title":"Mutagenesis of the L, M, and N subunits of Complex I from Escherichia coli indicates  a common role in function.","type":"article-journal","volume":"6"},"uris":["http://www.mendeley.com/documents/?uuid=c0aa016f-3662-48d1-a31e-f06d6ca21965"]}],"mendeley":{"formattedCitation":"(Michel &lt;i&gt;et al&lt;/i&gt;, 2011)","plainTextFormattedCitation":"(Michel et al, 2011)","previouslyFormattedCitation":"(Michel &lt;i&gt;et al&lt;/i&gt;, 2011)"},"properties":{"noteIndex":0},"schema":"https://github.com/citation-style-language/schema/raw/master/csl-citation.json"}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(Michel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2011)</w:t>
            </w:r>
            <w:r w:rsidRPr="00E97FC1">
              <w:rPr>
                <w:rFonts w:ascii="Helvetica" w:hAnsi="Helvetica" w:cs="Helvetica"/>
                <w:b/>
                <w:bCs/>
                <w:sz w:val="16"/>
                <w:szCs w:val="20"/>
                <w:lang w:val="en-GB"/>
              </w:rPr>
              <w:fldChar w:fldCharType="end"/>
            </w:r>
          </w:p>
        </w:tc>
      </w:tr>
      <w:tr w:rsidR="002471A8" w:rsidRPr="00E97FC1" w14:paraId="6D26CDDB" w14:textId="77777777" w:rsidTr="002471A8">
        <w:trPr>
          <w:trHeight w:val="65"/>
        </w:trPr>
        <w:tc>
          <w:tcPr>
            <w:tcW w:w="1165" w:type="dxa"/>
          </w:tcPr>
          <w:p w14:paraId="6CD1614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K158A</w:t>
            </w:r>
          </w:p>
        </w:tc>
        <w:tc>
          <w:tcPr>
            <w:tcW w:w="2700" w:type="dxa"/>
            <w:vMerge/>
          </w:tcPr>
          <w:p w14:paraId="378D9060" w14:textId="77777777" w:rsidR="002471A8" w:rsidRPr="00E97FC1" w:rsidRDefault="002471A8" w:rsidP="002471A8">
            <w:pPr>
              <w:rPr>
                <w:rFonts w:ascii="Helvetica" w:hAnsi="Helvetica" w:cs="Helvetica"/>
                <w:bCs/>
                <w:sz w:val="20"/>
                <w:szCs w:val="20"/>
                <w:lang w:val="en-GB"/>
              </w:rPr>
            </w:pPr>
          </w:p>
        </w:tc>
        <w:tc>
          <w:tcPr>
            <w:tcW w:w="1440" w:type="dxa"/>
          </w:tcPr>
          <w:p w14:paraId="4CE8738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0CA5459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79</w:t>
            </w:r>
          </w:p>
        </w:tc>
        <w:tc>
          <w:tcPr>
            <w:tcW w:w="1260" w:type="dxa"/>
          </w:tcPr>
          <w:p w14:paraId="3B6C284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57</w:t>
            </w:r>
          </w:p>
        </w:tc>
        <w:tc>
          <w:tcPr>
            <w:tcW w:w="1080" w:type="dxa"/>
          </w:tcPr>
          <w:p w14:paraId="3F52AF0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90%%</w:t>
            </w:r>
          </w:p>
        </w:tc>
        <w:tc>
          <w:tcPr>
            <w:tcW w:w="1260" w:type="dxa"/>
          </w:tcPr>
          <w:p w14:paraId="6212251E" w14:textId="42AD85DF"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{"citationItems":[{"id":"ITEM-1","itemData":{"DOI":"10.1074/jbc.M113.482968","ISSN":"1083-351X (Electronic)","PMID":"23864658","abstract":"The proton-translocating NADH-quinone oxidoreductase (complex I/NDH-1) contains a peripheral and a membrane domain. Three antiporter-like subunits in the membrane domain, NuoL, NuoM, and NuoN (ND5, ND4 and ND2, respectively), are structurally similar. We analyzed the role of NuoN in Escherichia coli NDH-1. The lysine residue at position 395 in NuoN (NLys(395)) is conserved in NuoL (LLys(399)) but is replaced by glutamic acid (MGlu(407)) in NuoM. Our mutation study on NLys(395) suggests that this residue participates in the proton translocation. Furthermore, we found that MGlu(407) is also essential and most likely interacts with conserved LArg(175). Glutamic acids, NGlu(133), MGlu(144), and LGlu(144), are corresponding residues. Unlike mutants of MGlu(144) and LGlu(144), mutation of NGlu(133) scarcely affected the energy-transducing activities. However, a double mutant of NGlu(133) and nearby KGlu(72) showed significant inhibition of these activities. This suggests that NGlu(133) bears a functional role similar to LGlu(144) and MGlu(144) but its mutation can be partially compensated by the nearby carboxyl residue. Conserved prolines located at loops of discontinuous transmembrane helices of NuoL, NuoM, and NuoN were shown to play a similar role in the energy-transducing activity. It seems likely that NuoL, NuoM, and NuoN pump protons by a similar mechanism. Our data also revealed that NLys(158) is one of the key interaction points with helix HL in NuoL. A truncation study indicated that the C-terminal amphipathic segments of NTM14 interacts with the Mbeta sheet located on the opposite side of helix HL. Taken together, the mechanism of H(+) translocation in NDH-1 is discussed.","author":[{"dropping-particle":"","family":"Sato","given":"Motoaki","non-dropping-particle":"","parse-names":false,"suffix":""},{"dropping-particle":"","family":"Sinha","given":"Prem Kumar","non-dropping-particle":"","parse-names":false,"suffix":""},{"dropping-particle":"","family":"Torres-Bacete","given":"Jesus","non-dropping-particle":"","parse-names":false,"suffix":""},{"dropping-particle":"","family":"Matsuno-Yagi","given":"Akemi","non-dropping-particle":"","parse-names":false,"suffix":""},{"dropping-particle":"","family":"Yagi","given":"Takao","non-dropping-particle":"","parse-names":false,"suffix":""}],"container-title":"The Journal of biological chemistry","id":"ITEM-1","issue":"34","issued":{"date-parts":[["2013","8"]]},"language":"eng","page":"24705-24716","publisher-place":"United States","title":"Energy transducing roles of antiporter-like subunits in Escherichia coli NDH-1 with main focus on subunit NuoN (ND2).","type":"article-journal","volume":"288"},"uris":["http://www.mendeley.com/documents/?uuid=0db84ce5-f2b7-4f63-9ef8-4e12ef999eec"]}],"mendeley":{"formattedCitation":"(Sato &lt;i&gt;et al&lt;/i&gt;, 2013)","plainTextFormattedCitation":"(Sato et al, 2013)","previouslyFormattedCitation":"(Sato &lt;i&gt;et al&lt;/i&gt;, 2013)"},"properties":{"noteIndex":0},"schema":"https://github.com/citation-style-language/schema/raw/master/csl-citation.json"}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(Sato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2013)</w:t>
            </w:r>
            <w:r w:rsidRPr="00E97FC1">
              <w:rPr>
                <w:rFonts w:ascii="Helvetica" w:hAnsi="Helvetica" w:cs="Helvetica"/>
                <w:b/>
                <w:bCs/>
                <w:sz w:val="16"/>
                <w:szCs w:val="20"/>
                <w:lang w:val="en-GB"/>
              </w:rPr>
              <w:fldChar w:fldCharType="end"/>
            </w:r>
          </w:p>
        </w:tc>
      </w:tr>
      <w:tr w:rsidR="002471A8" w:rsidRPr="00E97FC1" w14:paraId="0C1F7770" w14:textId="77777777" w:rsidTr="002471A8">
        <w:trPr>
          <w:trHeight w:val="65"/>
        </w:trPr>
        <w:tc>
          <w:tcPr>
            <w:tcW w:w="1165" w:type="dxa"/>
          </w:tcPr>
          <w:p w14:paraId="04B4423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K158R</w:t>
            </w:r>
          </w:p>
        </w:tc>
        <w:tc>
          <w:tcPr>
            <w:tcW w:w="2700" w:type="dxa"/>
            <w:vMerge/>
          </w:tcPr>
          <w:p w14:paraId="125D3B55" w14:textId="77777777" w:rsidR="002471A8" w:rsidRPr="00E97FC1" w:rsidRDefault="002471A8" w:rsidP="002471A8">
            <w:pPr>
              <w:rPr>
                <w:rFonts w:ascii="Helvetica" w:hAnsi="Helvetica" w:cs="Helvetica"/>
                <w:bCs/>
                <w:sz w:val="20"/>
                <w:szCs w:val="20"/>
                <w:lang w:val="en-GB"/>
              </w:rPr>
            </w:pPr>
          </w:p>
        </w:tc>
        <w:tc>
          <w:tcPr>
            <w:tcW w:w="1440" w:type="dxa"/>
          </w:tcPr>
          <w:p w14:paraId="1DB9EF51"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011EBC30"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75</w:t>
            </w:r>
          </w:p>
        </w:tc>
        <w:tc>
          <w:tcPr>
            <w:tcW w:w="1260" w:type="dxa"/>
          </w:tcPr>
          <w:p w14:paraId="1326350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41</w:t>
            </w:r>
          </w:p>
        </w:tc>
        <w:tc>
          <w:tcPr>
            <w:tcW w:w="1080" w:type="dxa"/>
          </w:tcPr>
          <w:p w14:paraId="3BCD6B9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reduced</w:t>
            </w:r>
          </w:p>
        </w:tc>
        <w:tc>
          <w:tcPr>
            <w:tcW w:w="1260" w:type="dxa"/>
          </w:tcPr>
          <w:p w14:paraId="52A48216" w14:textId="785DCE59"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{"citationItems":[{"id":"ITEM-1","itemData":{"DOI":"10.1074/jbc.M113.482968","ISSN":"1083-351X (Electronic)","PMID":"23864658","abstract":"The proton-translocating NADH-quinone oxidoreductase (complex I/NDH-1) contains a peripheral and a membrane domain. Three antiporter-like subunits in the membrane domain, NuoL, NuoM, and NuoN (ND5, ND4 and ND2, respectively), are structurally similar. We analyzed the role of NuoN in Escherichia coli NDH-1. The lysine residue at position 395 in NuoN (NLys(395)) is conserved in NuoL (LLys(399)) but is replaced by glutamic acid (MGlu(407)) in NuoM. Our mutation study on NLys(395) suggests that this residue participates in the proton translocation. Furthermore, we found that MGlu(407) is also essential and most likely interacts with conserved LArg(175). Glutamic acids, NGlu(133), MGlu(144), and LGlu(144), are corresponding residues. Unlike mutants of MGlu(144) and LGlu(144), mutation of NGlu(133) scarcely affected the energy-transducing activities. However, a double mutant of NGlu(133) and nearby KGlu(72) showed significant inhibition of these activities. This suggests that NGlu(133) bears a functional role similar to LGlu(144) and MGlu(144) but its mutation can be partially compensated by the nearby carboxyl residue. Conserved prolines located at loops of discontinuous transmembrane helices of NuoL, NuoM, and NuoN were shown to play a similar role in the energy-transducing activity. It seems likely that NuoL, NuoM, and NuoN pump protons by a similar mechanism. Our data also revealed that NLys(158) is one of the key interaction points with helix HL in NuoL. A truncation study indicated that the C-terminal amphipathic segments of NTM14 interacts with the Mbeta sheet located on the opposite side of helix HL. Taken together, the mechanism of H(+) translocation in NDH-1 is discussed.","author":[{"dropping-particle":"","family":"Sato","given":"Motoaki","non-dropping-particle":"","parse-names":false,"suffix":""},{"dropping-particle":"","family":"Sinha","given":"Prem Kumar","non-dropping-particle":"","parse-names":false,"suffix":""},{"dropping-particle":"","family":"Torres-Bacete","given":"Jesus","non-dropping-particle":"","parse-names":false,"suffix":""},{"dropping-particle":"","family":"Matsuno-Yagi","given":"Akemi","non-dropping-particle":"","parse-names":false,"suffix":""},{"dropping-particle":"","family":"Yagi","given":"Takao","non-dropping-particle":"","parse-names":false,"suffix":""}],"container-title":"The Journal of biological chemistry","id":"ITEM-1","issue":"34","issued":{"date-parts":[["2013","8"]]},"language":"eng","page":"24705-24716","publisher-place":"United States","title":"Energy transducing roles of antiporter-like subunits in Escherichia coli NDH-1 with main focus on subunit NuoN (ND2).","type":"article-journal","volume":"288"},"uris":["http://www.mendeley.com/documents/?uuid=0db84ce5-f2b7-4f63-9ef8-4e12ef999eec"]}],"mendeley":{"formattedCitation":"(Sato &lt;i&gt;et al&lt;/i&gt;, 2013)","plainTextFormattedCitation":"(Sato et al, 2013)","previouslyFormattedCitation":"(Sato &lt;i&gt;et al&lt;/i&gt;, 2013)"},"properties":{"noteIndex":0},"schema":"https://github.com/citation-style-language/schema/raw/master/csl-citation.json"}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(Sato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2013)</w:t>
            </w:r>
            <w:r w:rsidRPr="00E97FC1">
              <w:rPr>
                <w:rFonts w:ascii="Helvetica" w:hAnsi="Helvetica" w:cs="Helvetica"/>
                <w:b/>
                <w:bCs/>
                <w:sz w:val="16"/>
                <w:szCs w:val="20"/>
                <w:lang w:val="en-GB"/>
              </w:rPr>
              <w:fldChar w:fldCharType="end"/>
            </w:r>
          </w:p>
        </w:tc>
      </w:tr>
      <w:tr w:rsidR="002471A8" w:rsidRPr="00E97FC1" w14:paraId="1CFD83B3" w14:textId="77777777" w:rsidTr="002471A8">
        <w:trPr>
          <w:trHeight w:val="65"/>
        </w:trPr>
        <w:tc>
          <w:tcPr>
            <w:tcW w:w="1165" w:type="dxa"/>
          </w:tcPr>
          <w:p w14:paraId="2E35B751"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T160I</w:t>
            </w:r>
          </w:p>
        </w:tc>
        <w:tc>
          <w:tcPr>
            <w:tcW w:w="2700" w:type="dxa"/>
          </w:tcPr>
          <w:p w14:paraId="5DC657AB" w14:textId="77777777" w:rsidR="002471A8" w:rsidRPr="00E97FC1" w:rsidRDefault="002471A8" w:rsidP="002471A8">
            <w:pPr>
              <w:rPr>
                <w:rFonts w:ascii="Helvetica" w:hAnsi="Helvetica" w:cs="Helvetica"/>
                <w:iCs/>
                <w:sz w:val="20"/>
                <w:lang w:val="en-GB"/>
              </w:rPr>
            </w:pPr>
            <w:r w:rsidRPr="00E97FC1">
              <w:rPr>
                <w:rFonts w:ascii="Helvetica" w:hAnsi="Helvetica" w:cs="Helvetica"/>
                <w:iCs/>
                <w:sz w:val="20"/>
                <w:lang w:val="en-GB"/>
              </w:rPr>
              <w:t>interface with NuoK</w:t>
            </w:r>
          </w:p>
        </w:tc>
        <w:tc>
          <w:tcPr>
            <w:tcW w:w="1440" w:type="dxa"/>
          </w:tcPr>
          <w:p w14:paraId="1D1E32A2"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normal</w:t>
            </w:r>
          </w:p>
        </w:tc>
        <w:tc>
          <w:tcPr>
            <w:tcW w:w="1170" w:type="dxa"/>
          </w:tcPr>
          <w:p w14:paraId="2A893FD4"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6E626CB9"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80%</w:t>
            </w:r>
          </w:p>
        </w:tc>
        <w:tc>
          <w:tcPr>
            <w:tcW w:w="1080" w:type="dxa"/>
          </w:tcPr>
          <w:p w14:paraId="50F1E4B3"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NA</w:t>
            </w:r>
          </w:p>
        </w:tc>
        <w:tc>
          <w:tcPr>
            <w:tcW w:w="1260" w:type="dxa"/>
          </w:tcPr>
          <w:p w14:paraId="6ADF8BA7" w14:textId="11943BF6"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{"citationItems":[{"id":"ITEM-1","itemData":{"DOI":"10.1021/bi0340346","ISSN":"0006-2960 (Print)","PMID":"12718520","abstract":"The last gene in the nuo operon of Escherichia coli, nuoN, encodes a membrane-bound  subunit of Complex I (NADH:ubiquinone oxidoreductase). In this report, the gene for subunit N was disrupted by a 163 bp deletion in the chromosome, resulting in the loss of Complex I function, as measured by deamino-NADH oxidase activity. This activity could be recovered after transformation of the mutant strain by a plasmid that contains the previously identified nuoN gene and the upstream intergenic region between nuoM and nuoN. Mutagenesis of the first ATG downstream of nuoM led to a loss of function, indicating that this is the likely initiation codon for nuoN, and predicting a protein of 485 amino acids and 52 044 Da. Thirty site-specific mutations in nuoN at 19 different positions were constructed in a vector that expresses the full-length subunit N with both an octahistidine tag and an HA epitope tag at the carboxyl terminus. Highly conserved charged and aromatic residues were selected for mutagenesis, as well as a substitution that occurs as a secondary mutation in Leber's hereditary optic neuropathy (LHON). Membranes from the mutant strains were tested for production of subunit N by immunoblots and for NADH-linked activities. Mutants with substitutions at six different positions (K158, K217, H224, K247, Y300, and K395) had rates of deamino-NADH oxidase activity that were no more than 50% of that of the wild type and had reduced rates of proton translocation. These mutants also showed enhanced inhibition by decylubiquinone, indicating that subunit N interacts with quinones. The mutation associated with LHON, G391S, had little effect on these functions.","author":[{"dropping-particle":"","family":"Amarneh","given":"Bilal","non-dropping-particle":"","parse-names":false,"suffix":""},{"dropping-particle":"","family":"Vik","given":"Steven B","non-dropping-particle":"","parse-names":false,"suffix":""}],"container-title":"Biochemistry","id":"ITEM-1","issue":"17","issued":{"date-parts":[["2003","5"]]},"language":"eng","page":"4800-4808","publisher-place":"United States","title":"Mutagenesis of subunit N of the Escherichia coli complex I. Identification of the  initiation codon and the sensitivity of mutants to decylubiquinone.","type":"article-journal","volume":"42"},"uris":["http://www.mendeley.com/documents/?uuid=29689110-0ea3-4187-b44d-a7de5828f6d4"]}],"mendeley":{"formattedCitation":"(Amarneh &amp; Vik, 2003)","plainTextFormattedCitation":"(Amarneh &amp; Vik, 2003)","previouslyFormattedCitation":"(Amarneh &amp; Vik, 2003)"},"properties":{"noteIndex":0},"schema":"https://github.com/citation-style-language/schema/raw/master/csl-citation.json"}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(Amarneh &amp; Vik, 2003)</w:t>
            </w:r>
            <w:r w:rsidRPr="00E97FC1">
              <w:rPr>
                <w:rFonts w:ascii="Helvetica" w:hAnsi="Helvetica" w:cs="Helvetica"/>
                <w:b/>
                <w:bCs/>
                <w:sz w:val="16"/>
                <w:szCs w:val="20"/>
                <w:lang w:val="en-GB"/>
              </w:rPr>
              <w:fldChar w:fldCharType="end"/>
            </w:r>
          </w:p>
        </w:tc>
      </w:tr>
      <w:tr w:rsidR="002471A8" w:rsidRPr="00E97FC1" w14:paraId="66149DA0" w14:textId="77777777" w:rsidTr="002471A8">
        <w:trPr>
          <w:trHeight w:val="65"/>
        </w:trPr>
        <w:tc>
          <w:tcPr>
            <w:tcW w:w="1165" w:type="dxa"/>
          </w:tcPr>
          <w:p w14:paraId="44B2319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K217C</w:t>
            </w:r>
          </w:p>
        </w:tc>
        <w:tc>
          <w:tcPr>
            <w:tcW w:w="2700" w:type="dxa"/>
            <w:vMerge w:val="restart"/>
          </w:tcPr>
          <w:p w14:paraId="03250CE1"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TM7, central axe</w:t>
            </w:r>
          </w:p>
        </w:tc>
        <w:tc>
          <w:tcPr>
            <w:tcW w:w="1440" w:type="dxa"/>
          </w:tcPr>
          <w:p w14:paraId="3F6BCEDB"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 expression</w:t>
            </w:r>
          </w:p>
        </w:tc>
        <w:tc>
          <w:tcPr>
            <w:tcW w:w="1170" w:type="dxa"/>
          </w:tcPr>
          <w:p w14:paraId="25EB8D77"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589ED9E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080" w:type="dxa"/>
          </w:tcPr>
          <w:p w14:paraId="611A84A7"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515FDFAC" w14:textId="64779CF0"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{"citationItems":[{"id":"ITEM-1","itemData":{"DOI":"10.1021/bi0340346","ISSN":"0006-2960 (Print)","PMID":"12718520","abstract":"The last gene in the nuo operon of Escherichia coli, nuoN, encodes a membrane-bound  subunit of Complex I (NADH:ubiquinone oxidoreductase). In this report, the gene for subunit N was disrupted by a 163 bp deletion in the chromosome, resulting in the loss of Complex I function, as measured by deamino-NADH oxidase activity. This activity could be recovered after transformation of the mutant strain by a plasmid that contains the previously identified nuoN gene and the upstream intergenic region between nuoM and nuoN. Mutagenesis of the first ATG downstream of nuoM led to a loss of function, indicating that this is the likely initiation codon for nuoN, and predicting a protein of 485 amino acids and 52 044 Da. Thirty site-specific mutations in nuoN at 19 different positions were constructed in a vector that expresses the full-length subunit N with both an octahistidine tag and an HA epitope tag at the carboxyl terminus. Highly conserved charged and aromatic residues were selected for mutagenesis, as well as a substitution that occurs as a secondary mutation in Leber's hereditary optic neuropathy (LHON). Membranes from the mutant strains were tested for production of subunit N by immunoblots and for NADH-linked activities. Mutants with substitutions at six different positions (K158, K217, H224, K247, Y300, and K395) had rates of deamino-NADH oxidase activity that were no more than 50% of that of the wild type and had reduced rates of proton translocation. These mutants also showed enhanced inhibition by decylubiquinone, indicating that subunit N interacts with quinones. The mutation associated with LHON, G391S, had little effect on these functions.","author":[{"dropping-particle":"","family":"Amarneh","given":"Bilal","non-dropping-particle":"","parse-names":false,"suffix":""},{"dropping-particle":"","family":"Vik","given":"Steven B","non-dropping-particle":"","parse-names":false,"suffix":""}],"container-title":"Biochemistry","id":"ITEM-1","issue":"17","issued":{"date-parts":[["2003","5"]]},"language":"eng","page":"4800-4808","publisher-place":"United States","title":"Mutagenesis of subunit N of the Escherichia coli complex I. Identification of the  initiation codon and the sensitivity of mutants to decylubiquinone.","type":"article-journal","volume":"42"},"uris":["http://www.mendeley.com/documents/?uuid=29689110-0ea3-4187-b44d-a7de5828f6d4"]}],"mendeley":{"formattedCitation":"(Amarneh &amp; Vik, 2003)","plainTextFormattedCitation":"(Amarneh &amp; Vik, 2003)","previouslyFormattedCitation":"(Amarneh &amp; Vik, 2003)"},"properties":{"noteIndex":0},"schema":"https://github.com/citation-style-language/schema/raw/master/csl-citation.json"}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(Amarneh &amp; Vik, 2003)</w:t>
            </w:r>
            <w:r w:rsidRPr="00E97FC1">
              <w:rPr>
                <w:rFonts w:ascii="Helvetica" w:hAnsi="Helvetica" w:cs="Helvetica"/>
                <w:b/>
                <w:bCs/>
                <w:sz w:val="16"/>
                <w:szCs w:val="20"/>
                <w:lang w:val="en-GB"/>
              </w:rPr>
              <w:fldChar w:fldCharType="end"/>
            </w:r>
          </w:p>
        </w:tc>
      </w:tr>
      <w:tr w:rsidR="002471A8" w:rsidRPr="00E97FC1" w14:paraId="27669B31" w14:textId="77777777" w:rsidTr="002471A8">
        <w:trPr>
          <w:trHeight w:val="65"/>
        </w:trPr>
        <w:tc>
          <w:tcPr>
            <w:tcW w:w="1165" w:type="dxa"/>
          </w:tcPr>
          <w:p w14:paraId="3FF002A7"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K217R</w:t>
            </w:r>
          </w:p>
        </w:tc>
        <w:tc>
          <w:tcPr>
            <w:tcW w:w="2700" w:type="dxa"/>
            <w:vMerge/>
          </w:tcPr>
          <w:p w14:paraId="75A2A059" w14:textId="77777777" w:rsidR="002471A8" w:rsidRPr="00E97FC1" w:rsidRDefault="002471A8" w:rsidP="002471A8">
            <w:pPr>
              <w:rPr>
                <w:rFonts w:ascii="Helvetica" w:hAnsi="Helvetica" w:cs="Helvetica"/>
                <w:bCs/>
                <w:sz w:val="20"/>
                <w:szCs w:val="20"/>
                <w:lang w:val="en-GB"/>
              </w:rPr>
            </w:pPr>
          </w:p>
        </w:tc>
        <w:tc>
          <w:tcPr>
            <w:tcW w:w="1440" w:type="dxa"/>
          </w:tcPr>
          <w:p w14:paraId="7AEE74C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29041A6B"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1D76400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40%</w:t>
            </w:r>
          </w:p>
        </w:tc>
        <w:tc>
          <w:tcPr>
            <w:tcW w:w="1080" w:type="dxa"/>
          </w:tcPr>
          <w:p w14:paraId="5C833F7B"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80%</w:t>
            </w:r>
          </w:p>
        </w:tc>
        <w:tc>
          <w:tcPr>
            <w:tcW w:w="1260" w:type="dxa"/>
          </w:tcPr>
          <w:p w14:paraId="322743F3" w14:textId="53052FE8"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{"citationItems":[{"id":"ITEM-1","itemData":{"DOI":"10.1021/bi0340346","ISSN":"0006-2960 (Print)","PMID":"12718520","abstract":"The last gene in the nuo operon of Escherichia coli, nuoN, encodes a membrane-bound  subunit of Complex I (NADH:ubiquinone oxidoreductase). In this report, the gene for subunit N was disrupted by a 163 bp deletion in the chromosome, resulting in the loss of Complex I function, as measured by deamino-NADH oxidase activity. This activity could be recovered after transformation of the mutant strain by a plasmid that contains the previously identified nuoN gene and the upstream intergenic region between nuoM and nuoN. Mutagenesis of the first ATG downstream of nuoM led to a loss of function, indicating that this is the likely initiation codon for nuoN, and predicting a protein of 485 amino acids and 52 044 Da. Thirty site-specific mutations in nuoN at 19 different positions were constructed in a vector that expresses the full-length subunit N with both an octahistidine tag and an HA epitope tag at the carboxyl terminus. Highly conserved charged and aromatic residues were selected for mutagenesis, as well as a substitution that occurs as a secondary mutation in Leber's hereditary optic neuropathy (LHON). Membranes from the mutant strains were tested for production of subunit N by immunoblots and for NADH-linked activities. Mutants with substitutions at six different positions (K158, K217, H224, K247, Y300, and K395) had rates of deamino-NADH oxidase activity that were no more than 50% of that of the wild type and had reduced rates of proton translocation. These mutants also showed enhanced inhibition by decylubiquinone, indicating that subunit N interacts with quinones. The mutation associated with LHON, G391S, had little effect on these functions.","author":[{"dropping-particle":"","family":"Amarneh","given":"Bilal","non-dropping-particle":"","parse-names":false,"suffix":""},{"dropping-particle":"","family":"Vik","given":"Steven B","non-dropping-particle":"","parse-names":false,"suffix":""}],"container-title":"Biochemistry","id":"ITEM-1","issue":"17","issued":{"date-parts":[["2003","5"]]},"language":"eng","page":"4800-4808","publisher-place":"United States","title":"Mutagenesis of subunit N of the Escherichia coli complex I. Identification of the  initiation codon and the sensitivity of mutants to decylubiquinone.","type":"article-journal","volume":"42"},"uris":["http://www.mendeley.com/documents/?uuid=29689110-0ea3-4187-b44d-a7de5828f6d4"]}],"mendeley":{"formattedCitation":"(Amarneh &amp; Vik, 2003)","plainTextFormattedCitation":"(Amarneh &amp; Vik, 2003)","previouslyFormattedCitation":"(Amarneh &amp; Vik, 2003)"},"properties":{"noteIndex":0},"schema":"https://github.com/citation-style-language/schema/raw/master/csl-citation.json"}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(Amarneh &amp; Vik, 2003)</w:t>
            </w:r>
            <w:r w:rsidRPr="00E97FC1">
              <w:rPr>
                <w:rFonts w:ascii="Helvetica" w:hAnsi="Helvetica" w:cs="Helvetica"/>
                <w:b/>
                <w:bCs/>
                <w:sz w:val="16"/>
                <w:szCs w:val="20"/>
                <w:lang w:val="en-GB"/>
              </w:rPr>
              <w:fldChar w:fldCharType="end"/>
            </w:r>
          </w:p>
        </w:tc>
      </w:tr>
      <w:tr w:rsidR="002471A8" w:rsidRPr="00E97FC1" w14:paraId="703E8816" w14:textId="77777777" w:rsidTr="002471A8">
        <w:trPr>
          <w:trHeight w:val="65"/>
        </w:trPr>
        <w:tc>
          <w:tcPr>
            <w:tcW w:w="1165" w:type="dxa"/>
          </w:tcPr>
          <w:p w14:paraId="265C7F71"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K217A</w:t>
            </w:r>
          </w:p>
        </w:tc>
        <w:tc>
          <w:tcPr>
            <w:tcW w:w="2700" w:type="dxa"/>
            <w:vMerge/>
          </w:tcPr>
          <w:p w14:paraId="4591E752" w14:textId="77777777" w:rsidR="002471A8" w:rsidRPr="00E97FC1" w:rsidRDefault="002471A8" w:rsidP="002471A8">
            <w:pPr>
              <w:rPr>
                <w:rFonts w:ascii="Helvetica" w:hAnsi="Helvetica" w:cs="Helvetica"/>
                <w:bCs/>
                <w:sz w:val="20"/>
                <w:szCs w:val="20"/>
                <w:lang w:val="en-GB"/>
              </w:rPr>
            </w:pPr>
          </w:p>
        </w:tc>
        <w:tc>
          <w:tcPr>
            <w:tcW w:w="1440" w:type="dxa"/>
          </w:tcPr>
          <w:p w14:paraId="09640364"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5CE2DB8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92</w:t>
            </w:r>
          </w:p>
        </w:tc>
        <w:tc>
          <w:tcPr>
            <w:tcW w:w="1260" w:type="dxa"/>
          </w:tcPr>
          <w:p w14:paraId="060DDAB0"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55</w:t>
            </w:r>
            <w:r w:rsidRPr="00E97FC1">
              <w:rPr>
                <w:rFonts w:ascii="Helvetica" w:hAnsi="Helvetica" w:cs="Helvetica"/>
                <w:sz w:val="20"/>
                <w:szCs w:val="20"/>
                <w:lang w:val="en-GB"/>
              </w:rPr>
              <w:t>%</w:t>
            </w:r>
          </w:p>
        </w:tc>
        <w:tc>
          <w:tcPr>
            <w:tcW w:w="1080" w:type="dxa"/>
          </w:tcPr>
          <w:p w14:paraId="5C8B4E54"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reduced</w:t>
            </w:r>
          </w:p>
        </w:tc>
        <w:tc>
          <w:tcPr>
            <w:tcW w:w="1260" w:type="dxa"/>
          </w:tcPr>
          <w:p w14:paraId="6748D5CA" w14:textId="36C95644"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{"citationItems":[{"id":"ITEM-1","itemData":{"DOI":"10.1074/jbc.M113.482968","ISSN":"1083-351X (Electronic)","PMID":"23864658","abstract":"The proton-translocating NADH-quinone oxidoreductase (complex I/NDH-1) contains a peripheral and a membrane domain. Three antiporter-like subunits in the membrane domain, NuoL, NuoM, and NuoN (ND5, ND4 and ND2, respectively), are structurally similar. We analyzed the role of NuoN in Escherichia coli NDH-1. The lysine residue at position 395 in NuoN (NLys(395)) is conserved in NuoL (LLys(399)) but is replaced by glutamic acid (MGlu(407)) in NuoM. Our mutation study on NLys(395) suggests that this residue participates in the proton translocation. Furthermore, we found that MGlu(407) is also essential and most likely interacts with conserved LArg(175). Glutamic acids, NGlu(133), MGlu(144), and LGlu(144), are corresponding residues. Unlike mutants of MGlu(144) and LGlu(144), mutation of NGlu(133) scarcely affected the energy-transducing activities. However, a double mutant of NGlu(133) and nearby KGlu(72) showed significant inhibition of these activities. This suggests that NGlu(133) bears a functional role similar to LGlu(144) and MGlu(144) but its mutation can be partially compensated by the nearby carboxyl residue. Conserved prolines located at loops of discontinuous transmembrane helices of NuoL, NuoM, and NuoN were shown to play a similar role in the energy-transducing activity. It seems likely that NuoL, NuoM, and NuoN pump protons by a similar mechanism. Our data also revealed that NLys(158) is one of the key interaction points with helix HL in NuoL. A truncation study indicated that the C-terminal amphipathic segments of NTM14 interacts with the Mbeta sheet located on the opposite side of helix HL. Taken together, the mechanism of H(+) translocation in NDH-1 is discussed.","author":[{"dropping-particle":"","family":"Sato","given":"Motoaki","non-dropping-particle":"","parse-names":false,"suffix":""},{"dropping-particle":"","family":"Sinha","given":"Prem Kumar","non-dropping-particle":"","parse-names":false,"suffix":""},{"dropping-particle":"","family":"Torres-Bacete","given":"Jesus","non-dropping-particle":"","parse-names":false,"suffix":""},{"dropping-particle":"","family":"Matsuno-Yagi","given":"Akemi","non-dropping-particle":"","parse-names":false,"suffix":""},{"dropping-particle":"","family":"Yagi","given":"Takao","non-dropping-particle":"","parse-names":false,"suffix":""}],"container-title":"The Journal of biological chemistry","id":"ITEM-1","issue":"34","issued":{"date-parts":[["2013","8"]]},"language":"eng","page":"24705-24716","publisher-place":"United States","title":"Energy transducing roles of antiporter-like subunits in Escherichia coli NDH-1 with main focus on subunit NuoN (ND2).","type":"article-journal","volume":"288"},"uris":["http://www.mendeley.com/documents/?uuid=0db84ce5-f2b7-4f63-9ef8-4e12ef999eec"]}],"mendeley":{"formattedCitation":"(Sato &lt;i&gt;et al&lt;/i&gt;, 2013)","plainTextFormattedCitation":"(Sato et al, 2013)","previouslyFormattedCitation":"(Sato &lt;i&gt;et al&lt;/i&gt;, 2013)"},"properties":{"noteIndex":0},"schema":"https://github.com/citation-style-language/schema/raw/master/csl-citation.json"}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(Sato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2013)</w:t>
            </w:r>
            <w:r w:rsidRPr="00E97FC1">
              <w:rPr>
                <w:rFonts w:ascii="Helvetica" w:hAnsi="Helvetica" w:cs="Helvetica"/>
                <w:b/>
                <w:bCs/>
                <w:sz w:val="16"/>
                <w:szCs w:val="20"/>
                <w:lang w:val="en-GB"/>
              </w:rPr>
              <w:fldChar w:fldCharType="end"/>
            </w:r>
          </w:p>
        </w:tc>
      </w:tr>
      <w:tr w:rsidR="002471A8" w:rsidRPr="00E97FC1" w14:paraId="35899847" w14:textId="77777777" w:rsidTr="002471A8">
        <w:trPr>
          <w:trHeight w:val="65"/>
        </w:trPr>
        <w:tc>
          <w:tcPr>
            <w:tcW w:w="1165" w:type="dxa"/>
          </w:tcPr>
          <w:p w14:paraId="29F7AEC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K217C</w:t>
            </w:r>
          </w:p>
        </w:tc>
        <w:tc>
          <w:tcPr>
            <w:tcW w:w="2700" w:type="dxa"/>
            <w:vMerge/>
          </w:tcPr>
          <w:p w14:paraId="1DF9BD3A" w14:textId="77777777" w:rsidR="002471A8" w:rsidRPr="00E97FC1" w:rsidRDefault="002471A8" w:rsidP="002471A8">
            <w:pPr>
              <w:rPr>
                <w:rFonts w:ascii="Helvetica" w:hAnsi="Helvetica" w:cs="Helvetica"/>
                <w:bCs/>
                <w:sz w:val="20"/>
                <w:szCs w:val="20"/>
                <w:lang w:val="en-GB"/>
              </w:rPr>
            </w:pPr>
          </w:p>
        </w:tc>
        <w:tc>
          <w:tcPr>
            <w:tcW w:w="1440" w:type="dxa"/>
          </w:tcPr>
          <w:p w14:paraId="10DD09E1"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0AD0ABD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102</w:t>
            </w:r>
          </w:p>
        </w:tc>
        <w:tc>
          <w:tcPr>
            <w:tcW w:w="1260" w:type="dxa"/>
          </w:tcPr>
          <w:p w14:paraId="025E472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57</w:t>
            </w:r>
          </w:p>
        </w:tc>
        <w:tc>
          <w:tcPr>
            <w:tcW w:w="1080" w:type="dxa"/>
          </w:tcPr>
          <w:p w14:paraId="75DC856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100%</w:t>
            </w:r>
          </w:p>
        </w:tc>
        <w:tc>
          <w:tcPr>
            <w:tcW w:w="1260" w:type="dxa"/>
          </w:tcPr>
          <w:p w14:paraId="27F678EB" w14:textId="0D21968F"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{"citationItems":[{"id":"ITEM-1","itemData":{"DOI":"10.1074/jbc.M113.482968","ISSN":"1083-351X (Electronic)","PMID":"23864658","abstract":"The proton-translocating NADH-quinone oxidoreductase (complex I/NDH-1) contains a peripheral and a membrane domain. Three antiporter-like subunits in the membrane domain, NuoL, NuoM, and NuoN (ND5, ND4 and ND2, respectively), are structurally similar. We analyzed the role of NuoN in Escherichia coli NDH-1. The lysine residue at position 395 in NuoN (NLys(395)) is conserved in NuoL (LLys(399)) but is replaced by glutamic acid (MGlu(407)) in NuoM. Our mutation study on NLys(395) suggests that this residue participates in the proton translocation. Furthermore, we found that MGlu(407) is also essential and most likely interacts with conserved LArg(175). Glutamic acids, NGlu(133), MGlu(144), and LGlu(144), are corresponding residues. Unlike mutants of MGlu(144) and LGlu(144), mutation of NGlu(133) scarcely affected the energy-transducing activities. However, a double mutant of NGlu(133) and nearby KGlu(72) showed significant inhibition of these activities. This suggests that NGlu(133) bears a functional role similar to LGlu(144) and MGlu(144) but its mutation can be partially compensated by the nearby carboxyl residue. Conserved prolines located at loops of discontinuous transmembrane helices of NuoL, NuoM, and NuoN were shown to play a similar role in the energy-transducing activity. It seems likely that NuoL, NuoM, and NuoN pump protons by a similar mechanism. Our data also revealed that NLys(158) is one of the key interaction points with helix HL in NuoL. A truncation study indicated that the C-terminal amphipathic segments of NTM14 interacts with the Mbeta sheet located on the opposite side of helix HL. Taken together, the mechanism of H(+) translocation in NDH-1 is discussed.","author":[{"dropping-particle":"","family":"Sato","given":"Motoaki","non-dropping-particle":"","parse-names":false,"suffix":""},{"dropping-particle":"","family":"Sinha","given":"Prem Kumar","non-dropping-particle":"","parse-names":false,"suffix":""},{"dropping-particle":"","family":"Torres-Bacete","given":"Jesus","non-dropping-particle":"","parse-names":false,"suffix":""},{"dropping-particle":"","family":"Matsuno-Yagi","given":"Akemi","non-dropping-particle":"","parse-names":false,"suffix":""},{"dropping-particle":"","family":"Yagi","given":"Takao","non-dropping-particle":"","parse-names":false,"suffix":""}],"container-title":"The Journal of biological chemistry","id":"ITEM-1","issue":"34","issued":{"date-parts":[["2013","8"]]},"language":"eng","page":"24705-24716","publisher-place":"United States","title":"Energy transducing roles of antiporter-like subunits in Escherichia coli NDH-1 with main focus on subunit NuoN (ND2).","type":"article-journal","volume":"288"},"uris":["http://www.mendeley.com/documents/?uuid=0db84ce5-f2b7-4f63-9ef8-4e12ef999eec"]}],"mendeley":{"formattedCitation":"(Sato &lt;i&gt;et al&lt;/i&gt;, 2013)","plainTextFormattedCitation":"(Sato et al, 2013)","previouslyFormattedCitation":"(Sato &lt;i&gt;et al&lt;/i&gt;, 2013)"},"properties":{"noteIndex":0},"schema":"https://github.com/citation-style-language/schema/raw/master/csl-citation.json"}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(Sato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2013)</w:t>
            </w:r>
            <w:r w:rsidRPr="00E97FC1">
              <w:rPr>
                <w:rFonts w:ascii="Helvetica" w:hAnsi="Helvetica" w:cs="Helvetica"/>
                <w:b/>
                <w:bCs/>
                <w:sz w:val="16"/>
                <w:szCs w:val="20"/>
                <w:lang w:val="en-GB"/>
              </w:rPr>
              <w:fldChar w:fldCharType="end"/>
            </w:r>
          </w:p>
        </w:tc>
      </w:tr>
      <w:tr w:rsidR="002471A8" w:rsidRPr="00E97FC1" w14:paraId="6B2DFB59" w14:textId="77777777" w:rsidTr="002471A8">
        <w:trPr>
          <w:trHeight w:val="65"/>
        </w:trPr>
        <w:tc>
          <w:tcPr>
            <w:tcW w:w="1165" w:type="dxa"/>
          </w:tcPr>
          <w:p w14:paraId="7AA3AB8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K217R</w:t>
            </w:r>
          </w:p>
        </w:tc>
        <w:tc>
          <w:tcPr>
            <w:tcW w:w="2700" w:type="dxa"/>
            <w:vMerge/>
          </w:tcPr>
          <w:p w14:paraId="73F7CAFB" w14:textId="77777777" w:rsidR="002471A8" w:rsidRPr="00E97FC1" w:rsidRDefault="002471A8" w:rsidP="002471A8">
            <w:pPr>
              <w:rPr>
                <w:rFonts w:ascii="Helvetica" w:hAnsi="Helvetica" w:cs="Helvetica"/>
                <w:bCs/>
                <w:sz w:val="20"/>
                <w:szCs w:val="20"/>
                <w:lang w:val="en-GB"/>
              </w:rPr>
            </w:pPr>
          </w:p>
        </w:tc>
        <w:tc>
          <w:tcPr>
            <w:tcW w:w="1440" w:type="dxa"/>
          </w:tcPr>
          <w:p w14:paraId="0432EBE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3090EC5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87</w:t>
            </w:r>
          </w:p>
        </w:tc>
        <w:tc>
          <w:tcPr>
            <w:tcW w:w="1260" w:type="dxa"/>
          </w:tcPr>
          <w:p w14:paraId="42C77CE7"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44</w:t>
            </w:r>
          </w:p>
        </w:tc>
        <w:tc>
          <w:tcPr>
            <w:tcW w:w="1080" w:type="dxa"/>
          </w:tcPr>
          <w:p w14:paraId="7A0F85B4"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reduced</w:t>
            </w:r>
          </w:p>
        </w:tc>
        <w:tc>
          <w:tcPr>
            <w:tcW w:w="1260" w:type="dxa"/>
          </w:tcPr>
          <w:p w14:paraId="408937C9" w14:textId="3CDA3773"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{"citationItems":[{"id":"ITEM-1","itemData":{"DOI":"10.1074/jbc.M113.482968","ISSN":"1083-351X (Electronic)","PMID":"23864658","abstract":"The proton-translocating NADH-quinone oxidoreductase (complex I/NDH-1) contains a peripheral and a membrane domain. Three antiporter-like subunits in the membrane domain, NuoL, NuoM, and NuoN (ND5, ND4 and ND2, respectively), are structurally similar. We analyzed the role of NuoN in Escherichia coli NDH-1. The lysine residue at position 395 in NuoN (NLys(395)) is conserved in NuoL (LLys(399)) but is replaced by glutamic acid (MGlu(407)) in NuoM. Our mutation study on NLys(395) suggests that this residue participates in the proton translocation. Furthermore, we found that MGlu(407) is also essential and most likely interacts with conserved LArg(175). Glutamic acids, NGlu(133), MGlu(144), and LGlu(144), are corresponding residues. Unlike mutants of MGlu(144) and LGlu(144), mutation of NGlu(133) scarcely affected the energy-transducing activities. However, a double mutant of NGlu(133) and nearby KGlu(72) showed significant inhibition of these activities. This suggests that NGlu(133) bears a functional role similar to LGlu(144) and MGlu(144) but its mutation can be partially compensated by the nearby carboxyl residue. Conserved prolines located at loops of discontinuous transmembrane helices of NuoL, NuoM, and NuoN were shown to play a similar role in the energy-transducing activity. It seems likely that NuoL, NuoM, and NuoN pump protons by a similar mechanism. Our data also revealed that NLys(158) is one of the key interaction points with helix HL in NuoL. A truncation study indicated that the C-terminal amphipathic segments of NTM14 interacts with the Mbeta sheet located on the opposite side of helix HL. Taken together, the mechanism of H(+) translocation in NDH-1 is discussed.","author":[{"dropping-particle":"","family":"Sato","given":"Motoaki","non-dropping-particle":"","parse-names":false,"suffix":""},{"dropping-particle":"","family":"Sinha","given":"Prem Kumar","non-dropping-particle":"","parse-names":false,"suffix":""},{"dropping-particle":"","family":"Torres-Bacete","given":"Jesus","non-dropping-particle":"","parse-names":false,"suffix":""},{"dropping-particle":"","family":"Matsuno-Yagi","given":"Akemi","non-dropping-particle":"","parse-names":false,"suffix":""},{"dropping-particle":"","family":"Yagi","given":"Takao","non-dropping-particle":"","parse-names":false,"suffix":""}],"container-title":"The Journal of biological chemistry","id":"ITEM-1","issue":"34","issued":{"date-parts":[["2013","8"]]},"language":"eng","page":"24705-24716","publisher-place":"United States","title":"Energy transducing roles of antiporter-like subunits in Escherichia coli NDH-1 with main focus on subunit NuoN (ND2).","type":"article-journal","volume":"288"},"uris":["http://www.mendeley.com/documents/?uuid=0db84ce5-f2b7-4f63-9ef8-4e12ef999eec"]}],"mendeley":{"formattedCitation":"(Sato &lt;i&gt;et al&lt;/i&gt;, 2013)","plainTextFormattedCitation":"(Sato et al, 2013)","previouslyFormattedCitation":"(Sato &lt;i&gt;et al&lt;/i&gt;, 2013)"},"properties":{"noteIndex":0},"schema":"https://github.com/citation-style-language/schema/raw/master/csl-citation.json"}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(Sato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2013)</w:t>
            </w:r>
            <w:r w:rsidRPr="00E97FC1">
              <w:rPr>
                <w:rFonts w:ascii="Helvetica" w:hAnsi="Helvetica" w:cs="Helvetica"/>
                <w:b/>
                <w:bCs/>
                <w:sz w:val="16"/>
                <w:szCs w:val="20"/>
                <w:lang w:val="en-GB"/>
              </w:rPr>
              <w:fldChar w:fldCharType="end"/>
            </w:r>
          </w:p>
        </w:tc>
      </w:tr>
      <w:tr w:rsidR="002471A8" w:rsidRPr="00E97FC1" w14:paraId="04EE5615" w14:textId="77777777" w:rsidTr="002471A8">
        <w:trPr>
          <w:trHeight w:val="65"/>
        </w:trPr>
        <w:tc>
          <w:tcPr>
            <w:tcW w:w="1165" w:type="dxa"/>
          </w:tcPr>
          <w:p w14:paraId="5E1083A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P222A</w:t>
            </w:r>
          </w:p>
        </w:tc>
        <w:tc>
          <w:tcPr>
            <w:tcW w:w="2700" w:type="dxa"/>
          </w:tcPr>
          <w:p w14:paraId="3A97CDD3"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TM7 broken HL</w:t>
            </w:r>
          </w:p>
        </w:tc>
        <w:tc>
          <w:tcPr>
            <w:tcW w:w="1440" w:type="dxa"/>
          </w:tcPr>
          <w:p w14:paraId="6CBFF2E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1AD6DDF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91</w:t>
            </w:r>
          </w:p>
        </w:tc>
        <w:tc>
          <w:tcPr>
            <w:tcW w:w="1260" w:type="dxa"/>
          </w:tcPr>
          <w:p w14:paraId="400F0AC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77</w:t>
            </w:r>
          </w:p>
        </w:tc>
        <w:tc>
          <w:tcPr>
            <w:tcW w:w="1080" w:type="dxa"/>
          </w:tcPr>
          <w:p w14:paraId="1C1E36C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90%</w:t>
            </w:r>
          </w:p>
        </w:tc>
        <w:tc>
          <w:tcPr>
            <w:tcW w:w="1260" w:type="dxa"/>
          </w:tcPr>
          <w:p w14:paraId="4E288E77" w14:textId="204845A9"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{"citationItems":[{"id":"ITEM-1","itemData":{"DOI":"10.1074/jbc.M113.482968","ISSN":"1083-351X (Electronic)","PMID":"23864658","abstract":"The proton-translocating NADH-quinone oxidoreductase (complex I/NDH-1) contains a peripheral and a membrane domain. Three antiporter-like subunits in the membrane domain, NuoL, NuoM, and NuoN (ND5, ND4 and ND2, respectively), are structurally similar. We analyzed the role of NuoN in Escherichia coli NDH-1. The lysine residue at position 395 in NuoN (NLys(395)) is conserved in NuoL (LLys(399)) but is replaced by glutamic acid (MGlu(407)) in NuoM. Our mutation study on NLys(395) suggests that this residue participates in the proton translocation. Furthermore, we found that MGlu(407) is also essential and most likely interacts with conserved LArg(175). Glutamic acids, NGlu(133), MGlu(144), and LGlu(144), are corresponding residues. Unlike mutants of MGlu(144) and LGlu(144), mutation of NGlu(133) scarcely affected the energy-transducing activities. However, a double mutant of NGlu(133) and nearby KGlu(72) showed significant inhibition of these activities. This suggests that NGlu(133) bears a functional role similar to LGlu(144) and MGlu(144) but its mutation can be partially compensated by the nearby carboxyl residue. Conserved prolines located at loops of discontinuous transmembrane helices of NuoL, NuoM, and NuoN were shown to play a similar role in the energy-transducing activity. It seems likely that NuoL, NuoM, and NuoN pump protons by a similar mechanism. Our data also revealed that NLys(158) is one of the key interaction points with helix HL in NuoL. A truncation study indicated that the C-terminal amphipathic segments of NTM14 interacts with the Mbeta sheet located on the opposite side of helix HL. Taken together, the mechanism of H(+) translocation in NDH-1 is discussed.","author":[{"dropping-particle":"","family":"Sato","given":"Motoaki","non-dropping-particle":"","parse-names":false,"suffix":""},{"dropping-particle":"","family":"Sinha","given":"Prem Kumar","non-dropping-particle":"","parse-names":false,"suffix":""},{"dropping-particle":"","family":"Torres-Bacete","given":"Jesus","non-dropping-particle":"","parse-names":false,"suffix":""},{"dropping-particle":"","family":"Matsuno-Yagi","given":"Akemi","non-dropping-particle":"","parse-names":false,"suffix":""},{"dropping-particle":"","family":"Yagi","given":"Takao","non-dropping-particle":"","parse-names":false,"suffix":""}],"container-title":"The Journal of biological chemistry","id":"ITEM-1","issue":"34","issued":{"date-parts":[["2013","8"]]},"language":"eng","page":"24705-24716","publisher-place":"United States","title":"Energy transducing roles of antiporter-like subunits in Escherichia coli NDH-1 with main focus on subunit NuoN (ND2).","type":"article-journal","volume":"288"},"uris":["http://www.mendeley.com/documents/?uuid=0db84ce5-f2b7-4f63-9ef8-4e12ef999eec"]}],"mendeley":{"formattedCitation":"(Sato &lt;i&gt;et al&lt;/i&gt;, 2013)","plainTextFormattedCitation":"(Sato et al, 2013)","previouslyFormattedCitation":"(Sato &lt;i&gt;et al&lt;/i&gt;, 2013)"},"properties":{"noteIndex":0},"schema":"https://github.com/citation-style-language/schema/raw/master/csl-citation.json"}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(Sato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2013)</w:t>
            </w:r>
            <w:r w:rsidRPr="00E97FC1">
              <w:rPr>
                <w:rFonts w:ascii="Helvetica" w:hAnsi="Helvetica" w:cs="Helvetica"/>
                <w:b/>
                <w:bCs/>
                <w:sz w:val="16"/>
                <w:szCs w:val="20"/>
                <w:lang w:val="en-GB"/>
              </w:rPr>
              <w:fldChar w:fldCharType="end"/>
            </w:r>
          </w:p>
        </w:tc>
      </w:tr>
      <w:tr w:rsidR="002471A8" w:rsidRPr="00E97FC1" w14:paraId="3125A19D" w14:textId="77777777" w:rsidTr="002471A8">
        <w:trPr>
          <w:trHeight w:val="65"/>
        </w:trPr>
        <w:tc>
          <w:tcPr>
            <w:tcW w:w="1165" w:type="dxa"/>
          </w:tcPr>
          <w:p w14:paraId="466917D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H224A</w:t>
            </w:r>
          </w:p>
        </w:tc>
        <w:tc>
          <w:tcPr>
            <w:tcW w:w="2700" w:type="dxa"/>
            <w:vMerge w:val="restart"/>
          </w:tcPr>
          <w:p w14:paraId="48C4F730" w14:textId="77777777" w:rsidR="002471A8" w:rsidRPr="00E97FC1" w:rsidRDefault="002471A8" w:rsidP="002471A8">
            <w:pPr>
              <w:rPr>
                <w:rFonts w:ascii="Helvetica" w:hAnsi="Helvetica" w:cs="Helvetica"/>
                <w:sz w:val="20"/>
                <w:lang w:val="en-GB"/>
              </w:rPr>
            </w:pPr>
          </w:p>
          <w:p w14:paraId="474BC2FB"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TM7b - HL interaction</w:t>
            </w:r>
          </w:p>
          <w:p w14:paraId="4083E928" w14:textId="77777777" w:rsidR="002471A8" w:rsidRPr="00E97FC1" w:rsidRDefault="002471A8" w:rsidP="002471A8">
            <w:pPr>
              <w:rPr>
                <w:rFonts w:ascii="Helvetica" w:hAnsi="Helvetica" w:cs="Helvetica"/>
                <w:sz w:val="20"/>
                <w:lang w:val="en-GB"/>
              </w:rPr>
            </w:pPr>
          </w:p>
        </w:tc>
        <w:tc>
          <w:tcPr>
            <w:tcW w:w="1440" w:type="dxa"/>
          </w:tcPr>
          <w:p w14:paraId="1F94726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1CF6CA11"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42B2BB6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100%</w:t>
            </w:r>
          </w:p>
        </w:tc>
        <w:tc>
          <w:tcPr>
            <w:tcW w:w="1080" w:type="dxa"/>
          </w:tcPr>
          <w:p w14:paraId="5DCD28D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22A50E63" w14:textId="18743524"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{"citationItems":[{"id":"ITEM-1","itemData":{"DOI":"10.1021/bi0340346","ISSN":"0006-2960 (Print)","PMID":"12718520","abstract":"The last gene in the nuo operon of Escherichia coli, nuoN, encodes a membrane-bound  subunit of Complex I (NADH:ubiquinone oxidoreductase). In this report, the gene for subunit N was disrupted by a 163 bp deletion in the chromosome, resulting in the loss of Complex I function, as measured by deamino-NADH oxidase activity. This activity could be recovered after transformation of the mutant strain by a plasmid that contains the previously identified nuoN gene and the upstream intergenic region between nuoM and nuoN. Mutagenesis of the first ATG downstream of nuoM led to a loss of function, indicating that this is the likely initiation codon for nuoN, and predicting a protein of 485 amino acids and 52 044 Da. Thirty site-specific mutations in nuoN at 19 different positions were constructed in a vector that expresses the full-length subunit N with both an octahistidine tag and an HA epitope tag at the carboxyl terminus. Highly conserved charged and aromatic residues were selected for mutagenesis, as well as a substitution that occurs as a secondary mutation in Leber's hereditary optic neuropathy (LHON). Membranes from the mutant strains were tested for production of subunit N by immunoblots and for NADH-linked activities. Mutants with substitutions at six different positions (K158, K217, H224, K247, Y300, and K395) had rates of deamino-NADH oxidase activity that were no more than 50% of that of the wild type and had reduced rates of proton translocation. These mutants also showed enhanced inhibition by decylubiquinone, indicating that subunit N interacts with quinones. The mutation associated with LHON, G391S, had little effect on these functions.","author":[{"dropping-particle":"","family":"Amarneh","given":"Bilal","non-dropping-particle":"","parse-names":false,"suffix":""},{"dropping-particle":"","family":"Vik","given":"Steven B","non-dropping-particle":"","parse-names":false,"suffix":""}],"container-title":"Biochemistry","id":"ITEM-1","issue":"17","issued":{"date-parts":[["2003","5"]]},"language":"eng","page":"4800-4808","publisher-place":"United States","title":"Mutagenesis of subunit N of the Escherichia coli complex I. Identification of the  initiation codon and the sensitivity of mutants to decylubiquinone.","type":"article-journal","volume":"42"},"uris":["http://www.mendeley.com/documents/?uuid=29689110-0ea3-4187-b44d-a7de5828f6d4"]}],"mendeley":{"formattedCitation":"(Amarneh &amp; Vik, 2003)","plainTextFormattedCitation":"(Amarneh &amp; Vik, 2003)","previouslyFormattedCitation":"(Amarneh &amp; Vik, 2003)"},"properties":{"noteIndex":0},"schema":"https://github.com/citation-style-language/schema/raw/master/csl-citation.json"}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(Amarneh &amp; Vik, 2003)</w:t>
            </w:r>
            <w:r w:rsidRPr="00E97FC1">
              <w:rPr>
                <w:rFonts w:ascii="Helvetica" w:hAnsi="Helvetica" w:cs="Helvetica"/>
                <w:b/>
                <w:bCs/>
                <w:sz w:val="16"/>
                <w:szCs w:val="20"/>
                <w:lang w:val="en-GB"/>
              </w:rPr>
              <w:fldChar w:fldCharType="end"/>
            </w:r>
          </w:p>
        </w:tc>
      </w:tr>
      <w:tr w:rsidR="002471A8" w:rsidRPr="00E97FC1" w14:paraId="750A6AA0" w14:textId="77777777" w:rsidTr="002471A8">
        <w:trPr>
          <w:trHeight w:val="65"/>
        </w:trPr>
        <w:tc>
          <w:tcPr>
            <w:tcW w:w="1165" w:type="dxa"/>
          </w:tcPr>
          <w:p w14:paraId="0BB5DFFA"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H224A</w:t>
            </w:r>
          </w:p>
        </w:tc>
        <w:tc>
          <w:tcPr>
            <w:tcW w:w="2700" w:type="dxa"/>
            <w:vMerge/>
          </w:tcPr>
          <w:p w14:paraId="5B5E286D" w14:textId="77777777" w:rsidR="002471A8" w:rsidRPr="00E97FC1" w:rsidRDefault="002471A8" w:rsidP="002471A8">
            <w:pPr>
              <w:rPr>
                <w:rFonts w:ascii="Helvetica" w:hAnsi="Helvetica" w:cs="Helvetica"/>
                <w:sz w:val="20"/>
                <w:szCs w:val="20"/>
                <w:lang w:val="en-GB"/>
              </w:rPr>
            </w:pPr>
          </w:p>
        </w:tc>
        <w:tc>
          <w:tcPr>
            <w:tcW w:w="1440" w:type="dxa"/>
          </w:tcPr>
          <w:p w14:paraId="4641B6B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620A56A7"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90</w:t>
            </w:r>
          </w:p>
        </w:tc>
        <w:tc>
          <w:tcPr>
            <w:tcW w:w="1260" w:type="dxa"/>
          </w:tcPr>
          <w:p w14:paraId="41AB20E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73</w:t>
            </w:r>
          </w:p>
        </w:tc>
        <w:tc>
          <w:tcPr>
            <w:tcW w:w="1080" w:type="dxa"/>
          </w:tcPr>
          <w:p w14:paraId="5D1A2EC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80%</w:t>
            </w:r>
          </w:p>
        </w:tc>
        <w:tc>
          <w:tcPr>
            <w:tcW w:w="1260" w:type="dxa"/>
          </w:tcPr>
          <w:p w14:paraId="5080B772" w14:textId="1832215A"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{"citationItems":[{"id":"ITEM-1","itemData":{"DOI":"10.1074/jbc.M113.482968","ISSN":"1083-351X (Electronic)","PMID":"23864658","abstract":"The proton-translocating NADH-quinone oxidoreductase (complex I/NDH-1) contains a peripheral and a membrane domain. Three antiporter-like subunits in the membrane domain, NuoL, NuoM, and NuoN (ND5, ND4 and ND2, respectively), are structurally similar. We analyzed the role of NuoN in Escherichia coli NDH-1. The lysine residue at position 395 in NuoN (NLys(395)) is conserved in NuoL (LLys(399)) but is replaced by glutamic acid (MGlu(407)) in NuoM. Our mutation study on NLys(395) suggests that this residue participates in the proton translocation. Furthermore, we found that MGlu(407) is also essential and most likely interacts with conserved LArg(175). Glutamic acids, NGlu(133), MGlu(144), and LGlu(144), are corresponding residues. Unlike mutants of MGlu(144) and LGlu(144), mutation of NGlu(133) scarcely affected the energy-transducing activities. However, a double mutant of NGlu(133) and nearby KGlu(72) showed significant inhibition of these activities. This suggests that NGlu(133) bears a functional role similar to LGlu(144) and MGlu(144) but its mutation can be partially compensated by the nearby carboxyl residue. Conserved prolines located at loops of discontinuous transmembrane helices of NuoL, NuoM, and NuoN were shown to play a similar role in the energy-transducing activity. It seems likely that NuoL, NuoM, and NuoN pump protons by a similar mechanism. Our data also revealed that NLys(158) is one of the key interaction points with helix HL in NuoL. A truncation study indicated that the C-terminal amphipathic segments of NTM14 interacts with the Mbeta sheet located on the opposite side of helix HL. Taken together, the mechanism of H(+) translocation in NDH-1 is discussed.","author":[{"dropping-particle":"","family":"Sato","given":"Motoaki","non-dropping-particle":"","parse-names":false,"suffix":""},{"dropping-particle":"","family":"Sinha","given":"Prem Kumar","non-dropping-particle":"","parse-names":false,"suffix":""},{"dropping-particle":"","family":"Torres-Bacete","given":"Jesus","non-dropping-particle":"","parse-names":false,"suffix":""},{"dropping-particle":"","family":"Matsuno-Yagi","given":"Akemi","non-dropping-particle":"","parse-names":false,"suffix":""},{"dropping-particle":"","family":"Yagi","given":"Takao","non-dropping-particle":"","parse-names":false,"suffix":""}],"container-title":"The Journal of biological chemistry","id":"ITEM-1","issue":"34","issued":{"date-parts":[["2013","8"]]},"language":"eng","page":"24705-24716","publisher-place":"United States","title":"Energy transducing roles of antiporter-like subunits in Escherichia coli NDH-1 with main focus on subunit NuoN (ND2).","type":"article-journal","volume":"288"},"uris":["http://www.mendeley.com/documents/?uuid=0db84ce5-f2b7-4f63-9ef8-4e12ef999eec"]}],"mendeley":{"formattedCitation":"(Sato &lt;i&gt;et al&lt;/i&gt;, 2013)","plainTextFormattedCitation":"(Sato et al, 2013)","previouslyFormattedCitation":"(Sato &lt;i&gt;et al&lt;/i&gt;, 2013)"},"properties":{"noteIndex":0},"schema":"https://github.com/citation-style-language/schema/raw/master/csl-citation.json"}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(Sato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2013)</w:t>
            </w:r>
            <w:r w:rsidRPr="00E97FC1">
              <w:rPr>
                <w:rFonts w:ascii="Helvetica" w:hAnsi="Helvetica" w:cs="Helvetica"/>
                <w:b/>
                <w:bCs/>
                <w:sz w:val="16"/>
                <w:szCs w:val="20"/>
                <w:lang w:val="en-GB"/>
              </w:rPr>
              <w:fldChar w:fldCharType="end"/>
            </w:r>
          </w:p>
        </w:tc>
      </w:tr>
      <w:tr w:rsidR="002471A8" w:rsidRPr="00E97FC1" w14:paraId="094F668B" w14:textId="77777777" w:rsidTr="002471A8">
        <w:trPr>
          <w:trHeight w:val="65"/>
        </w:trPr>
        <w:tc>
          <w:tcPr>
            <w:tcW w:w="1165" w:type="dxa"/>
          </w:tcPr>
          <w:p w14:paraId="2BA970A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H224Y</w:t>
            </w:r>
          </w:p>
        </w:tc>
        <w:tc>
          <w:tcPr>
            <w:tcW w:w="2700" w:type="dxa"/>
            <w:vMerge/>
          </w:tcPr>
          <w:p w14:paraId="1E530871" w14:textId="77777777" w:rsidR="002471A8" w:rsidRPr="00E97FC1" w:rsidRDefault="002471A8" w:rsidP="002471A8">
            <w:pPr>
              <w:rPr>
                <w:rFonts w:ascii="Helvetica" w:hAnsi="Helvetica" w:cs="Helvetica"/>
                <w:sz w:val="20"/>
                <w:szCs w:val="20"/>
                <w:lang w:val="en-GB"/>
              </w:rPr>
            </w:pPr>
          </w:p>
        </w:tc>
        <w:tc>
          <w:tcPr>
            <w:tcW w:w="1440" w:type="dxa"/>
          </w:tcPr>
          <w:p w14:paraId="727787C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6E9FD37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0481ADF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90%</w:t>
            </w:r>
          </w:p>
        </w:tc>
        <w:tc>
          <w:tcPr>
            <w:tcW w:w="1080" w:type="dxa"/>
          </w:tcPr>
          <w:p w14:paraId="7DFCB0A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6212E105" w14:textId="4611B131"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{"citationItems":[{"id":"ITEM-1","itemData":{"DOI":"10.1021/bi0340346","ISSN":"0006-2960 (Print)","PMID":"12718520","abstract":"The last gene in the nuo operon of Escherichia coli, nuoN, encodes a membrane-bound  subunit of Complex I (NADH:ubiquinone oxidoreductase). In this report, the gene for subunit N was disrupted by a 163 bp deletion in the chromosome, resulting in the loss of Complex I function, as measured by deamino-NADH oxidase activity. This activity could be recovered after transformation of the mutant strain by a plasmid that contains the previously identified nuoN gene and the upstream intergenic region between nuoM and nuoN. Mutagenesis of the first ATG downstream of nuoM led to a loss of function, indicating that this is the likely initiation codon for nuoN, and predicting a protein of 485 amino acids and 52 044 Da. Thirty site-specific mutations in nuoN at 19 different positions were constructed in a vector that expresses the full-length subunit N with both an octahistidine tag and an HA epitope tag at the carboxyl terminus. Highly conserved charged and aromatic residues were selected for mutagenesis, as well as a substitution that occurs as a secondary mutation in Leber's hereditary optic neuropathy (LHON). Membranes from the mutant strains were tested for production of subunit N by immunoblots and for NADH-linked activities. Mutants with substitutions at six different positions (K158, K217, H224, K247, Y300, and K395) had rates of deamino-NADH oxidase activity that were no more than 50% of that of the wild type and had reduced rates of proton translocation. These mutants also showed enhanced inhibition by decylubiquinone, indicating that subunit N interacts with quinones. The mutation associated with LHON, G391S, had little effect on these functions.","author":[{"dropping-particle":"","family":"Amarneh","given":"Bilal","non-dropping-particle":"","parse-names":false,"suffix":""},{"dropping-particle":"","family":"Vik","given":"Steven B","non-dropping-particle":"","parse-names":false,"suffix":""}],"container-title":"Biochemistry","id":"ITEM-1","issue":"17","issued":{"date-parts":[["2003","5"]]},"language":"eng","page":"4800-4808","publisher-place":"United States","title":"Mutagenesis of subunit N of the Escherichia coli complex I. Identification of the  initiation codon and the sensitivity of mutants to decylubiquinone.","type":"article-journal","volume":"42"},"uris":["http://www.mendeley.com/documents/?uuid=29689110-0ea3-4187-b44d-a7de5828f6d4"]}],"mendeley":{"formattedCitation":"(Amarneh &amp; Vik, 2003)","plainTextFormattedCitation":"(Amarneh &amp; Vik, 2003)","previouslyFormattedCitation":"(Amarneh &amp; Vik, 2003)"},"properties":{"noteIndex":0},"schema":"https://github.com/citation-style-language/schema/raw/master/csl-citation.json"}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(Amarneh &amp; Vik, 2003)</w:t>
            </w:r>
            <w:r w:rsidRPr="00E97FC1">
              <w:rPr>
                <w:rFonts w:ascii="Helvetica" w:hAnsi="Helvetica" w:cs="Helvetica"/>
                <w:b/>
                <w:bCs/>
                <w:sz w:val="16"/>
                <w:szCs w:val="20"/>
                <w:lang w:val="en-GB"/>
              </w:rPr>
              <w:fldChar w:fldCharType="end"/>
            </w:r>
          </w:p>
        </w:tc>
      </w:tr>
      <w:tr w:rsidR="002471A8" w:rsidRPr="00E97FC1" w14:paraId="5F645138" w14:textId="77777777" w:rsidTr="002471A8">
        <w:trPr>
          <w:trHeight w:val="65"/>
        </w:trPr>
        <w:tc>
          <w:tcPr>
            <w:tcW w:w="1165" w:type="dxa"/>
          </w:tcPr>
          <w:p w14:paraId="461DA14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H224K</w:t>
            </w:r>
          </w:p>
        </w:tc>
        <w:tc>
          <w:tcPr>
            <w:tcW w:w="2700" w:type="dxa"/>
            <w:vMerge/>
          </w:tcPr>
          <w:p w14:paraId="79C14F99" w14:textId="77777777" w:rsidR="002471A8" w:rsidRPr="00E97FC1" w:rsidRDefault="002471A8" w:rsidP="002471A8">
            <w:pPr>
              <w:rPr>
                <w:rFonts w:ascii="Helvetica" w:hAnsi="Helvetica" w:cs="Helvetica"/>
                <w:sz w:val="20"/>
                <w:szCs w:val="20"/>
                <w:lang w:val="en-GB"/>
              </w:rPr>
            </w:pPr>
          </w:p>
        </w:tc>
        <w:tc>
          <w:tcPr>
            <w:tcW w:w="1440" w:type="dxa"/>
          </w:tcPr>
          <w:p w14:paraId="081797D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0C2A001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95</w:t>
            </w:r>
          </w:p>
        </w:tc>
        <w:tc>
          <w:tcPr>
            <w:tcW w:w="1260" w:type="dxa"/>
          </w:tcPr>
          <w:p w14:paraId="4251F6B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37-40%</w:t>
            </w:r>
          </w:p>
        </w:tc>
        <w:tc>
          <w:tcPr>
            <w:tcW w:w="1080" w:type="dxa"/>
          </w:tcPr>
          <w:p w14:paraId="5D721F6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reduced</w:t>
            </w:r>
          </w:p>
        </w:tc>
        <w:tc>
          <w:tcPr>
            <w:tcW w:w="1260" w:type="dxa"/>
          </w:tcPr>
          <w:p w14:paraId="7E2B54E2" w14:textId="153E0FDD"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{"citationItems":[{"id":"ITEM-1","itemData":{"DOI":"10.1021/bi0340346","ISSN":"0006-2960 (Print)","PMID":"12718520","abstract":"The last gene in the nuo operon of Escherichia coli, nuoN, encodes a membrane-bound  subunit of Complex I (NADH:ubiquinone oxidoreductase). In this report, the gene for subunit N was disrupted by a 163 bp deletion in the chromosome, resulting in the loss of Complex I function, as measured by deamino-NADH oxidase activity. This activity could be recovered after transformation of the mutant strain by a plasmid that contains the previously identified nuoN gene and the upstream intergenic region between nuoM and nuoN. Mutagenesis of the first ATG downstream of nuoM led to a loss of function, indicating that this is the likely initiation codon for nuoN, and predicting a protein of 485 amino acids and 52 044 Da. Thirty site-specific mutations in nuoN at 19 different positions were constructed in a vector that expresses the full-length subunit N with both an octahistidine tag and an HA epitope tag at the carboxyl terminus. Highly conserved charged and aromatic residues were selected for mutagenesis, as well as a substitution that occurs as a secondary mutation in Leber's hereditary optic neuropathy (LHON). Membranes from the mutant strains were tested for production of subunit N by immunoblots and for NADH-linked activities. Mutants with substitutions at six different positions (K158, K217, H224, K247, Y300, and K395) had rates of deamino-NADH oxidase activity that were no more than 50% of that of the wild type and had reduced rates of proton translocation. These mutants also showed enhanced inhibition by decylubiquinone, indicating that subunit N interacts with quinones. The mutation associated with LHON, G391S, had little effect on these functions.","author":[{"dropping-particle":"","family":"Amarneh","given":"Bilal","non-dropping-particle":"","parse-names":false,"suffix":""},{"dropping-particle":"","family":"Vik","given":"Steven B","non-dropping-particle":"","parse-names":false,"suffix":""}],"container-title":"Biochemistry","id":"ITEM-1","issue":"17","issued":{"date-parts":[["2003","5"]]},"language":"eng","page":"4800-4808","publisher-place":"United States","title":"Mutagenesis of subunit N of the Escherichia coli complex I. Identification of the  initiation codon and the sensitivity of mutants to decylubiquinone.","type":"article-journal","volume":"42"},"uris":["http://www.mendeley.com/documents/?uuid=29689110-0ea3-4187-b44d-a7de5828f6d4"]},{"id":"ITEM-2","itemData":{"DOI":"10.1371/journal.pone.0017420","ISSN":"1932-6203 (Electronic)","PMID":"21387012","abstract":"BACKGROUND: The membrane arm of Complex I (NADH:ubiquinone oxidoreductase) contains  three large, and closely related subunits, which are called L, M, and N in E. coli. These subunits are homologous to components of multi-subunit Na(+)/H(+) antiporters, and so are implicated in proton translocation. METHODOLOGY/PRINCIPAL FINDINGS: Nineteen site-specific mutations were constructed at two corresponding positions in each of the three subunits. Two positions were selected in each subunit: L_K169, M_K173, N_K158 and L_Q236, M_H241, N_H224. Membrane vesicles were prepared from all of the resulting mutant strains, and were assayed for deamino-NADH oxidase activity, proton translocation, ferricyanide reductase activity, and sensitivity to capsaicin. Corresponding mutations in the three subunits were found to have very similar effects on all activities measured. In addition, the effect of adding exogenous decylubiquinone on these activities was tested. 50 µM decylubiquinone stimulated both deamino-NADH oxidase activity and proton translocation by wild type membrane vesicles, but was inhibitory towards the same activities by membrane vesicles bearing the lysine substitution at the L236/M241/N224 positions. CONCLUSIONS/SIGNIFICANCE: The results show a close correlation with reduced activity among the corresponding mutations, and provide evidence that the L, M, and N subunits have a common role in Complex I.","author":[{"dropping-particle":"","family":"Michel","given":"Jose","non-dropping-particle":"","parse-names":false,"suffix":""},{"dropping-particle":"","family":"DeLeon-Rangel","given":"Jessica","non-dropping-particle":"","parse-names":false,"suffix":""},{"dropping-particle":"","family":"Zhu","given":"Shaotong","non-dropping-particle":"","parse-names":false,"suffix":""},{"dropping-particle":"","family":"Ree","given":"Kalie","non-dropping-particle":"Van","parse-names":false,"suffix":""},{"dropping-particle":"","family":"Vik","given":"Steven B","non-dropping-particle":"","parse-names":false,"suffix":""}],"container-title":"PloS one","id":"ITEM-2","issue":"2","issued":{"date-parts":[["2011","2"]]},"language":"eng","page":"e17420","title":"Mutagenesis of the L, M, and N subunits of Complex I from Escherichia coli indicates  a common role in function.","type":"article-journal","volume":"6"},"uris":["http://www.mendeley.com/documents/?uuid=c0aa016f-3662-48d1-a31e-f06d6ca21965"]}],"mendeley":{"formattedCitation":"(Amarneh &amp; Vik, 2003; Michel &lt;i&gt;et al&lt;/i&gt;, 2011)","plainTextFormattedCitation":"(Amarneh &amp; Vik, 2003; Michel et al, 2011)","previouslyFormattedCitation":"(Amarneh &amp; Vik, 2003; Michel &lt;i&gt;et al&lt;/i&gt;, 2011)"},"properties":{"noteIndex":0},"schema":"https://github.com/citation-style-language/schema/raw/master/csl-citation.json"}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(Amarneh &amp; Vik, 2003; </w:t>
            </w:r>
            <w:r w:rsidRPr="00E97FC1">
              <w:rPr>
                <w:rFonts w:ascii="Helvetica" w:hAnsi="Helvetica" w:cs="Helvetica"/>
                <w:bCs/>
                <w:noProof/>
                <w:sz w:val="16"/>
                <w:szCs w:val="20"/>
                <w:lang w:val="en-GB"/>
              </w:rPr>
              <w:lastRenderedPageBreak/>
              <w:t xml:space="preserve">Michel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2011)</w:t>
            </w:r>
            <w:r w:rsidRPr="00E97FC1">
              <w:rPr>
                <w:rFonts w:ascii="Helvetica" w:hAnsi="Helvetica" w:cs="Helvetica"/>
                <w:b/>
                <w:bCs/>
                <w:sz w:val="16"/>
                <w:szCs w:val="20"/>
                <w:lang w:val="en-GB"/>
              </w:rPr>
              <w:fldChar w:fldCharType="end"/>
            </w:r>
          </w:p>
        </w:tc>
      </w:tr>
      <w:tr w:rsidR="002471A8" w:rsidRPr="00E97FC1" w14:paraId="5D3041DD" w14:textId="77777777" w:rsidTr="002471A8">
        <w:trPr>
          <w:trHeight w:val="65"/>
        </w:trPr>
        <w:tc>
          <w:tcPr>
            <w:tcW w:w="1165" w:type="dxa"/>
          </w:tcPr>
          <w:p w14:paraId="268CB99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lastRenderedPageBreak/>
              <w:t>H224E</w:t>
            </w:r>
          </w:p>
        </w:tc>
        <w:tc>
          <w:tcPr>
            <w:tcW w:w="2700" w:type="dxa"/>
            <w:vMerge/>
          </w:tcPr>
          <w:p w14:paraId="7FB7E2E9" w14:textId="77777777" w:rsidR="002471A8" w:rsidRPr="00E97FC1" w:rsidRDefault="002471A8" w:rsidP="002471A8">
            <w:pPr>
              <w:rPr>
                <w:rFonts w:ascii="Helvetica" w:hAnsi="Helvetica" w:cs="Helvetica"/>
                <w:sz w:val="20"/>
                <w:szCs w:val="20"/>
                <w:lang w:val="en-GB"/>
              </w:rPr>
            </w:pPr>
          </w:p>
        </w:tc>
        <w:tc>
          <w:tcPr>
            <w:tcW w:w="1440" w:type="dxa"/>
          </w:tcPr>
          <w:p w14:paraId="4C8912C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41A2728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100%</w:t>
            </w:r>
          </w:p>
        </w:tc>
        <w:tc>
          <w:tcPr>
            <w:tcW w:w="1260" w:type="dxa"/>
          </w:tcPr>
          <w:p w14:paraId="10105FCA"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67%</w:t>
            </w:r>
          </w:p>
        </w:tc>
        <w:tc>
          <w:tcPr>
            <w:tcW w:w="1080" w:type="dxa"/>
          </w:tcPr>
          <w:p w14:paraId="5F378B71"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70ED5DB1" w14:textId="58001B80"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{"citationItems":[{"id":"ITEM-1","itemData":{"DOI":"10.1371/journal.pone.0017420","ISSN":"1932-6203 (Electronic)","PMID":"21387012","abstract":"BACKGROUND: The membrane arm of Complex I (NADH:ubiquinone oxidoreductase) contains  three large, and closely related subunits, which are called L, M, and N in E. coli. These subunits are homologous to components of multi-subunit Na(+)/H(+) antiporters, and so are implicated in proton translocation. METHODOLOGY/PRINCIPAL FINDINGS: Nineteen site-specific mutations were constructed at two corresponding positions in each of the three subunits. Two positions were selected in each subunit: L_K169, M_K173, N_K158 and L_Q236, M_H241, N_H224. Membrane vesicles were prepared from all of the resulting mutant strains, and were assayed for deamino-NADH oxidase activity, proton translocation, ferricyanide reductase activity, and sensitivity to capsaicin. Corresponding mutations in the three subunits were found to have very similar effects on all activities measured. In addition, the effect of adding exogenous decylubiquinone on these activities was tested. 50 µM decylubiquinone stimulated both deamino-NADH oxidase activity and proton translocation by wild type membrane vesicles, but was inhibitory towards the same activities by membrane vesicles bearing the lysine substitution at the L236/M241/N224 positions. CONCLUSIONS/SIGNIFICANCE: The results show a close correlation with reduced activity among the corresponding mutations, and provide evidence that the L, M, and N subunits have a common role in Complex I.","author":[{"dropping-particle":"","family":"Michel","given":"Jose","non-dropping-particle":"","parse-names":false,"suffix":""},{"dropping-particle":"","family":"DeLeon-Rangel","given":"Jessica","non-dropping-particle":"","parse-names":false,"suffix":""},{"dropping-particle":"","family":"Zhu","given":"Shaotong","non-dropping-particle":"","parse-names":false,"suffix":""},{"dropping-particle":"","family":"Ree","given":"Kalie","non-dropping-particle":"Van","parse-names":false,"suffix":""},{"dropping-particle":"","family":"Vik","given":"Steven B","non-dropping-particle":"","parse-names":false,"suffix":""}],"container-title":"PloS one","id":"ITEM-1","issue":"2","issued":{"date-parts":[["2011","2"]]},"language":"eng","page":"e17420","title":"Mutagenesis of the L, M, and N subunits of Complex I from Escherichia coli indicates  a common role in function.","type":"article-journal","volume":"6"},"uris":["http://www.mendeley.com/documents/?uuid=c0aa016f-3662-48d1-a31e-f06d6ca21965"]}],"mendeley":{"formattedCitation":"(Michel &lt;i&gt;et al&lt;/i&gt;, 2011)","plainTextFormattedCitation":"(Michel et al, 2011)","previouslyFormattedCitation":"(Michel &lt;i&gt;et al&lt;/i&gt;, 2011)"},"properties":{"noteIndex":0},"schema":"https://github.com/citation-style-language/schema/raw/master/csl-citation.json"}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(Michel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2011)</w:t>
            </w:r>
            <w:r w:rsidRPr="00E97FC1">
              <w:rPr>
                <w:rFonts w:ascii="Helvetica" w:hAnsi="Helvetica" w:cs="Helvetica"/>
                <w:b/>
                <w:bCs/>
                <w:sz w:val="16"/>
                <w:szCs w:val="20"/>
                <w:lang w:val="en-GB"/>
              </w:rPr>
              <w:fldChar w:fldCharType="end"/>
            </w:r>
          </w:p>
        </w:tc>
      </w:tr>
      <w:tr w:rsidR="002471A8" w:rsidRPr="00E97FC1" w14:paraId="085EEA46" w14:textId="77777777" w:rsidTr="002471A8">
        <w:trPr>
          <w:trHeight w:val="65"/>
        </w:trPr>
        <w:tc>
          <w:tcPr>
            <w:tcW w:w="1165" w:type="dxa"/>
          </w:tcPr>
          <w:p w14:paraId="1F5BB12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H224R</w:t>
            </w:r>
          </w:p>
        </w:tc>
        <w:tc>
          <w:tcPr>
            <w:tcW w:w="2700" w:type="dxa"/>
            <w:vMerge/>
          </w:tcPr>
          <w:p w14:paraId="1BA7CDEE" w14:textId="77777777" w:rsidR="002471A8" w:rsidRPr="00E97FC1" w:rsidRDefault="002471A8" w:rsidP="002471A8">
            <w:pPr>
              <w:rPr>
                <w:rFonts w:ascii="Helvetica" w:hAnsi="Helvetica" w:cs="Helvetica"/>
                <w:sz w:val="20"/>
                <w:szCs w:val="20"/>
                <w:lang w:val="en-GB"/>
              </w:rPr>
            </w:pPr>
          </w:p>
        </w:tc>
        <w:tc>
          <w:tcPr>
            <w:tcW w:w="1440" w:type="dxa"/>
          </w:tcPr>
          <w:p w14:paraId="0F93F61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3A55510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69%</w:t>
            </w:r>
          </w:p>
        </w:tc>
        <w:tc>
          <w:tcPr>
            <w:tcW w:w="1260" w:type="dxa"/>
          </w:tcPr>
          <w:p w14:paraId="761391D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32%</w:t>
            </w:r>
          </w:p>
        </w:tc>
        <w:tc>
          <w:tcPr>
            <w:tcW w:w="1080" w:type="dxa"/>
          </w:tcPr>
          <w:p w14:paraId="67CE42A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6EDF5223" w14:textId="0122257B"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{"citationItems":[{"id":"ITEM-1","itemData":{"DOI":"10.1371/journal.pone.0017420","ISSN":"1932-6203 (Electronic)","PMID":"21387012","abstract":"BACKGROUND: The membrane arm of Complex I (NADH:ubiquinone oxidoreductase) contains  three large, and closely related subunits, which are called L, M, and N in E. coli. These subunits are homologous to components of multi-subunit Na(+)/H(+) antiporters, and so are implicated in proton translocation. METHODOLOGY/PRINCIPAL FINDINGS: Nineteen site-specific mutations were constructed at two corresponding positions in each of the three subunits. Two positions were selected in each subunit: L_K169, M_K173, N_K158 and L_Q236, M_H241, N_H224. Membrane vesicles were prepared from all of the resulting mutant strains, and were assayed for deamino-NADH oxidase activity, proton translocation, ferricyanide reductase activity, and sensitivity to capsaicin. Corresponding mutations in the three subunits were found to have very similar effects on all activities measured. In addition, the effect of adding exogenous decylubiquinone on these activities was tested. 50 µM decylubiquinone stimulated both deamino-NADH oxidase activity and proton translocation by wild type membrane vesicles, but was inhibitory towards the same activities by membrane vesicles bearing the lysine substitution at the L236/M241/N224 positions. CONCLUSIONS/SIGNIFICANCE: The results show a close correlation with reduced activity among the corresponding mutations, and provide evidence that the L, M, and N subunits have a common role in Complex I.","author":[{"dropping-particle":"","family":"Michel","given":"Jose","non-dropping-particle":"","parse-names":false,"suffix":""},{"dropping-particle":"","family":"DeLeon-Rangel","given":"Jessica","non-dropping-particle":"","parse-names":false,"suffix":""},{"dropping-particle":"","family":"Zhu","given":"Shaotong","non-dropping-particle":"","parse-names":false,"suffix":""},{"dropping-particle":"","family":"Ree","given":"Kalie","non-dropping-particle":"Van","parse-names":false,"suffix":""},{"dropping-particle":"","family":"Vik","given":"Steven B","non-dropping-particle":"","parse-names":false,"suffix":""}],"container-title":"PloS one","id":"ITEM-1","issue":"2","issued":{"date-parts":[["2011","2"]]},"language":"eng","page":"e17420","title":"Mutagenesis of the L, M, and N subunits of Complex I from Escherichia coli indicates  a common role in function.","type":"article-journal","volume":"6"},"uris":["http://www.mendeley.com/documents/?uuid=c0aa016f-3662-48d1-a31e-f06d6ca21965"]}],"mendeley":{"formattedCitation":"(Michel &lt;i&gt;et al&lt;/i&gt;, 2011)","plainTextFormattedCitation":"(Michel et al, 2011)","previouslyFormattedCitation":"(Michel &lt;i&gt;et al&lt;/i&gt;, 2011)"},"properties":{"noteIndex":0},"schema":"https://github.com/citation-style-language/schema/raw/master/csl-citation.json"}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(Michel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2011)</w:t>
            </w:r>
            <w:r w:rsidRPr="00E97FC1">
              <w:rPr>
                <w:rFonts w:ascii="Helvetica" w:hAnsi="Helvetica" w:cs="Helvetica"/>
                <w:b/>
                <w:bCs/>
                <w:sz w:val="16"/>
                <w:szCs w:val="20"/>
                <w:lang w:val="en-GB"/>
              </w:rPr>
              <w:fldChar w:fldCharType="end"/>
            </w:r>
          </w:p>
        </w:tc>
      </w:tr>
      <w:tr w:rsidR="002471A8" w:rsidRPr="00E97FC1" w14:paraId="19BCDEC1" w14:textId="77777777" w:rsidTr="002471A8">
        <w:trPr>
          <w:trHeight w:val="65"/>
        </w:trPr>
        <w:tc>
          <w:tcPr>
            <w:tcW w:w="1165" w:type="dxa"/>
          </w:tcPr>
          <w:p w14:paraId="3C4E461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W226C</w:t>
            </w:r>
          </w:p>
        </w:tc>
        <w:tc>
          <w:tcPr>
            <w:tcW w:w="2700" w:type="dxa"/>
          </w:tcPr>
          <w:p w14:paraId="21E39ED9"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TM7b – TM7a HB</w:t>
            </w:r>
          </w:p>
        </w:tc>
        <w:tc>
          <w:tcPr>
            <w:tcW w:w="1440" w:type="dxa"/>
          </w:tcPr>
          <w:p w14:paraId="3451B10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3D01AE0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047E949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90%</w:t>
            </w:r>
          </w:p>
        </w:tc>
        <w:tc>
          <w:tcPr>
            <w:tcW w:w="1080" w:type="dxa"/>
          </w:tcPr>
          <w:p w14:paraId="07165DD7"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100%</w:t>
            </w:r>
          </w:p>
        </w:tc>
        <w:tc>
          <w:tcPr>
            <w:tcW w:w="1260" w:type="dxa"/>
          </w:tcPr>
          <w:p w14:paraId="001AA872" w14:textId="5DD114CC"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{"citationItems":[{"id":"ITEM-1","itemData":{"DOI":"10.1021/bi0340346","ISSN":"0006-2960 (Print)","PMID":"12718520","abstract":"The last gene in the nuo operon of Escherichia coli, nuoN, encodes a membrane-bound  subunit of Complex I (NADH:ubiquinone oxidoreductase). In this report, the gene for subunit N was disrupted by a 163 bp deletion in the chromosome, resulting in the loss of Complex I function, as measured by deamino-NADH oxidase activity. This activity could be recovered after transformation of the mutant strain by a plasmid that contains the previously identified nuoN gene and the upstream intergenic region between nuoM and nuoN. Mutagenesis of the first ATG downstream of nuoM led to a loss of function, indicating that this is the likely initiation codon for nuoN, and predicting a protein of 485 amino acids and 52 044 Da. Thirty site-specific mutations in nuoN at 19 different positions were constructed in a vector that expresses the full-length subunit N with both an octahistidine tag and an HA epitope tag at the carboxyl terminus. Highly conserved charged and aromatic residues were selected for mutagenesis, as well as a substitution that occurs as a secondary mutation in Leber's hereditary optic neuropathy (LHON). Membranes from the mutant strains were tested for production of subunit N by immunoblots and for NADH-linked activities. Mutants with substitutions at six different positions (K158, K217, H224, K247, Y300, and K395) had rates of deamino-NADH oxidase activity that were no more than 50% of that of the wild type and had reduced rates of proton translocation. These mutants also showed enhanced inhibition by decylubiquinone, indicating that subunit N interacts with quinones. The mutation associated with LHON, G391S, had little effect on these functions.","author":[{"dropping-particle":"","family":"Amarneh","given":"Bilal","non-dropping-particle":"","parse-names":false,"suffix":""},{"dropping-particle":"","family":"Vik","given":"Steven B","non-dropping-particle":"","parse-names":false,"suffix":""}],"container-title":"Biochemistry","id":"ITEM-1","issue":"17","issued":{"date-parts":[["2003","5"]]},"language":"eng","page":"4800-4808","publisher-place":"United States","title":"Mutagenesis of subunit N of the Escherichia coli complex I. Identification of the  initiation codon and the sensitivity of mutants to decylubiquinone.","type":"article-journal","volume":"42"},"uris":["http://www.mendeley.com/documents/?uuid=29689110-0ea3-4187-b44d-a7de5828f6d4"]}],"mendeley":{"formattedCitation":"(Amarneh &amp; Vik, 2003)","plainTextFormattedCitation":"(Amarneh &amp; Vik, 2003)","previouslyFormattedCitation":"(Amarneh &amp; Vik, 2003)"},"properties":{"noteIndex":0},"schema":"https://github.com/citation-style-language/schema/raw/master/csl-citation.json"}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(Amarneh &amp; Vik, 2003)</w:t>
            </w:r>
            <w:r w:rsidRPr="00E97FC1">
              <w:rPr>
                <w:rFonts w:ascii="Helvetica" w:hAnsi="Helvetica" w:cs="Helvetica"/>
                <w:b/>
                <w:bCs/>
                <w:sz w:val="16"/>
                <w:szCs w:val="20"/>
                <w:lang w:val="en-GB"/>
              </w:rPr>
              <w:fldChar w:fldCharType="end"/>
            </w:r>
          </w:p>
        </w:tc>
      </w:tr>
      <w:tr w:rsidR="002471A8" w:rsidRPr="00E97FC1" w14:paraId="72EBE0AE" w14:textId="77777777" w:rsidTr="002471A8">
        <w:trPr>
          <w:trHeight w:val="65"/>
        </w:trPr>
        <w:tc>
          <w:tcPr>
            <w:tcW w:w="1165" w:type="dxa"/>
          </w:tcPr>
          <w:p w14:paraId="7DBA549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D229C</w:t>
            </w:r>
          </w:p>
        </w:tc>
        <w:tc>
          <w:tcPr>
            <w:tcW w:w="2700" w:type="dxa"/>
          </w:tcPr>
          <w:p w14:paraId="704B7807" w14:textId="77777777" w:rsidR="002471A8" w:rsidRPr="00E97FC1" w:rsidRDefault="002471A8" w:rsidP="002471A8">
            <w:pPr>
              <w:rPr>
                <w:rFonts w:ascii="Helvetica" w:hAnsi="Helvetica" w:cs="Helvetica"/>
                <w:bCs/>
                <w:sz w:val="20"/>
                <w:lang w:val="en-GB"/>
              </w:rPr>
            </w:pPr>
            <w:r w:rsidRPr="00E97FC1">
              <w:rPr>
                <w:rFonts w:ascii="Helvetica" w:hAnsi="Helvetica" w:cs="Helvetica"/>
                <w:sz w:val="20"/>
                <w:lang w:val="en-GB"/>
              </w:rPr>
              <w:t xml:space="preserve">TM7b – </w:t>
            </w:r>
            <w:r w:rsidRPr="00E97FC1">
              <w:rPr>
                <w:rFonts w:ascii="Helvetica" w:hAnsi="Helvetica" w:cs="Helvetica"/>
                <w:sz w:val="20"/>
                <w:vertAlign w:val="subscript"/>
                <w:lang w:val="en-GB"/>
              </w:rPr>
              <w:t>L</w:t>
            </w:r>
            <w:r w:rsidRPr="00E97FC1">
              <w:rPr>
                <w:rFonts w:ascii="Helvetica" w:hAnsi="Helvetica" w:cs="Helvetica"/>
                <w:sz w:val="20"/>
                <w:lang w:val="en-GB"/>
              </w:rPr>
              <w:t>TM16 and HL interaction</w:t>
            </w:r>
          </w:p>
        </w:tc>
        <w:tc>
          <w:tcPr>
            <w:tcW w:w="1440" w:type="dxa"/>
          </w:tcPr>
          <w:p w14:paraId="1A4894D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6D83A08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6DB318E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70%</w:t>
            </w:r>
          </w:p>
        </w:tc>
        <w:tc>
          <w:tcPr>
            <w:tcW w:w="1080" w:type="dxa"/>
          </w:tcPr>
          <w:p w14:paraId="0ACEAA6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100%</w:t>
            </w:r>
          </w:p>
        </w:tc>
        <w:tc>
          <w:tcPr>
            <w:tcW w:w="1260" w:type="dxa"/>
          </w:tcPr>
          <w:p w14:paraId="356B5D6D" w14:textId="2B1CEB98"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{"citationItems":[{"id":"ITEM-1","itemData":{"DOI":"10.1021/bi0340346","ISSN":"0006-2960 (Print)","PMID":"12718520","abstract":"The last gene in the nuo operon of Escherichia coli, nuoN, encodes a membrane-bound  subunit of Complex I (NADH:ubiquinone oxidoreductase). In this report, the gene for subunit N was disrupted by a 163 bp deletion in the chromosome, resulting in the loss of Complex I function, as measured by deamino-NADH oxidase activity. This activity could be recovered after transformation of the mutant strain by a plasmid that contains the previously identified nuoN gene and the upstream intergenic region between nuoM and nuoN. Mutagenesis of the first ATG downstream of nuoM led to a loss of function, indicating that this is the likely initiation codon for nuoN, and predicting a protein of 485 amino acids and 52 044 Da. Thirty site-specific mutations in nuoN at 19 different positions were constructed in a vector that expresses the full-length subunit N with both an octahistidine tag and an HA epitope tag at the carboxyl terminus. Highly conserved charged and aromatic residues were selected for mutagenesis, as well as a substitution that occurs as a secondary mutation in Leber's hereditary optic neuropathy (LHON). Membranes from the mutant strains were tested for production of subunit N by immunoblots and for NADH-linked activities. Mutants with substitutions at six different positions (K158, K217, H224, K247, Y300, and K395) had rates of deamino-NADH oxidase activity that were no more than 50% of that of the wild type and had reduced rates of proton translocation. These mutants also showed enhanced inhibition by decylubiquinone, indicating that subunit N interacts with quinones. The mutation associated with LHON, G391S, had little effect on these functions.","author":[{"dropping-particle":"","family":"Amarneh","given":"Bilal","non-dropping-particle":"","parse-names":false,"suffix":""},{"dropping-particle":"","family":"Vik","given":"Steven B","non-dropping-particle":"","parse-names":false,"suffix":""}],"container-title":"Biochemistry","id":"ITEM-1","issue":"17","issued":{"date-parts":[["2003","5"]]},"language":"eng","page":"4800-4808","publisher-place":"United States","title":"Mutagenesis of subunit N of the Escherichia coli complex I. Identification of the  initiation codon and the sensitivity of mutants to decylubiquinone.","type":"article-journal","volume":"42"},"uris":["http://www.mendeley.com/documents/?uuid=29689110-0ea3-4187-b44d-a7de5828f6d4"]}],"mendeley":{"formattedCitation":"(Amarneh &amp; Vik, 2003)","plainTextFormattedCitation":"(Amarneh &amp; Vik, 2003)","previouslyFormattedCitation":"(Amarneh &amp; Vik, 2003)"},"properties":{"noteIndex":0},"schema":"https://github.com/citation-style-language/schema/raw/master/csl-citation.json"}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(Amarneh &amp; Vik, 2003)</w:t>
            </w:r>
            <w:r w:rsidRPr="00E97FC1">
              <w:rPr>
                <w:rFonts w:ascii="Helvetica" w:hAnsi="Helvetica" w:cs="Helvetica"/>
                <w:b/>
                <w:bCs/>
                <w:sz w:val="16"/>
                <w:szCs w:val="20"/>
                <w:lang w:val="en-GB"/>
              </w:rPr>
              <w:fldChar w:fldCharType="end"/>
            </w:r>
          </w:p>
        </w:tc>
      </w:tr>
      <w:tr w:rsidR="002471A8" w:rsidRPr="00E97FC1" w14:paraId="0D0CB51C" w14:textId="77777777" w:rsidTr="002471A8">
        <w:trPr>
          <w:trHeight w:val="65"/>
        </w:trPr>
        <w:tc>
          <w:tcPr>
            <w:tcW w:w="1165" w:type="dxa"/>
          </w:tcPr>
          <w:p w14:paraId="5E177B5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K247C</w:t>
            </w:r>
          </w:p>
        </w:tc>
        <w:tc>
          <w:tcPr>
            <w:tcW w:w="2700" w:type="dxa"/>
            <w:vMerge w:val="restart"/>
          </w:tcPr>
          <w:p w14:paraId="45E42D8C"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TM8, central axe</w:t>
            </w:r>
          </w:p>
        </w:tc>
        <w:tc>
          <w:tcPr>
            <w:tcW w:w="1440" w:type="dxa"/>
          </w:tcPr>
          <w:p w14:paraId="5DB4256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630AEC0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350EAB8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0-7%</w:t>
            </w:r>
          </w:p>
        </w:tc>
        <w:tc>
          <w:tcPr>
            <w:tcW w:w="1080" w:type="dxa"/>
          </w:tcPr>
          <w:p w14:paraId="0ED8319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50%</w:t>
            </w:r>
          </w:p>
        </w:tc>
        <w:tc>
          <w:tcPr>
            <w:tcW w:w="1260" w:type="dxa"/>
          </w:tcPr>
          <w:p w14:paraId="16F340E1" w14:textId="697EFB5E"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{"citationItems":[{"id":"ITEM-1","itemData":{"DOI":"10.1021/bi0340346","ISSN":"0006-2960 (Print)","PMID":"12718520","abstract":"The last gene in the nuo operon of Escherichia coli, nuoN, encodes a membrane-bound  subunit of Complex I (NADH:ubiquinone oxidoreductase). In this report, the gene for subunit N was disrupted by a 163 bp deletion in the chromosome, resulting in the loss of Complex I function, as measured by deamino-NADH oxidase activity. This activity could be recovered after transformation of the mutant strain by a plasmid that contains the previously identified nuoN gene and the upstream intergenic region between nuoM and nuoN. Mutagenesis of the first ATG downstream of nuoM led to a loss of function, indicating that this is the likely initiation codon for nuoN, and predicting a protein of 485 amino acids and 52 044 Da. Thirty site-specific mutations in nuoN at 19 different positions were constructed in a vector that expresses the full-length subunit N with both an octahistidine tag and an HA epitope tag at the carboxyl terminus. Highly conserved charged and aromatic residues were selected for mutagenesis, as well as a substitution that occurs as a secondary mutation in Leber's hereditary optic neuropathy (LHON). Membranes from the mutant strains were tested for production of subunit N by immunoblots and for NADH-linked activities. Mutants with substitutions at six different positions (K158, K217, H224, K247, Y300, and K395) had rates of deamino-NADH oxidase activity that were no more than 50% of that of the wild type and had reduced rates of proton translocation. These mutants also showed enhanced inhibition by decylubiquinone, indicating that subunit N interacts with quinones. The mutation associated with LHON, G391S, had little effect on these functions.","author":[{"dropping-particle":"","family":"Amarneh","given":"Bilal","non-dropping-particle":"","parse-names":false,"suffix":""},{"dropping-particle":"","family":"Vik","given":"Steven B","non-dropping-particle":"","parse-names":false,"suffix":""}],"container-title":"Biochemistry","id":"ITEM-1","issue":"17","issued":{"date-parts":[["2003","5"]]},"language":"eng","page":"4800-4808","publisher-place":"United States","title":"Mutagenesis of subunit N of the Escherichia coli complex I. Identification of the  initiation codon and the sensitivity of mutants to decylubiquinone.","type":"article-journal","volume":"42"},"uris":["http://www.mendeley.com/documents/?uuid=29689110-0ea3-4187-b44d-a7de5828f6d4"]}],"mendeley":{"formattedCitation":"(Amarneh &amp; Vik, 2003)","plainTextFormattedCitation":"(Amarneh &amp; Vik, 2003)","previouslyFormattedCitation":"(Amarneh &amp; Vik, 2003)"},"properties":{"noteIndex":0},"schema":"https://github.com/citation-style-language/schema/raw/master/csl-citation.json"}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(Amarneh &amp; Vik, 2003)</w:t>
            </w:r>
            <w:r w:rsidRPr="00E97FC1">
              <w:rPr>
                <w:rFonts w:ascii="Helvetica" w:hAnsi="Helvetica" w:cs="Helvetica"/>
                <w:b/>
                <w:bCs/>
                <w:sz w:val="16"/>
                <w:szCs w:val="20"/>
                <w:lang w:val="en-GB"/>
              </w:rPr>
              <w:fldChar w:fldCharType="end"/>
            </w:r>
          </w:p>
        </w:tc>
      </w:tr>
      <w:tr w:rsidR="002471A8" w:rsidRPr="00E97FC1" w14:paraId="6F0E0B0D" w14:textId="77777777" w:rsidTr="002471A8">
        <w:trPr>
          <w:trHeight w:val="65"/>
        </w:trPr>
        <w:tc>
          <w:tcPr>
            <w:tcW w:w="1165" w:type="dxa"/>
          </w:tcPr>
          <w:p w14:paraId="3B8C9D9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K247R</w:t>
            </w:r>
          </w:p>
        </w:tc>
        <w:tc>
          <w:tcPr>
            <w:tcW w:w="2700" w:type="dxa"/>
            <w:vMerge/>
          </w:tcPr>
          <w:p w14:paraId="1C862FA1" w14:textId="77777777" w:rsidR="002471A8" w:rsidRPr="00E97FC1" w:rsidRDefault="002471A8" w:rsidP="002471A8">
            <w:pPr>
              <w:rPr>
                <w:rFonts w:ascii="Helvetica" w:hAnsi="Helvetica" w:cs="Helvetica"/>
                <w:sz w:val="20"/>
                <w:szCs w:val="20"/>
                <w:lang w:val="en-GB"/>
              </w:rPr>
            </w:pPr>
          </w:p>
        </w:tc>
        <w:tc>
          <w:tcPr>
            <w:tcW w:w="1440" w:type="dxa"/>
          </w:tcPr>
          <w:p w14:paraId="62DDE67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75DE444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6AEF5A9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80%</w:t>
            </w:r>
          </w:p>
        </w:tc>
        <w:tc>
          <w:tcPr>
            <w:tcW w:w="1080" w:type="dxa"/>
          </w:tcPr>
          <w:p w14:paraId="7B72852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100%</w:t>
            </w:r>
          </w:p>
        </w:tc>
        <w:tc>
          <w:tcPr>
            <w:tcW w:w="1260" w:type="dxa"/>
          </w:tcPr>
          <w:p w14:paraId="736B1B95" w14:textId="2ACD86C1"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{"citationItems":[{"id":"ITEM-1","itemData":{"DOI":"10.1021/bi0340346","ISSN":"0006-2960 (Print)","PMID":"12718520","abstract":"The last gene in the nuo operon of Escherichia coli, nuoN, encodes a membrane-bound  subunit of Complex I (NADH:ubiquinone oxidoreductase). In this report, the gene for subunit N was disrupted by a 163 bp deletion in the chromosome, resulting in the loss of Complex I function, as measured by deamino-NADH oxidase activity. This activity could be recovered after transformation of the mutant strain by a plasmid that contains the previously identified nuoN gene and the upstream intergenic region between nuoM and nuoN. Mutagenesis of the first ATG downstream of nuoM led to a loss of function, indicating that this is the likely initiation codon for nuoN, and predicting a protein of 485 amino acids and 52 044 Da. Thirty site-specific mutations in nuoN at 19 different positions were constructed in a vector that expresses the full-length subunit N with both an octahistidine tag and an HA epitope tag at the carboxyl terminus. Highly conserved charged and aromatic residues were selected for mutagenesis, as well as a substitution that occurs as a secondary mutation in Leber's hereditary optic neuropathy (LHON). Membranes from the mutant strains were tested for production of subunit N by immunoblots and for NADH-linked activities. Mutants with substitutions at six different positions (K158, K217, H224, K247, Y300, and K395) had rates of deamino-NADH oxidase activity that were no more than 50% of that of the wild type and had reduced rates of proton translocation. These mutants also showed enhanced inhibition by decylubiquinone, indicating that subunit N interacts with quinones. The mutation associated with LHON, G391S, had little effect on these functions.","author":[{"dropping-particle":"","family":"Amarneh","given":"Bilal","non-dropping-particle":"","parse-names":false,"suffix":""},{"dropping-particle":"","family":"Vik","given":"Steven B","non-dropping-particle":"","parse-names":false,"suffix":""}],"container-title":"Biochemistry","id":"ITEM-1","issue":"17","issued":{"date-parts":[["2003","5"]]},"language":"eng","page":"4800-4808","publisher-place":"United States","title":"Mutagenesis of subunit N of the Escherichia coli complex I. Identification of the  initiation codon and the sensitivity of mutants to decylubiquinone.","type":"article-journal","volume":"42"},"uris":["http://www.mendeley.com/documents/?uuid=29689110-0ea3-4187-b44d-a7de5828f6d4"]}],"mendeley":{"formattedCitation":"(Amarneh &amp; Vik, 2003)","plainTextFormattedCitation":"(Amarneh &amp; Vik, 2003)","previouslyFormattedCitation":"(Amarneh &amp; Vik, 2003)"},"properties":{"noteIndex":0},"schema":"https://github.com/citation-style-language/schema/raw/master/csl-citation.json"}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(Amarneh &amp; Vik, 2003)</w:t>
            </w:r>
            <w:r w:rsidRPr="00E97FC1">
              <w:rPr>
                <w:rFonts w:ascii="Helvetica" w:hAnsi="Helvetica" w:cs="Helvetica"/>
                <w:b/>
                <w:bCs/>
                <w:sz w:val="16"/>
                <w:szCs w:val="20"/>
                <w:lang w:val="en-GB"/>
              </w:rPr>
              <w:fldChar w:fldCharType="end"/>
            </w:r>
          </w:p>
        </w:tc>
      </w:tr>
      <w:tr w:rsidR="002471A8" w:rsidRPr="00E97FC1" w14:paraId="451EFA33" w14:textId="77777777" w:rsidTr="002471A8">
        <w:trPr>
          <w:trHeight w:val="65"/>
        </w:trPr>
        <w:tc>
          <w:tcPr>
            <w:tcW w:w="1165" w:type="dxa"/>
          </w:tcPr>
          <w:p w14:paraId="08CAEF8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K247R</w:t>
            </w:r>
          </w:p>
        </w:tc>
        <w:tc>
          <w:tcPr>
            <w:tcW w:w="2700" w:type="dxa"/>
            <w:vMerge/>
          </w:tcPr>
          <w:p w14:paraId="6C53E6FB" w14:textId="77777777" w:rsidR="002471A8" w:rsidRPr="00E97FC1" w:rsidRDefault="002471A8" w:rsidP="002471A8">
            <w:pPr>
              <w:rPr>
                <w:rFonts w:ascii="Helvetica" w:hAnsi="Helvetica" w:cs="Helvetica"/>
                <w:sz w:val="20"/>
                <w:szCs w:val="20"/>
                <w:lang w:val="en-GB"/>
              </w:rPr>
            </w:pPr>
          </w:p>
        </w:tc>
        <w:tc>
          <w:tcPr>
            <w:tcW w:w="1440" w:type="dxa"/>
          </w:tcPr>
          <w:p w14:paraId="69D11C5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170" w:type="dxa"/>
          </w:tcPr>
          <w:p w14:paraId="163880C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101%</w:t>
            </w:r>
          </w:p>
        </w:tc>
        <w:tc>
          <w:tcPr>
            <w:tcW w:w="1260" w:type="dxa"/>
          </w:tcPr>
          <w:p w14:paraId="10B1505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94%</w:t>
            </w:r>
          </w:p>
        </w:tc>
        <w:tc>
          <w:tcPr>
            <w:tcW w:w="1080" w:type="dxa"/>
          </w:tcPr>
          <w:p w14:paraId="7D63478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260" w:type="dxa"/>
          </w:tcPr>
          <w:p w14:paraId="64BD16C2" w14:textId="3A6785C0"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{"citationItems":[{"id":"ITEM-1","itemData":{"DOI":"10.1074/jbc.M113.482968","ISSN":"1083-351X (Electronic)","PMID":"23864658","abstract":"The proton-translocating NADH-quinone oxidoreductase (complex I/NDH-1) contains a peripheral and a membrane domain. Three antiporter-like subunits in the membrane domain, NuoL, NuoM, and NuoN (ND5, ND4 and ND2, respectively), are structurally similar. We analyzed the role of NuoN in Escherichia coli NDH-1. The lysine residue at position 395 in NuoN (NLys(395)) is conserved in NuoL (LLys(399)) but is replaced by glutamic acid (MGlu(407)) in NuoM. Our mutation study on NLys(395) suggests that this residue participates in the proton translocation. Furthermore, we found that MGlu(407) is also essential and most likely interacts with conserved LArg(175). Glutamic acids, NGlu(133), MGlu(144), and LGlu(144), are corresponding residues. Unlike mutants of MGlu(144) and LGlu(144), mutation of NGlu(133) scarcely affected the energy-transducing activities. However, a double mutant of NGlu(133) and nearby KGlu(72) showed significant inhibition of these activities. This suggests that NGlu(133) bears a functional role similar to LGlu(144) and MGlu(144) but its mutation can be partially compensated by the nearby carboxyl residue. Conserved prolines located at loops of discontinuous transmembrane helices of NuoL, NuoM, and NuoN were shown to play a similar role in the energy-transducing activity. It seems likely that NuoL, NuoM, and NuoN pump protons by a similar mechanism. Our data also revealed that NLys(158) is one of the key interaction points with helix HL in NuoL. A truncation study indicated that the C-terminal amphipathic segments of NTM14 interacts with the Mbeta sheet located on the opposite side of helix HL. Taken together, the mechanism of H(+) translocation in NDH-1 is discussed.","author":[{"dropping-particle":"","family":"Sato","given":"Motoaki","non-dropping-particle":"","parse-names":false,"suffix":""},{"dropping-particle":"","family":"Sinha","given":"Prem Kumar","non-dropping-particle":"","parse-names":false,"suffix":""},{"dropping-particle":"","family":"Torres-Bacete","given":"Jesus","non-dropping-particle":"","parse-names":false,"suffix":""},{"dropping-particle":"","family":"Matsuno-Yagi","given":"Akemi","non-dropping-particle":"","parse-names":false,"suffix":""},{"dropping-particle":"","family":"Yagi","given":"Takao","non-dropping-particle":"","parse-names":false,"suffix":""}],"container-title":"The Journal of biological chemistry","id":"ITEM-1","issue":"34","issued":{"date-parts":[["2013","8"]]},"language":"eng","page":"24705-24716","publisher-place":"United States","title":"Energy transducing roles of antiporter-like subunits in Escherichia coli NDH-1 with main focus on subunit NuoN (ND2).","type":"article-journal","volume":"288"},"uris":["http://www.mendeley.com/documents/?uuid=0db84ce5-f2b7-4f63-9ef8-4e12ef999eec"]}],"mendeley":{"formattedCitation":"(Sato &lt;i&gt;et al&lt;/i&gt;, 2013)","plainTextFormattedCitation":"(Sato et al, 2013)","previouslyFormattedCitation":"(Sato &lt;i&gt;et al&lt;/i&gt;, 2013)"},"properties":{"noteIndex":0},"schema":"https://github.com/citation-style-language/schema/raw/master/csl-citation.json"}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(Sato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2013)</w:t>
            </w:r>
            <w:r w:rsidRPr="00E97FC1">
              <w:rPr>
                <w:rFonts w:ascii="Helvetica" w:hAnsi="Helvetica" w:cs="Helvetica"/>
                <w:b/>
                <w:bCs/>
                <w:sz w:val="16"/>
                <w:szCs w:val="20"/>
                <w:lang w:val="en-GB"/>
              </w:rPr>
              <w:fldChar w:fldCharType="end"/>
            </w:r>
          </w:p>
        </w:tc>
      </w:tr>
      <w:tr w:rsidR="002471A8" w:rsidRPr="00E97FC1" w14:paraId="719416B5" w14:textId="77777777" w:rsidTr="002471A8">
        <w:trPr>
          <w:trHeight w:val="65"/>
        </w:trPr>
        <w:tc>
          <w:tcPr>
            <w:tcW w:w="1165" w:type="dxa"/>
          </w:tcPr>
          <w:p w14:paraId="50715BA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K247A</w:t>
            </w:r>
          </w:p>
        </w:tc>
        <w:tc>
          <w:tcPr>
            <w:tcW w:w="2700" w:type="dxa"/>
            <w:vMerge/>
          </w:tcPr>
          <w:p w14:paraId="27D7044B" w14:textId="77777777" w:rsidR="002471A8" w:rsidRPr="00E97FC1" w:rsidRDefault="002471A8" w:rsidP="002471A8">
            <w:pPr>
              <w:rPr>
                <w:rFonts w:ascii="Helvetica" w:hAnsi="Helvetica" w:cs="Helvetica"/>
                <w:sz w:val="20"/>
                <w:lang w:val="en-GB"/>
              </w:rPr>
            </w:pPr>
          </w:p>
        </w:tc>
        <w:tc>
          <w:tcPr>
            <w:tcW w:w="1440" w:type="dxa"/>
          </w:tcPr>
          <w:p w14:paraId="7ECC822A"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170" w:type="dxa"/>
          </w:tcPr>
          <w:p w14:paraId="06AA8C0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70%</w:t>
            </w:r>
          </w:p>
        </w:tc>
        <w:tc>
          <w:tcPr>
            <w:tcW w:w="1260" w:type="dxa"/>
          </w:tcPr>
          <w:p w14:paraId="57CBC63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32%</w:t>
            </w:r>
          </w:p>
        </w:tc>
        <w:tc>
          <w:tcPr>
            <w:tcW w:w="1080" w:type="dxa"/>
          </w:tcPr>
          <w:p w14:paraId="3F80BAC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reduced</w:t>
            </w:r>
          </w:p>
        </w:tc>
        <w:tc>
          <w:tcPr>
            <w:tcW w:w="1260" w:type="dxa"/>
          </w:tcPr>
          <w:p w14:paraId="488A02A4" w14:textId="6E304C16"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{"citationItems":[{"id":"ITEM-1","itemData":{"DOI":"10.1074/jbc.M113.482968","ISSN":"1083-351X (Electronic)","PMID":"23864658","abstract":"The proton-translocating NADH-quinone oxidoreductase (complex I/NDH-1) contains a peripheral and a membrane domain. Three antiporter-like subunits in the membrane domain, NuoL, NuoM, and NuoN (ND5, ND4 and ND2, respectively), are structurally similar. We analyzed the role of NuoN in Escherichia coli NDH-1. The lysine residue at position 395 in NuoN (NLys(395)) is conserved in NuoL (LLys(399)) but is replaced by glutamic acid (MGlu(407)) in NuoM. Our mutation study on NLys(395) suggests that this residue participates in the proton translocation. Furthermore, we found that MGlu(407) is also essential and most likely interacts with conserved LArg(175). Glutamic acids, NGlu(133), MGlu(144), and LGlu(144), are corresponding residues. Unlike mutants of MGlu(144) and LGlu(144), mutation of NGlu(133) scarcely affected the energy-transducing activities. However, a double mutant of NGlu(133) and nearby KGlu(72) showed significant inhibition of these activities. This suggests that NGlu(133) bears a functional role similar to LGlu(144) and MGlu(144) but its mutation can be partially compensated by the nearby carboxyl residue. Conserved prolines located at loops of discontinuous transmembrane helices of NuoL, NuoM, and NuoN were shown to play a similar role in the energy-transducing activity. It seems likely that NuoL, NuoM, and NuoN pump protons by a similar mechanism. Our data also revealed that NLys(158) is one of the key interaction points with helix HL in NuoL. A truncation study indicated that the C-terminal amphipathic segments of NTM14 interacts with the Mbeta sheet located on the opposite side of helix HL. Taken together, the mechanism of H(+) translocation in NDH-1 is discussed.","author":[{"dropping-particle":"","family":"Sato","given":"Motoaki","non-dropping-particle":"","parse-names":false,"suffix":""},{"dropping-particle":"","family":"Sinha","given":"Prem Kumar","non-dropping-particle":"","parse-names":false,"suffix":""},{"dropping-particle":"","family":"Torres-Bacete","given":"Jesus","non-dropping-particle":"","parse-names":false,"suffix":""},{"dropping-particle":"","family":"Matsuno-Yagi","given":"Akemi","non-dropping-particle":"","parse-names":false,"suffix":""},{"dropping-particle":"","family":"Yagi","given":"Takao","non-dropping-particle":"","parse-names":false,"suffix":""}],"container-title":"The Journal of biological chemistry","id":"ITEM-1","issue":"34","issued":{"date-parts":[["2013","8"]]},"language":"eng","page":"24705-24716","publisher-place":"United States","title":"Energy transducing roles of antiporter-like subunits in Escherichia coli NDH-1 with main focus on subunit NuoN (ND2).","type":"article-journal","volume":"288"},"uris":["http://www.mendeley.com/documents/?uuid=0db84ce5-f2b7-4f63-9ef8-4e12ef999eec"]}],"mendeley":{"formattedCitation":"(Sato &lt;i&gt;et al&lt;/i&gt;, 2013)","plainTextFormattedCitation":"(Sato et al, 2013)","previouslyFormattedCitation":"(Sato &lt;i&gt;et al&lt;/i&gt;, 2013)"},"properties":{"noteIndex":0},"schema":"https://github.com/citation-style-language/schema/raw/master/csl-citation.json"}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(Sato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2013)</w:t>
            </w:r>
            <w:r w:rsidRPr="00E97FC1">
              <w:rPr>
                <w:rFonts w:ascii="Helvetica" w:hAnsi="Helvetica" w:cs="Helvetica"/>
                <w:b/>
                <w:bCs/>
                <w:sz w:val="16"/>
                <w:szCs w:val="20"/>
                <w:lang w:val="en-GB"/>
              </w:rPr>
              <w:fldChar w:fldCharType="end"/>
            </w:r>
          </w:p>
        </w:tc>
      </w:tr>
      <w:tr w:rsidR="002471A8" w:rsidRPr="00E97FC1" w14:paraId="4C21BA29" w14:textId="77777777" w:rsidTr="002471A8">
        <w:trPr>
          <w:trHeight w:val="65"/>
        </w:trPr>
        <w:tc>
          <w:tcPr>
            <w:tcW w:w="1165" w:type="dxa"/>
          </w:tcPr>
          <w:p w14:paraId="5938026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K295C</w:t>
            </w:r>
          </w:p>
        </w:tc>
        <w:tc>
          <w:tcPr>
            <w:tcW w:w="2700" w:type="dxa"/>
            <w:vMerge w:val="restart"/>
          </w:tcPr>
          <w:p w14:paraId="54C04157"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surface</w:t>
            </w:r>
          </w:p>
        </w:tc>
        <w:tc>
          <w:tcPr>
            <w:tcW w:w="1440" w:type="dxa"/>
          </w:tcPr>
          <w:p w14:paraId="6E979B57"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492F58A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38690F3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80%</w:t>
            </w:r>
          </w:p>
        </w:tc>
        <w:tc>
          <w:tcPr>
            <w:tcW w:w="1080" w:type="dxa"/>
          </w:tcPr>
          <w:p w14:paraId="3179267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70%</w:t>
            </w:r>
          </w:p>
        </w:tc>
        <w:tc>
          <w:tcPr>
            <w:tcW w:w="1260" w:type="dxa"/>
          </w:tcPr>
          <w:p w14:paraId="0FC67922" w14:textId="73834E53"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{"citationItems":[{"id":"ITEM-1","itemData":{"DOI":"10.1021/bi0340346","ISSN":"0006-2960 (Print)","PMID":"12718520","abstract":"The last gene in the nuo operon of Escherichia coli, nuoN, encodes a membrane-bound  subunit of Complex I (NADH:ubiquinone oxidoreductase). In this report, the gene for subunit N was disrupted by a 163 bp deletion in the chromosome, resulting in the loss of Complex I function, as measured by deamino-NADH oxidase activity. This activity could be recovered after transformation of the mutant strain by a plasmid that contains the previously identified nuoN gene and the upstream intergenic region between nuoM and nuoN. Mutagenesis of the first ATG downstream of nuoM led to a loss of function, indicating that this is the likely initiation codon for nuoN, and predicting a protein of 485 amino acids and 52 044 Da. Thirty site-specific mutations in nuoN at 19 different positions were constructed in a vector that expresses the full-length subunit N with both an octahistidine tag and an HA epitope tag at the carboxyl terminus. Highly conserved charged and aromatic residues were selected for mutagenesis, as well as a substitution that occurs as a secondary mutation in Leber's hereditary optic neuropathy (LHON). Membranes from the mutant strains were tested for production of subunit N by immunoblots and for NADH-linked activities. Mutants with substitutions at six different positions (K158, K217, H224, K247, Y300, and K395) had rates of deamino-NADH oxidase activity that were no more than 50% of that of the wild type and had reduced rates of proton translocation. These mutants also showed enhanced inhibition by decylubiquinone, indicating that subunit N interacts with quinones. The mutation associated with LHON, G391S, had little effect on these functions.","author":[{"dropping-particle":"","family":"Amarneh","given":"Bilal","non-dropping-particle":"","parse-names":false,"suffix":""},{"dropping-particle":"","family":"Vik","given":"Steven B","non-dropping-particle":"","parse-names":false,"suffix":""}],"container-title":"Biochemistry","id":"ITEM-1","issue":"17","issued":{"date-parts":[["2003","5"]]},"language":"eng","page":"4800-4808","publisher-place":"United States","title":"Mutagenesis of subunit N of the Escherichia coli complex I. Identification of the  initiation codon and the sensitivity of mutants to decylubiquinone.","type":"article-journal","volume":"42"},"uris":["http://www.mendeley.com/documents/?uuid=29689110-0ea3-4187-b44d-a7de5828f6d4"]}],"mendeley":{"formattedCitation":"(Amarneh &amp; Vik, 2003)","plainTextFormattedCitation":"(Amarneh &amp; Vik, 2003)","previouslyFormattedCitation":"(Amarneh &amp; Vik, 2003)"},"properties":{"noteIndex":0},"schema":"https://github.com/citation-style-language/schema/raw/master/csl-citation.json"}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(Amarneh &amp; Vik, 2003)</w:t>
            </w:r>
            <w:r w:rsidRPr="00E97FC1">
              <w:rPr>
                <w:rFonts w:ascii="Helvetica" w:hAnsi="Helvetica" w:cs="Helvetica"/>
                <w:b/>
                <w:bCs/>
                <w:sz w:val="16"/>
                <w:szCs w:val="20"/>
                <w:lang w:val="en-GB"/>
              </w:rPr>
              <w:fldChar w:fldCharType="end"/>
            </w:r>
          </w:p>
        </w:tc>
      </w:tr>
      <w:tr w:rsidR="002471A8" w:rsidRPr="00E97FC1" w14:paraId="75A66FA2" w14:textId="77777777" w:rsidTr="002471A8">
        <w:trPr>
          <w:trHeight w:val="65"/>
        </w:trPr>
        <w:tc>
          <w:tcPr>
            <w:tcW w:w="1165" w:type="dxa"/>
          </w:tcPr>
          <w:p w14:paraId="44EF823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K295R</w:t>
            </w:r>
          </w:p>
        </w:tc>
        <w:tc>
          <w:tcPr>
            <w:tcW w:w="2700" w:type="dxa"/>
            <w:vMerge/>
          </w:tcPr>
          <w:p w14:paraId="3362A70F" w14:textId="77777777" w:rsidR="002471A8" w:rsidRPr="00E97FC1" w:rsidRDefault="002471A8" w:rsidP="002471A8">
            <w:pPr>
              <w:rPr>
                <w:rFonts w:ascii="Helvetica" w:hAnsi="Helvetica" w:cs="Helvetica"/>
                <w:bCs/>
                <w:sz w:val="20"/>
                <w:szCs w:val="20"/>
                <w:lang w:val="en-GB"/>
              </w:rPr>
            </w:pPr>
          </w:p>
        </w:tc>
        <w:tc>
          <w:tcPr>
            <w:tcW w:w="1440" w:type="dxa"/>
          </w:tcPr>
          <w:p w14:paraId="6AAFBDB1"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730D27E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5AC1E69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90%</w:t>
            </w:r>
          </w:p>
        </w:tc>
        <w:tc>
          <w:tcPr>
            <w:tcW w:w="1080" w:type="dxa"/>
          </w:tcPr>
          <w:p w14:paraId="5BB84F47"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80%</w:t>
            </w:r>
          </w:p>
        </w:tc>
        <w:tc>
          <w:tcPr>
            <w:tcW w:w="1260" w:type="dxa"/>
          </w:tcPr>
          <w:p w14:paraId="48C62C83" w14:textId="3C404634"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{"citationItems":[{"id":"ITEM-1","itemData":{"DOI":"10.1021/bi0340346","ISSN":"0006-2960 (Print)","PMID":"12718520","abstract":"The last gene in the nuo operon of Escherichia coli, nuoN, encodes a membrane-bound  subunit of Complex I (NADH:ubiquinone oxidoreductase). In this report, the gene for subunit N was disrupted by a 163 bp deletion in the chromosome, resulting in the loss of Complex I function, as measured by deamino-NADH oxidase activity. This activity could be recovered after transformation of the mutant strain by a plasmid that contains the previously identified nuoN gene and the upstream intergenic region between nuoM and nuoN. Mutagenesis of the first ATG downstream of nuoM led to a loss of function, indicating that this is the likely initiation codon for nuoN, and predicting a protein of 485 amino acids and 52 044 Da. Thirty site-specific mutations in nuoN at 19 different positions were constructed in a vector that expresses the full-length subunit N with both an octahistidine tag and an HA epitope tag at the carboxyl terminus. Highly conserved charged and aromatic residues were selected for mutagenesis, as well as a substitution that occurs as a secondary mutation in Leber's hereditary optic neuropathy (LHON). Membranes from the mutant strains were tested for production of subunit N by immunoblots and for NADH-linked activities. Mutants with substitutions at six different positions (K158, K217, H224, K247, Y300, and K395) had rates of deamino-NADH oxidase activity that were no more than 50% of that of the wild type and had reduced rates of proton translocation. These mutants also showed enhanced inhibition by decylubiquinone, indicating that subunit N interacts with quinones. The mutation associated with LHON, G391S, had little effect on these functions.","author":[{"dropping-particle":"","family":"Amarneh","given":"Bilal","non-dropping-particle":"","parse-names":false,"suffix":""},{"dropping-particle":"","family":"Vik","given":"Steven B","non-dropping-particle":"","parse-names":false,"suffix":""}],"container-title":"Biochemistry","id":"ITEM-1","issue":"17","issued":{"date-parts":[["2003","5"]]},"language":"eng","page":"4800-4808","publisher-place":"United States","title":"Mutagenesis of subunit N of the Escherichia coli complex I. Identification of the  initiation codon and the sensitivity of mutants to decylubiquinone.","type":"article-journal","volume":"42"},"uris":["http://www.mendeley.com/documents/?uuid=29689110-0ea3-4187-b44d-a7de5828f6d4"]}],"mendeley":{"formattedCitation":"(Amarneh &amp; Vik, 2003)","plainTextFormattedCitation":"(Amarneh &amp; Vik, 2003)","previouslyFormattedCitation":"(Amarneh &amp; Vik, 2003)"},"properties":{"noteIndex":0},"schema":"https://github.com/citation-style-language/schema/raw/master/csl-citation.json"}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(Amarneh &amp; Vik, 2003)</w:t>
            </w:r>
            <w:r w:rsidRPr="00E97FC1">
              <w:rPr>
                <w:rFonts w:ascii="Helvetica" w:hAnsi="Helvetica" w:cs="Helvetica"/>
                <w:b/>
                <w:bCs/>
                <w:sz w:val="16"/>
                <w:szCs w:val="20"/>
                <w:lang w:val="en-GB"/>
              </w:rPr>
              <w:fldChar w:fldCharType="end"/>
            </w:r>
          </w:p>
        </w:tc>
      </w:tr>
      <w:tr w:rsidR="002471A8" w:rsidRPr="00E97FC1" w14:paraId="4B772624" w14:textId="77777777" w:rsidTr="002471A8">
        <w:trPr>
          <w:trHeight w:val="65"/>
        </w:trPr>
        <w:tc>
          <w:tcPr>
            <w:tcW w:w="1165" w:type="dxa"/>
          </w:tcPr>
          <w:p w14:paraId="0D15961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Y300C</w:t>
            </w:r>
          </w:p>
        </w:tc>
        <w:tc>
          <w:tcPr>
            <w:tcW w:w="2700" w:type="dxa"/>
            <w:vMerge w:val="restart"/>
          </w:tcPr>
          <w:p w14:paraId="102B83C4"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TM10 - HL interaction</w:t>
            </w:r>
          </w:p>
        </w:tc>
        <w:tc>
          <w:tcPr>
            <w:tcW w:w="1440" w:type="dxa"/>
          </w:tcPr>
          <w:p w14:paraId="706AAB6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473E66E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3FFEC00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70%</w:t>
            </w:r>
          </w:p>
        </w:tc>
        <w:tc>
          <w:tcPr>
            <w:tcW w:w="1080" w:type="dxa"/>
          </w:tcPr>
          <w:p w14:paraId="2B1A908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80%</w:t>
            </w:r>
          </w:p>
        </w:tc>
        <w:tc>
          <w:tcPr>
            <w:tcW w:w="1260" w:type="dxa"/>
          </w:tcPr>
          <w:p w14:paraId="35279B22" w14:textId="06B5CAE0"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{"citationItems":[{"id":"ITEM-1","itemData":{"DOI":"10.1021/bi0340346","ISSN":"0006-2960 (Print)","PMID":"12718520","abstract":"The last gene in the nuo operon of Escherichia coli, nuoN, encodes a membrane-bound  subunit of Complex I (NADH:ubiquinone oxidoreductase). In this report, the gene for subunit N was disrupted by a 163 bp deletion in the chromosome, resulting in the loss of Complex I function, as measured by deamino-NADH oxidase activity. This activity could be recovered after transformation of the mutant strain by a plasmid that contains the previously identified nuoN gene and the upstream intergenic region between nuoM and nuoN. Mutagenesis of the first ATG downstream of nuoM led to a loss of function, indicating that this is the likely initiation codon for nuoN, and predicting a protein of 485 amino acids and 52 044 Da. Thirty site-specific mutations in nuoN at 19 different positions were constructed in a vector that expresses the full-length subunit N with both an octahistidine tag and an HA epitope tag at the carboxyl terminus. Highly conserved charged and aromatic residues were selected for mutagenesis, as well as a substitution that occurs as a secondary mutation in Leber's hereditary optic neuropathy (LHON). Membranes from the mutant strains were tested for production of subunit N by immunoblots and for NADH-linked activities. Mutants with substitutions at six different positions (K158, K217, H224, K247, Y300, and K395) had rates of deamino-NADH oxidase activity that were no more than 50% of that of the wild type and had reduced rates of proton translocation. These mutants also showed enhanced inhibition by decylubiquinone, indicating that subunit N interacts with quinones. The mutation associated with LHON, G391S, had little effect on these functions.","author":[{"dropping-particle":"","family":"Amarneh","given":"Bilal","non-dropping-particle":"","parse-names":false,"suffix":""},{"dropping-particle":"","family":"Vik","given":"Steven B","non-dropping-particle":"","parse-names":false,"suffix":""}],"container-title":"Biochemistry","id":"ITEM-1","issue":"17","issued":{"date-parts":[["2003","5"]]},"language":"eng","page":"4800-4808","publisher-place":"United States","title":"Mutagenesis of subunit N of the Escherichia coli complex I. Identification of the  initiation codon and the sensitivity of mutants to decylubiquinone.","type":"article-journal","volume":"42"},"uris":["http://www.mendeley.com/documents/?uuid=29689110-0ea3-4187-b44d-a7de5828f6d4"]}],"mendeley":{"formattedCitation":"(Amarneh &amp; Vik, 2003)","plainTextFormattedCitation":"(Amarneh &amp; Vik, 2003)","previouslyFormattedCitation":"(Amarneh &amp; Vik, 2003)"},"properties":{"noteIndex":0},"schema":"https://github.com/citation-style-language/schema/raw/master/csl-citation.json"}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(Amarneh &amp; Vik, 2003)</w:t>
            </w:r>
            <w:r w:rsidRPr="00E97FC1">
              <w:rPr>
                <w:rFonts w:ascii="Helvetica" w:hAnsi="Helvetica" w:cs="Helvetica"/>
                <w:b/>
                <w:bCs/>
                <w:sz w:val="16"/>
                <w:szCs w:val="20"/>
                <w:lang w:val="en-GB"/>
              </w:rPr>
              <w:fldChar w:fldCharType="end"/>
            </w:r>
          </w:p>
        </w:tc>
      </w:tr>
      <w:tr w:rsidR="002471A8" w:rsidRPr="00E97FC1" w14:paraId="41150F3A" w14:textId="77777777" w:rsidTr="002471A8">
        <w:trPr>
          <w:trHeight w:val="65"/>
        </w:trPr>
        <w:tc>
          <w:tcPr>
            <w:tcW w:w="1165" w:type="dxa"/>
          </w:tcPr>
          <w:p w14:paraId="34FF152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Y300S</w:t>
            </w:r>
          </w:p>
        </w:tc>
        <w:tc>
          <w:tcPr>
            <w:tcW w:w="2700" w:type="dxa"/>
            <w:vMerge/>
          </w:tcPr>
          <w:p w14:paraId="38DB96D1" w14:textId="77777777" w:rsidR="002471A8" w:rsidRPr="00E97FC1" w:rsidRDefault="002471A8" w:rsidP="002471A8">
            <w:pPr>
              <w:rPr>
                <w:rFonts w:ascii="Helvetica" w:hAnsi="Helvetica" w:cs="Helvetica"/>
                <w:bCs/>
                <w:lang w:val="en-GB"/>
              </w:rPr>
            </w:pPr>
          </w:p>
        </w:tc>
        <w:tc>
          <w:tcPr>
            <w:tcW w:w="1440" w:type="dxa"/>
          </w:tcPr>
          <w:p w14:paraId="5B35B05B"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35BB8A7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76BCF224"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50%</w:t>
            </w:r>
          </w:p>
        </w:tc>
        <w:tc>
          <w:tcPr>
            <w:tcW w:w="1080" w:type="dxa"/>
          </w:tcPr>
          <w:p w14:paraId="49A23E4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80%</w:t>
            </w:r>
          </w:p>
        </w:tc>
        <w:tc>
          <w:tcPr>
            <w:tcW w:w="1260" w:type="dxa"/>
          </w:tcPr>
          <w:p w14:paraId="703BCC2F" w14:textId="217E83B6"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{"citationItems":[{"id":"ITEM-1","itemData":{"DOI":"10.1021/bi0340346","ISSN":"0006-2960 (Print)","PMID":"12718520","abstract":"The last gene in the nuo operon of Escherichia coli, nuoN, encodes a membrane-bound  subunit of Complex I (NADH:ubiquinone oxidoreductase). In this report, the gene for subunit N was disrupted by a 163 bp deletion in the chromosome, resulting in the loss of Complex I function, as measured by deamino-NADH oxidase activity. This activity could be recovered after transformation of the mutant strain by a plasmid that contains the previously identified nuoN gene and the upstream intergenic region between nuoM and nuoN. Mutagenesis of the first ATG downstream of nuoM led to a loss of function, indicating that this is the likely initiation codon for nuoN, and predicting a protein of 485 amino acids and 52 044 Da. Thirty site-specific mutations in nuoN at 19 different positions were constructed in a vector that expresses the full-length subunit N with both an octahistidine tag and an HA epitope tag at the carboxyl terminus. Highly conserved charged and aromatic residues were selected for mutagenesis, as well as a substitution that occurs as a secondary mutation in Leber's hereditary optic neuropathy (LHON). Membranes from the mutant strains were tested for production of subunit N by immunoblots and for NADH-linked activities. Mutants with substitutions at six different positions (K158, K217, H224, K247, Y300, and K395) had rates of deamino-NADH oxidase activity that were no more than 50% of that of the wild type and had reduced rates of proton translocation. These mutants also showed enhanced inhibition by decylubiquinone, indicating that subunit N interacts with quinones. The mutation associated with LHON, G391S, had little effect on these functions.","author":[{"dropping-particle":"","family":"Amarneh","given":"Bilal","non-dropping-particle":"","parse-names":false,"suffix":""},{"dropping-particle":"","family":"Vik","given":"Steven B","non-dropping-particle":"","parse-names":false,"suffix":""}],"container-title":"Biochemistry","id":"ITEM-1","issue":"17","issued":{"date-parts":[["2003","5"]]},"language":"eng","page":"4800-4808","publisher-place":"United States","title":"Mutagenesis of subunit N of the Escherichia coli complex I. Identification of the  initiation codon and the sensitivity of mutants to decylubiquinone.","type":"article-journal","volume":"42"},"uris":["http://www.mendeley.com/documents/?uuid=29689110-0ea3-4187-b44d-a7de5828f6d4"]}],"mendeley":{"formattedCitation":"(Amarneh &amp; Vik, 2003)","plainTextFormattedCitation":"(Amarneh &amp; Vik, 2003)","previouslyFormattedCitation":"(Amarneh &amp; Vik, 2003)"},"properties":{"noteIndex":0},"schema":"https://github.com/citation-style-language/schema/raw/master/csl-citation.json"}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(Amarneh &amp; Vik, 2003)</w:t>
            </w:r>
            <w:r w:rsidRPr="00E97FC1">
              <w:rPr>
                <w:rFonts w:ascii="Helvetica" w:hAnsi="Helvetica" w:cs="Helvetica"/>
                <w:b/>
                <w:bCs/>
                <w:sz w:val="16"/>
                <w:szCs w:val="20"/>
                <w:lang w:val="en-GB"/>
              </w:rPr>
              <w:fldChar w:fldCharType="end"/>
            </w:r>
          </w:p>
        </w:tc>
      </w:tr>
    </w:tbl>
    <w:p w14:paraId="25161F61" w14:textId="77777777" w:rsidR="002471A8" w:rsidRPr="00E97FC1" w:rsidRDefault="002471A8" w:rsidP="002471A8">
      <w:pPr>
        <w:rPr>
          <w:rFonts w:ascii="Helvetica" w:hAnsi="Helvetica" w:cs="Helvetica"/>
          <w:lang w:val="en-GB"/>
        </w:rPr>
      </w:pPr>
    </w:p>
    <w:p w14:paraId="5CBE8C4D" w14:textId="77777777" w:rsidR="002471A8" w:rsidRPr="00E97FC1" w:rsidRDefault="002471A8" w:rsidP="002471A8">
      <w:pPr>
        <w:ind w:left="720"/>
        <w:rPr>
          <w:rFonts w:ascii="Helvetica" w:hAnsi="Helvetica" w:cs="Helvetica"/>
          <w:b/>
          <w:lang w:val="en-GB"/>
        </w:rPr>
      </w:pPr>
      <w:r w:rsidRPr="00E97FC1">
        <w:rPr>
          <w:rFonts w:ascii="Helvetica" w:hAnsi="Helvetica" w:cs="Helvetica"/>
          <w:b/>
          <w:lang w:val="en-GB"/>
        </w:rPr>
        <w:t>b) Mutations in the membrane arm, continuation</w:t>
      </w:r>
    </w:p>
    <w:p w14:paraId="15194B6E" w14:textId="77777777" w:rsidR="002471A8" w:rsidRPr="00E97FC1" w:rsidRDefault="002471A8" w:rsidP="002471A8">
      <w:pPr>
        <w:rPr>
          <w:rFonts w:ascii="Helvetica" w:hAnsi="Helvetica" w:cs="Helvetica"/>
          <w:lang w:val="en-GB"/>
        </w:rPr>
      </w:pPr>
    </w:p>
    <w:tbl>
      <w:tblPr>
        <w:tblW w:w="10075" w:type="dxa"/>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0A0" w:firstRow="1" w:lastRow="0" w:firstColumn="1" w:lastColumn="0" w:noHBand="0" w:noVBand="0"/>
      </w:tblPr>
      <w:tblGrid>
        <w:gridCol w:w="1435"/>
        <w:gridCol w:w="2430"/>
        <w:gridCol w:w="1440"/>
        <w:gridCol w:w="1170"/>
        <w:gridCol w:w="1260"/>
        <w:gridCol w:w="1080"/>
        <w:gridCol w:w="1260"/>
      </w:tblGrid>
      <w:tr w:rsidR="002471A8" w:rsidRPr="00E97FC1" w14:paraId="1A0A0564" w14:textId="77777777" w:rsidTr="00DC25DF">
        <w:tc>
          <w:tcPr>
            <w:tcW w:w="1435" w:type="dxa"/>
            <w:vMerge w:val="restart"/>
          </w:tcPr>
          <w:p w14:paraId="066F6C31" w14:textId="77777777" w:rsidR="002471A8" w:rsidRPr="00E97FC1" w:rsidRDefault="002471A8" w:rsidP="002471A8">
            <w:pPr>
              <w:rPr>
                <w:rFonts w:ascii="Helvetica" w:hAnsi="Helvetica" w:cs="Helvetica"/>
                <w:sz w:val="22"/>
                <w:lang w:val="en-GB"/>
              </w:rPr>
            </w:pPr>
            <w:r w:rsidRPr="00E97FC1">
              <w:rPr>
                <w:rFonts w:ascii="Helvetica" w:hAnsi="Helvetica" w:cs="Helvetica"/>
                <w:sz w:val="22"/>
                <w:lang w:val="en-GB"/>
              </w:rPr>
              <w:t>Mutation</w:t>
            </w:r>
          </w:p>
        </w:tc>
        <w:tc>
          <w:tcPr>
            <w:tcW w:w="2430" w:type="dxa"/>
            <w:vMerge w:val="restart"/>
          </w:tcPr>
          <w:p w14:paraId="7B96543C"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Amino acid location</w:t>
            </w:r>
          </w:p>
        </w:tc>
        <w:tc>
          <w:tcPr>
            <w:tcW w:w="1440" w:type="dxa"/>
            <w:vMerge w:val="restart"/>
          </w:tcPr>
          <w:p w14:paraId="512A8A17"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Expression/assembly</w:t>
            </w:r>
          </w:p>
        </w:tc>
        <w:tc>
          <w:tcPr>
            <w:tcW w:w="3510" w:type="dxa"/>
            <w:gridSpan w:val="3"/>
          </w:tcPr>
          <w:p w14:paraId="68007DC7"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Effect</w:t>
            </w:r>
          </w:p>
        </w:tc>
        <w:tc>
          <w:tcPr>
            <w:tcW w:w="1260" w:type="dxa"/>
            <w:vMerge w:val="restart"/>
          </w:tcPr>
          <w:p w14:paraId="75E62AEF"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Reference and comments</w:t>
            </w:r>
          </w:p>
        </w:tc>
      </w:tr>
      <w:tr w:rsidR="002471A8" w:rsidRPr="00E97FC1" w14:paraId="1FFC4E5F" w14:textId="77777777" w:rsidTr="00DC25DF">
        <w:tc>
          <w:tcPr>
            <w:tcW w:w="1435" w:type="dxa"/>
            <w:vMerge/>
          </w:tcPr>
          <w:p w14:paraId="0D7D9CD5" w14:textId="77777777" w:rsidR="002471A8" w:rsidRPr="00E97FC1" w:rsidRDefault="002471A8" w:rsidP="002471A8">
            <w:pPr>
              <w:jc w:val="center"/>
              <w:rPr>
                <w:rFonts w:ascii="Helvetica" w:hAnsi="Helvetica" w:cs="Helvetica"/>
                <w:sz w:val="22"/>
                <w:lang w:val="en-GB"/>
              </w:rPr>
            </w:pPr>
          </w:p>
        </w:tc>
        <w:tc>
          <w:tcPr>
            <w:tcW w:w="2430" w:type="dxa"/>
            <w:vMerge/>
          </w:tcPr>
          <w:p w14:paraId="26F64024" w14:textId="77777777" w:rsidR="002471A8" w:rsidRPr="00E97FC1" w:rsidRDefault="002471A8" w:rsidP="002471A8">
            <w:pPr>
              <w:jc w:val="center"/>
              <w:rPr>
                <w:rFonts w:ascii="Helvetica" w:hAnsi="Helvetica" w:cs="Helvetica"/>
                <w:sz w:val="22"/>
                <w:lang w:val="en-GB"/>
              </w:rPr>
            </w:pPr>
          </w:p>
        </w:tc>
        <w:tc>
          <w:tcPr>
            <w:tcW w:w="1440" w:type="dxa"/>
            <w:vMerge/>
          </w:tcPr>
          <w:p w14:paraId="500777B9" w14:textId="77777777" w:rsidR="002471A8" w:rsidRPr="00E97FC1" w:rsidRDefault="002471A8" w:rsidP="002471A8">
            <w:pPr>
              <w:jc w:val="center"/>
              <w:rPr>
                <w:rFonts w:ascii="Helvetica" w:hAnsi="Helvetica" w:cs="Helvetica"/>
                <w:sz w:val="22"/>
                <w:lang w:val="en-GB"/>
              </w:rPr>
            </w:pPr>
          </w:p>
        </w:tc>
        <w:tc>
          <w:tcPr>
            <w:tcW w:w="1170" w:type="dxa"/>
          </w:tcPr>
          <w:p w14:paraId="4988DB75"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FMN-site</w:t>
            </w:r>
          </w:p>
          <w:p w14:paraId="2257FCE2"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activity</w:t>
            </w:r>
          </w:p>
        </w:tc>
        <w:tc>
          <w:tcPr>
            <w:tcW w:w="1260" w:type="dxa"/>
          </w:tcPr>
          <w:p w14:paraId="248D3ABA"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Oxido-reductase activity</w:t>
            </w:r>
          </w:p>
        </w:tc>
        <w:tc>
          <w:tcPr>
            <w:tcW w:w="1080" w:type="dxa"/>
          </w:tcPr>
          <w:p w14:paraId="5912B621"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Proton pumping activity</w:t>
            </w:r>
          </w:p>
        </w:tc>
        <w:tc>
          <w:tcPr>
            <w:tcW w:w="1260" w:type="dxa"/>
            <w:vMerge/>
          </w:tcPr>
          <w:p w14:paraId="3DE1F18C" w14:textId="77777777" w:rsidR="002471A8" w:rsidRPr="00E97FC1" w:rsidRDefault="002471A8" w:rsidP="002471A8">
            <w:pPr>
              <w:jc w:val="center"/>
              <w:rPr>
                <w:rFonts w:ascii="Helvetica" w:hAnsi="Helvetica" w:cs="Helvetica"/>
                <w:sz w:val="22"/>
                <w:lang w:val="en-GB"/>
              </w:rPr>
            </w:pPr>
          </w:p>
        </w:tc>
      </w:tr>
      <w:tr w:rsidR="002471A8" w:rsidRPr="00E97FC1" w14:paraId="07B4B1A1" w14:textId="77777777" w:rsidTr="00DC25DF">
        <w:trPr>
          <w:trHeight w:val="65"/>
        </w:trPr>
        <w:tc>
          <w:tcPr>
            <w:tcW w:w="10075" w:type="dxa"/>
            <w:gridSpan w:val="7"/>
          </w:tcPr>
          <w:p w14:paraId="2D574311" w14:textId="77777777" w:rsidR="002471A8" w:rsidRPr="00E97FC1" w:rsidRDefault="002471A8" w:rsidP="002471A8">
            <w:pPr>
              <w:rPr>
                <w:rFonts w:ascii="Helvetica" w:hAnsi="Helvetica" w:cs="Helvetica"/>
                <w:noProof/>
                <w:sz w:val="22"/>
                <w:lang w:val="en-GB"/>
              </w:rPr>
            </w:pPr>
            <w:r w:rsidRPr="00E97FC1">
              <w:rPr>
                <w:rFonts w:ascii="Helvetica" w:hAnsi="Helvetica" w:cs="Helvetica"/>
                <w:b/>
                <w:bCs/>
                <w:sz w:val="28"/>
                <w:lang w:val="en-GB"/>
              </w:rPr>
              <w:t>NuoN</w:t>
            </w:r>
          </w:p>
        </w:tc>
      </w:tr>
      <w:tr w:rsidR="002471A8" w:rsidRPr="00E97FC1" w14:paraId="016C92AD" w14:textId="77777777" w:rsidTr="00DC25DF">
        <w:trPr>
          <w:trHeight w:val="65"/>
        </w:trPr>
        <w:tc>
          <w:tcPr>
            <w:tcW w:w="1435" w:type="dxa"/>
          </w:tcPr>
          <w:p w14:paraId="3A0F27C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P387A</w:t>
            </w:r>
          </w:p>
        </w:tc>
        <w:tc>
          <w:tcPr>
            <w:tcW w:w="2430" w:type="dxa"/>
            <w:vMerge w:val="restart"/>
          </w:tcPr>
          <w:p w14:paraId="727609A2" w14:textId="77777777" w:rsidR="002471A8" w:rsidRPr="00E97FC1" w:rsidRDefault="002471A8" w:rsidP="002471A8">
            <w:pPr>
              <w:rPr>
                <w:rFonts w:ascii="Helvetica" w:hAnsi="Helvetica" w:cs="Helvetica"/>
                <w:bCs/>
                <w:sz w:val="20"/>
                <w:szCs w:val="20"/>
                <w:lang w:val="en-GB"/>
              </w:rPr>
            </w:pPr>
          </w:p>
        </w:tc>
        <w:tc>
          <w:tcPr>
            <w:tcW w:w="1440" w:type="dxa"/>
          </w:tcPr>
          <w:p w14:paraId="355C6DD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35EF5AE1"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83%</w:t>
            </w:r>
          </w:p>
        </w:tc>
        <w:tc>
          <w:tcPr>
            <w:tcW w:w="1260" w:type="dxa"/>
          </w:tcPr>
          <w:p w14:paraId="3A7E27E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52%</w:t>
            </w:r>
          </w:p>
        </w:tc>
        <w:tc>
          <w:tcPr>
            <w:tcW w:w="1080" w:type="dxa"/>
          </w:tcPr>
          <w:p w14:paraId="14CEA62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reduced</w:t>
            </w:r>
          </w:p>
        </w:tc>
        <w:tc>
          <w:tcPr>
            <w:tcW w:w="1260" w:type="dxa"/>
          </w:tcPr>
          <w:p w14:paraId="56C93E6C" w14:textId="378F8234"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{"citationItems":[{"id":"ITEM-1","itemData":{"DOI":"10.1074/jbc.M113.482968","ISSN":"1083-351X (Electronic)","PMID":"23864658","abstract":"The proton-translocating NADH-quinone oxidoreductase (complex I/NDH-1) contains a peripheral and a membrane domain. Three antiporter-like subunits in the membrane domain, NuoL, NuoM, and NuoN (ND5, ND4 and ND2, respectively), are structurally similar. We analyzed the role of NuoN in Escherichia coli NDH-1. The lysine residue at position 395 in NuoN (NLys(395)) is conserved in NuoL (LLys(399)) but is replaced by glutamic acid (MGlu(407)) in NuoM. Our mutation study on NLys(395) suggests that this residue participates in the proton translocation. Furthermore, we found that MGlu(407) is also essential and most likely interacts with conserved LArg(175). Glutamic acids, NGlu(133), MGlu(144), and LGlu(144), are corresponding residues. Unlike mutants of MGlu(144) and LGlu(144), mutation of NGlu(133) scarcely affected the energy-transducing activities. However, a double mutant of NGlu(133) and nearby KGlu(72) showed significant inhibition of these activities. This suggests that NGlu(133) bears a functional role similar to LGlu(144) and MGlu(144) but its mutation can be partially compensated by the nearby carboxyl residue. Conserved prolines located at loops of discontinuous transmembrane helices of NuoL, NuoM, and NuoN were shown to play a similar role in the energy-transducing activity. It seems likely that NuoL, NuoM, and NuoN pump protons by a similar mechanism. Our data also revealed that NLys(158) is one of the key interaction points with helix HL in NuoL. A truncation study indicated that the C-terminal amphipathic segments of NTM14 interacts with the Mbeta sheet located on the opposite side of helix HL. Taken together, the mechanism of H(+) translocation in NDH-1 is discussed.","author":[{"dropping-particle":"","family":"Sato","given":"Motoaki","non-dropping-particle":"","parse-names":false,"suffix":""},{"dropping-particle":"","family":"Sinha","given":"Prem Kumar","non-dropping-particle":"","parse-names":false,"suffix":""},{"dropping-particle":"","family":"Torres-Bacete","given":"Jesus","non-dropping-particle":"","parse-names":false,"suffix":""},{"dropping-particle":"","family":"Matsuno-Yagi","given":"Akemi","non-dropping-particle":"","parse-names":false,"suffix":""},{"dropping-particle":"","family":"Yagi","given":"Takao","non-dropping-particle":"","parse-names":false,"suffix":""}],"container-title":"The Journal of biological chemistry","id":"ITEM-1","issue":"34","issued":{"date-parts":[["2013","8"]]},"language":"eng","page":"24705-24716","publisher-place":"United States","title":"Energy transducing roles of antiporter-like subunits in Escherichia coli NDH-1 with main focus on subunit NuoN (ND2).","type":"article-journal","volume":"288"},"uris":["http://www.mendeley.com/documents/?uuid=0db84ce5-f2b7-4f63-9ef8-4e12ef999eec"]}],"mendeley":{"formattedCitation":"(Sato &lt;i&gt;et al&lt;/i&gt;, 2013)","plainTextFormattedCitation":"(Sato et al, 2013)","previouslyFormattedCitation":"(Sato &lt;i&gt;et al&lt;/i&gt;, 2013)"},"properties":{"noteIndex":0},"schema":"https://github.com/citation-style-language/schema/raw/master/csl-citation.json"}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(Sato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2013)</w:t>
            </w:r>
            <w:r w:rsidRPr="00E97FC1">
              <w:rPr>
                <w:rFonts w:ascii="Helvetica" w:hAnsi="Helvetica" w:cs="Helvetica"/>
                <w:b/>
                <w:bCs/>
                <w:sz w:val="16"/>
                <w:szCs w:val="20"/>
                <w:lang w:val="en-GB"/>
              </w:rPr>
              <w:fldChar w:fldCharType="end"/>
            </w:r>
          </w:p>
        </w:tc>
      </w:tr>
      <w:tr w:rsidR="002471A8" w:rsidRPr="00E97FC1" w14:paraId="3B76241E" w14:textId="77777777" w:rsidTr="00DC25DF">
        <w:trPr>
          <w:trHeight w:val="65"/>
        </w:trPr>
        <w:tc>
          <w:tcPr>
            <w:tcW w:w="1435" w:type="dxa"/>
          </w:tcPr>
          <w:p w14:paraId="3D43975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P387G</w:t>
            </w:r>
          </w:p>
        </w:tc>
        <w:tc>
          <w:tcPr>
            <w:tcW w:w="2430" w:type="dxa"/>
            <w:vMerge/>
          </w:tcPr>
          <w:p w14:paraId="6512C48B" w14:textId="77777777" w:rsidR="002471A8" w:rsidRPr="00E97FC1" w:rsidRDefault="002471A8" w:rsidP="002471A8">
            <w:pPr>
              <w:rPr>
                <w:rFonts w:ascii="Helvetica" w:hAnsi="Helvetica" w:cs="Helvetica"/>
                <w:bCs/>
                <w:sz w:val="20"/>
                <w:szCs w:val="20"/>
                <w:lang w:val="en-GB"/>
              </w:rPr>
            </w:pPr>
          </w:p>
        </w:tc>
        <w:tc>
          <w:tcPr>
            <w:tcW w:w="1440" w:type="dxa"/>
          </w:tcPr>
          <w:p w14:paraId="1C0AF42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170" w:type="dxa"/>
          </w:tcPr>
          <w:p w14:paraId="6B45F02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103%</w:t>
            </w:r>
          </w:p>
        </w:tc>
        <w:tc>
          <w:tcPr>
            <w:tcW w:w="1260" w:type="dxa"/>
          </w:tcPr>
          <w:p w14:paraId="751A325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91%</w:t>
            </w:r>
          </w:p>
        </w:tc>
        <w:tc>
          <w:tcPr>
            <w:tcW w:w="1080" w:type="dxa"/>
          </w:tcPr>
          <w:p w14:paraId="090B679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90%</w:t>
            </w:r>
          </w:p>
        </w:tc>
        <w:tc>
          <w:tcPr>
            <w:tcW w:w="1260" w:type="dxa"/>
          </w:tcPr>
          <w:p w14:paraId="1592CAAE" w14:textId="400262E7"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{"citationItems":[{"id":"ITEM-1","itemData":{"DOI":"10.1074/jbc.M113.482968","ISSN":"1083-351X (Electronic)","PMID":"23864658","abstract":"The proton-translocating NADH-quinone oxidoreductase (complex I/NDH-1) contains a peripheral and a membrane domain. Three antiporter-like subunits in the membrane domain, NuoL, NuoM, and NuoN (ND5, ND4 and ND2, respectively), are structurally similar. We analyzed the role of NuoN in Escherichia coli NDH-1. The lysine residue at position 395 in NuoN (NLys(395)) is conserved in NuoL (LLys(399)) but is replaced by glutamic acid (MGlu(407)) in NuoM. Our mutation study on NLys(395) suggests that this residue participates in the proton translocation. Furthermore, we found that MGlu(407) is also essential and most likely interacts with conserved LArg(175). Glutamic acids, NGlu(133), MGlu(144), and LGlu(144), are corresponding residues. Unlike mutants of MGlu(144) and LGlu(144), mutation of NGlu(133) scarcely affected the energy-transducing activities. However, a double mutant of NGlu(133) and nearby KGlu(72) showed significant inhibition of these activities. This suggests that NGlu(133) bears a functional role similar to LGlu(144) and MGlu(144) but its mutation can be partially compensated by the nearby carboxyl residue. Conserved prolines located at loops of discontinuous transmembrane helices of NuoL, NuoM, and NuoN were shown to play a similar role in the energy-transducing activity. It seems likely that NuoL, NuoM, and NuoN pump protons by a similar mechanism. Our data also revealed that NLys(158) is one of the key interaction points with helix HL in NuoL. A truncation study indicated that the C-terminal amphipathic segments of NTM14 interacts with the Mbeta sheet located on the opposite side of helix HL. Taken together, the mechanism of H(+) translocation in NDH-1 is discussed.","author":[{"dropping-particle":"","family":"Sato","given":"Motoaki","non-dropping-particle":"","parse-names":false,"suffix":""},{"dropping-particle":"","family":"Sinha","given":"Prem Kumar","non-dropping-particle":"","parse-names":false,"suffix":""},{"dropping-particle":"","family":"Torres-Bacete","given":"Jesus","non-dropping-particle":"","parse-names":false,"suffix":""},{"dropping-particle":"","family":"Matsuno-Yagi","given":"Akemi","non-dropping-particle":"","parse-names":false,"suffix":""},{"dropping-particle":"","family":"Yagi","given":"Takao","non-dropping-particle":"","parse-names":false,"suffix":""}],"container-title":"The Journal of biological chemistry","id":"ITEM-1","issue":"34","issued":{"date-parts":[["2013","8"]]},"language":"eng","page":"24705-24716","publisher-place":"United States","title":"Energy transducing roles of antiporter-like subunits in Escherichia coli NDH-1 with main focus on subunit NuoN (ND2).","type":"article-journal","volume":"288"},"uris":["http://www.mendeley.com/documents/?uuid=0db84ce5-f2b7-4f63-9ef8-4e12ef999eec"]}],"mendeley":{"formattedCitation":"(Sato &lt;i&gt;et al&lt;/i&gt;, 2013)","plainTextFormattedCitation":"(Sato et al, 2013)","previouslyFormattedCitation":"(Sato &lt;i&gt;et al&lt;/i&gt;, 2013)"},"properties":{"noteIndex":0},"schema":"https://github.com/citation-style-language/schema/raw/master/csl-citation.json"}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(Sato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2013)</w:t>
            </w:r>
            <w:r w:rsidRPr="00E97FC1">
              <w:rPr>
                <w:rFonts w:ascii="Helvetica" w:hAnsi="Helvetica" w:cs="Helvetica"/>
                <w:b/>
                <w:bCs/>
                <w:sz w:val="16"/>
                <w:szCs w:val="20"/>
                <w:lang w:val="en-GB"/>
              </w:rPr>
              <w:fldChar w:fldCharType="end"/>
            </w:r>
          </w:p>
        </w:tc>
      </w:tr>
      <w:tr w:rsidR="002471A8" w:rsidRPr="00E97FC1" w14:paraId="2CBC1972" w14:textId="77777777" w:rsidTr="00DC25DF">
        <w:trPr>
          <w:trHeight w:val="65"/>
        </w:trPr>
        <w:tc>
          <w:tcPr>
            <w:tcW w:w="1435" w:type="dxa"/>
          </w:tcPr>
          <w:p w14:paraId="3E54618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G391S</w:t>
            </w:r>
          </w:p>
        </w:tc>
        <w:tc>
          <w:tcPr>
            <w:tcW w:w="2430" w:type="dxa"/>
          </w:tcPr>
          <w:p w14:paraId="462D33BB"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near central axe</w:t>
            </w:r>
          </w:p>
        </w:tc>
        <w:tc>
          <w:tcPr>
            <w:tcW w:w="1440" w:type="dxa"/>
          </w:tcPr>
          <w:p w14:paraId="4F266AA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0FD704E1"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46E2EEA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90%</w:t>
            </w:r>
          </w:p>
        </w:tc>
        <w:tc>
          <w:tcPr>
            <w:tcW w:w="1080" w:type="dxa"/>
          </w:tcPr>
          <w:p w14:paraId="0AEA380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56739F88" w14:textId="0465C431"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{"citationItems":[{"id":"ITEM-1","itemData":{"DOI":"10.1021/bi0340346","ISSN":"0006-2960 (Print)","PMID":"12718520","abstract":"The last gene in the nuo operon of Escherichia coli, nuoN, encodes a membrane-bound  subunit of Complex I (NADH:ubiquinone oxidoreductase). In this report, the gene for subunit N was disrupted by a 163 bp deletion in the chromosome, resulting in the loss of Complex I function, as measured by deamino-NADH oxidase activity. This activity could be recovered after transformation of the mutant strain by a plasmid that contains the previously identified nuoN gene and the upstream intergenic region between nuoM and nuoN. Mutagenesis of the first ATG downstream of nuoM led to a loss of function, indicating that this is the likely initiation codon for nuoN, and predicting a protein of 485 amino acids and 52 044 Da. Thirty site-specific mutations in nuoN at 19 different positions were constructed in a vector that expresses the full-length subunit N with both an octahistidine tag and an HA epitope tag at the carboxyl terminus. Highly conserved charged and aromatic residues were selected for mutagenesis, as well as a substitution that occurs as a secondary mutation in Leber's hereditary optic neuropathy (LHON). Membranes from the mutant strains were tested for production of subunit N by immunoblots and for NADH-linked activities. Mutants with substitutions at six different positions (K158, K217, H224, K247, Y300, and K395) had rates of deamino-NADH oxidase activity that were no more than 50% of that of the wild type and had reduced rates of proton translocation. These mutants also showed enhanced inhibition by decylubiquinone, indicating that subunit N interacts with quinones. The mutation associated with LHON, G391S, had little effect on these functions.","author":[{"dropping-particle":"","family":"Amarneh","given":"Bilal","non-dropping-particle":"","parse-names":false,"suffix":""},{"dropping-particle":"","family":"Vik","given":"Steven B","non-dropping-particle":"","parse-names":false,"suffix":""}],"container-title":"Biochemistry","id":"ITEM-1","issue":"17","issued":{"date-parts":[["2003","5"]]},"language":"eng","page":"4800-4808","publisher-place":"United States","title":"Mutagenesis of subunit N of the Escherichia coli complex I. Identification of the  initiation codon and the sensitivity of mutants to decylubiquinone.","type":"article-journal","volume":"42"},"uris":["http://www.mendeley.com/documents/?uuid=29689110-0ea3-4187-b44d-a7de5828f6d4"]}],"mendeley":{"formattedCitation":"(Amarneh &amp; Vik, 2003)","plainTextFormattedCitation":"(Amarneh &amp; Vik, 2003)","previouslyFormattedCitation":"(Amarneh &amp; Vik, 2003)"},"properties":{"noteIndex":0},"schema":"https://github.com/citation-style-language/schema/raw/master/csl-citation.json"}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(Amarneh &amp; Vik, 2003)</w:t>
            </w:r>
            <w:r w:rsidRPr="00E97FC1">
              <w:rPr>
                <w:rFonts w:ascii="Helvetica" w:hAnsi="Helvetica" w:cs="Helvetica"/>
                <w:b/>
                <w:bCs/>
                <w:sz w:val="16"/>
                <w:szCs w:val="20"/>
                <w:lang w:val="en-GB"/>
              </w:rPr>
              <w:fldChar w:fldCharType="end"/>
            </w:r>
          </w:p>
        </w:tc>
      </w:tr>
      <w:tr w:rsidR="002471A8" w:rsidRPr="00E97FC1" w14:paraId="2DB2148D" w14:textId="77777777" w:rsidTr="00DC25DF">
        <w:trPr>
          <w:trHeight w:val="65"/>
        </w:trPr>
        <w:tc>
          <w:tcPr>
            <w:tcW w:w="1435" w:type="dxa"/>
          </w:tcPr>
          <w:p w14:paraId="4728F99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K395C</w:t>
            </w:r>
          </w:p>
        </w:tc>
        <w:tc>
          <w:tcPr>
            <w:tcW w:w="2430" w:type="dxa"/>
            <w:vMerge w:val="restart"/>
          </w:tcPr>
          <w:p w14:paraId="09FCD5A7"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TM12, central axe, NuoM interface</w:t>
            </w:r>
          </w:p>
        </w:tc>
        <w:tc>
          <w:tcPr>
            <w:tcW w:w="1440" w:type="dxa"/>
          </w:tcPr>
          <w:p w14:paraId="439D246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7E8B9C1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4CEF785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5%</w:t>
            </w:r>
          </w:p>
        </w:tc>
        <w:tc>
          <w:tcPr>
            <w:tcW w:w="1080" w:type="dxa"/>
          </w:tcPr>
          <w:p w14:paraId="19E9848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2E8E8C88" w14:textId="2E7AA32C"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{"citationItems":[{"id":"ITEM-1","itemData":{"DOI":"10.1021/bi0340346","ISSN":"0006-2960 (Print)","PMID":"12718520","abstract":"The last gene in the nuo operon of Escherichia coli, nuoN, encodes a membrane-bound  subunit of Complex I (NADH:ubiquinone oxidoreductase). In this report, the gene for subunit N was disrupted by a 163 bp deletion in the chromosome, resulting in the loss of Complex I function, as measured by deamino-NADH oxidase activity. This activity could be recovered after transformation of the mutant strain by a plasmid that contains the previously identified nuoN gene and the upstream intergenic region between nuoM and nuoN. Mutagenesis of the first ATG downstream of nuoM led to a loss of function, indicating that this is the likely initiation codon for nuoN, and predicting a protein of 485 amino acids and 52 044 Da. Thirty site-specific mutations in nuoN at 19 different positions were constructed in a vector that expresses the full-length subunit N with both an octahistidine tag and an HA epitope tag at the carboxyl terminus. Highly conserved charged and aromatic residues were selected for mutagenesis, as well as a substitution that occurs as a secondary mutation in Leber's hereditary optic neuropathy (LHON). Membranes from the mutant strains were tested for production of subunit N by immunoblots and for NADH-linked activities. Mutants with substitutions at six different positions (K158, K217, H224, K247, Y300, and K395) had rates of deamino-NADH oxidase activity that were no more than 50% of that of the wild type and had reduced rates of proton translocation. These mutants also showed enhanced inhibition by decylubiquinone, indicating that subunit N interacts with quinones. The mutation associated with LHON, G391S, had little effect on these functions.","author":[{"dropping-particle":"","family":"Amarneh","given":"Bilal","non-dropping-particle":"","parse-names":false,"suffix":""},{"dropping-particle":"","family":"Vik","given":"Steven B","non-dropping-particle":"","parse-names":false,"suffix":""}],"container-title":"Biochemistry","id":"ITEM-1","issue":"17","issued":{"date-parts":[["2003","5"]]},"language":"eng","page":"4800-4808","publisher-place":"United States","title":"Mutagenesis of subunit N of the Escherichia coli complex I. Identification of the  initiation codon and the sensitivity of mutants to decylubiquinone.","type":"article-journal","volume":"42"},"uris":["http://www.mendeley.com/documents/?uuid=29689110-0ea3-4187-b44d-a7de5828f6d4"]}],"mendeley":{"formattedCitation":"(Amarneh &amp; Vik, 2003)","plainTextFormattedCitation":"(Amarneh &amp; Vik, 2003)","previouslyFormattedCitation":"(Amarneh &amp; Vik, 2003)"},"properties":{"noteIndex":0},"schema":"https://github.com/citation-style-language/schema/raw/master/csl-citation.json"}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(Amarneh &amp; Vik, 2003)</w:t>
            </w:r>
            <w:r w:rsidRPr="00E97FC1">
              <w:rPr>
                <w:rFonts w:ascii="Helvetica" w:hAnsi="Helvetica" w:cs="Helvetica"/>
                <w:b/>
                <w:bCs/>
                <w:sz w:val="16"/>
                <w:szCs w:val="20"/>
                <w:lang w:val="en-GB"/>
              </w:rPr>
              <w:fldChar w:fldCharType="end"/>
            </w:r>
          </w:p>
        </w:tc>
      </w:tr>
      <w:tr w:rsidR="002471A8" w:rsidRPr="00E97FC1" w14:paraId="75F036C1" w14:textId="77777777" w:rsidTr="00DC25DF">
        <w:trPr>
          <w:trHeight w:val="65"/>
        </w:trPr>
        <w:tc>
          <w:tcPr>
            <w:tcW w:w="1435" w:type="dxa"/>
          </w:tcPr>
          <w:p w14:paraId="23CB223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K395R</w:t>
            </w:r>
          </w:p>
        </w:tc>
        <w:tc>
          <w:tcPr>
            <w:tcW w:w="2430" w:type="dxa"/>
            <w:vMerge/>
          </w:tcPr>
          <w:p w14:paraId="42EC6C46" w14:textId="77777777" w:rsidR="002471A8" w:rsidRPr="00E97FC1" w:rsidRDefault="002471A8" w:rsidP="002471A8">
            <w:pPr>
              <w:rPr>
                <w:rFonts w:ascii="Helvetica" w:hAnsi="Helvetica" w:cs="Helvetica"/>
                <w:sz w:val="20"/>
                <w:lang w:val="en-GB"/>
              </w:rPr>
            </w:pPr>
          </w:p>
        </w:tc>
        <w:tc>
          <w:tcPr>
            <w:tcW w:w="1440" w:type="dxa"/>
          </w:tcPr>
          <w:p w14:paraId="0302A08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16D558D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11BE55B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30%</w:t>
            </w:r>
          </w:p>
        </w:tc>
        <w:tc>
          <w:tcPr>
            <w:tcW w:w="1080" w:type="dxa"/>
          </w:tcPr>
          <w:p w14:paraId="4DEA8ED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3A76ADA4" w14:textId="535C1C98"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{"citationItems":[{"id":"ITEM-1","itemData":{"DOI":"10.1021/bi0340346","ISSN":"0006-2960 (Print)","PMID":"12718520","abstract":"The last gene in the nuo operon of Escherichia coli, nuoN, encodes a membrane-bound  subunit of Complex I (NADH:ubiquinone oxidoreductase). In this report, the gene for subunit N was disrupted by a 163 bp deletion in the chromosome, resulting in the loss of Complex I function, as measured by deamino-NADH oxidase activity. This activity could be recovered after transformation of the mutant strain by a plasmid that contains the previously identified nuoN gene and the upstream intergenic region between nuoM and nuoN. Mutagenesis of the first ATG downstream of nuoM led to a loss of function, indicating that this is the likely initiation codon for nuoN, and predicting a protein of 485 amino acids and 52 044 Da. Thirty site-specific mutations in nuoN at 19 different positions were constructed in a vector that expresses the full-length subunit N with both an octahistidine tag and an HA epitope tag at the carboxyl terminus. Highly conserved charged and aromatic residues were selected for mutagenesis, as well as a substitution that occurs as a secondary mutation in Leber's hereditary optic neuropathy (LHON). Membranes from the mutant strains were tested for production of subunit N by immunoblots and for NADH-linked activities. Mutants with substitutions at six different positions (K158, K217, H224, K247, Y300, and K395) had rates of deamino-NADH oxidase activity that were no more than 50% of that of the wild type and had reduced rates of proton translocation. These mutants also showed enhanced inhibition by decylubiquinone, indicating that subunit N interacts with quinones. The mutation associated with LHON, G391S, had little effect on these functions.","author":[{"dropping-particle":"","family":"Amarneh","given":"Bilal","non-dropping-particle":"","parse-names":false,"suffix":""},{"dropping-particle":"","family":"Vik","given":"Steven B","non-dropping-particle":"","parse-names":false,"suffix":""}],"container-title":"Biochemistry","id":"ITEM-1","issue":"17","issued":{"date-parts":[["2003","5"]]},"language":"eng","page":"4800-4808","publisher-place":"United States","title":"Mutagenesis of subunit N of the Escherichia coli complex I. Identification of the  initiation codon and the sensitivity of mutants to decylubiquinone.","type":"article-journal","volume":"42"},"uris":["http://www.mendeley.com/documents/?uuid=29689110-0ea3-4187-b44d-a7de5828f6d4"]}],"mendeley":{"formattedCitation":"(Amarneh &amp; Vik, 2003)","plainTextFormattedCitation":"(Amarneh &amp; Vik, 2003)","previouslyFormattedCitation":"(Amarneh &amp; Vik, 2003)"},"properties":{"noteIndex":0},"schema":"https://github.com/citation-style-language/schema/raw/master/csl-citation.json"}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(Amarneh &amp; Vik, 2003)</w:t>
            </w:r>
            <w:r w:rsidRPr="00E97FC1">
              <w:rPr>
                <w:rFonts w:ascii="Helvetica" w:hAnsi="Helvetica" w:cs="Helvetica"/>
                <w:b/>
                <w:bCs/>
                <w:sz w:val="16"/>
                <w:szCs w:val="20"/>
                <w:lang w:val="en-GB"/>
              </w:rPr>
              <w:fldChar w:fldCharType="end"/>
            </w:r>
          </w:p>
        </w:tc>
      </w:tr>
      <w:tr w:rsidR="002471A8" w:rsidRPr="00E97FC1" w14:paraId="5D0459FF" w14:textId="77777777" w:rsidTr="00DC25DF">
        <w:trPr>
          <w:trHeight w:val="65"/>
        </w:trPr>
        <w:tc>
          <w:tcPr>
            <w:tcW w:w="1435" w:type="dxa"/>
          </w:tcPr>
          <w:p w14:paraId="1B71839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lastRenderedPageBreak/>
              <w:t>K395R</w:t>
            </w:r>
          </w:p>
        </w:tc>
        <w:tc>
          <w:tcPr>
            <w:tcW w:w="2430" w:type="dxa"/>
            <w:vMerge/>
          </w:tcPr>
          <w:p w14:paraId="6CD162CF" w14:textId="77777777" w:rsidR="002471A8" w:rsidRPr="00E97FC1" w:rsidRDefault="002471A8" w:rsidP="002471A8">
            <w:pPr>
              <w:rPr>
                <w:rFonts w:ascii="Helvetica" w:hAnsi="Helvetica" w:cs="Helvetica"/>
                <w:sz w:val="20"/>
                <w:szCs w:val="20"/>
                <w:lang w:val="en-GB"/>
              </w:rPr>
            </w:pPr>
          </w:p>
        </w:tc>
        <w:tc>
          <w:tcPr>
            <w:tcW w:w="1440" w:type="dxa"/>
          </w:tcPr>
          <w:p w14:paraId="37C8992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170" w:type="dxa"/>
          </w:tcPr>
          <w:p w14:paraId="25A96ED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90%</w:t>
            </w:r>
          </w:p>
        </w:tc>
        <w:tc>
          <w:tcPr>
            <w:tcW w:w="1260" w:type="dxa"/>
          </w:tcPr>
          <w:p w14:paraId="700D6AD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37%</w:t>
            </w:r>
          </w:p>
        </w:tc>
        <w:tc>
          <w:tcPr>
            <w:tcW w:w="1080" w:type="dxa"/>
          </w:tcPr>
          <w:p w14:paraId="4DC7CFC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reduced</w:t>
            </w:r>
          </w:p>
        </w:tc>
        <w:tc>
          <w:tcPr>
            <w:tcW w:w="1260" w:type="dxa"/>
          </w:tcPr>
          <w:p w14:paraId="057B0F3D" w14:textId="14264AA7"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{"citationItems":[{"id":"ITEM-1","itemData":{"DOI":"10.1074/jbc.M113.482968","ISSN":"1083-351X (Electronic)","PMID":"23864658","abstract":"The proton-translocating NADH-quinone oxidoreductase (complex I/NDH-1) contains a peripheral and a membrane domain. Three antiporter-like subunits in the membrane domain, NuoL, NuoM, and NuoN (ND5, ND4 and ND2, respectively), are structurally similar. We analyzed the role of NuoN in Escherichia coli NDH-1. The lysine residue at position 395 in NuoN (NLys(395)) is conserved in NuoL (LLys(399)) but is replaced by glutamic acid (MGlu(407)) in NuoM. Our mutation study on NLys(395) suggests that this residue participates in the proton translocation. Furthermore, we found that MGlu(407) is also essential and most likely interacts with conserved LArg(175). Glutamic acids, NGlu(133), MGlu(144), and LGlu(144), are corresponding residues. Unlike mutants of MGlu(144) and LGlu(144), mutation of NGlu(133) scarcely affected the energy-transducing activities. However, a double mutant of NGlu(133) and nearby KGlu(72) showed significant inhibition of these activities. This suggests that NGlu(133) bears a functional role similar to LGlu(144) and MGlu(144) but its mutation can be partially compensated by the nearby carboxyl residue. Conserved prolines located at loops of discontinuous transmembrane helices of NuoL, NuoM, and NuoN were shown to play a similar role in the energy-transducing activity. It seems likely that NuoL, NuoM, and NuoN pump protons by a similar mechanism. Our data also revealed that NLys(158) is one of the key interaction points with helix HL in NuoL. A truncation study indicated that the C-terminal amphipathic segments of NTM14 interacts with the Mbeta sheet located on the opposite side of helix HL. Taken together, the mechanism of H(+) translocation in NDH-1 is discussed.","author":[{"dropping-particle":"","family":"Sato","given":"Motoaki","non-dropping-particle":"","parse-names":false,"suffix":""},{"dropping-particle":"","family":"Sinha","given":"Prem Kumar","non-dropping-particle":"","parse-names":false,"suffix":""},{"dropping-particle":"","family":"Torres-Bacete","given":"Jesus","non-dropping-particle":"","parse-names":false,"suffix":""},{"dropping-particle":"","family":"Matsuno-Yagi","given":"Akemi","non-dropping-particle":"","parse-names":false,"suffix":""},{"dropping-particle":"","family":"Yagi","given":"Takao","non-dropping-particle":"","parse-names":false,"suffix":""}],"container-title":"The Journal of biological chemistry","id":"ITEM-1","issue":"34","issued":{"date-parts":[["2013","8"]]},"language":"eng","page":"24705-24716","publisher-place":"United States","title":"Energy transducing roles of antiporter-like subunits in Escherichia coli NDH-1 with main focus on subunit NuoN (ND2).","type":"article-journal","volume":"288"},"uris":["http://www.mendeley.com/documents/?uuid=0db84ce5-f2b7-4f63-9ef8-4e12ef999eec"]}],"mendeley":{"formattedCitation":"(Sato &lt;i&gt;et al&lt;/i&gt;, 2013)","plainTextFormattedCitation":"(Sato et al, 2013)","previouslyFormattedCitation":"(Sato &lt;i&gt;et al&lt;/i&gt;, 2013)"},"properties":{"noteIndex":0},"schema":"https://github.com/citation-style-language/schema/raw/master/csl-citation.json"}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(Sato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2013)</w:t>
            </w:r>
            <w:r w:rsidRPr="00E97FC1">
              <w:rPr>
                <w:rFonts w:ascii="Helvetica" w:hAnsi="Helvetica" w:cs="Helvetica"/>
                <w:b/>
                <w:bCs/>
                <w:sz w:val="16"/>
                <w:szCs w:val="20"/>
                <w:lang w:val="en-GB"/>
              </w:rPr>
              <w:fldChar w:fldCharType="end"/>
            </w:r>
          </w:p>
        </w:tc>
      </w:tr>
      <w:tr w:rsidR="002471A8" w:rsidRPr="00E97FC1" w14:paraId="3EC64191" w14:textId="77777777" w:rsidTr="00DC25DF">
        <w:trPr>
          <w:trHeight w:val="65"/>
        </w:trPr>
        <w:tc>
          <w:tcPr>
            <w:tcW w:w="1435" w:type="dxa"/>
          </w:tcPr>
          <w:p w14:paraId="0AFD666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lastRenderedPageBreak/>
              <w:t>K395A</w:t>
            </w:r>
          </w:p>
        </w:tc>
        <w:tc>
          <w:tcPr>
            <w:tcW w:w="2430" w:type="dxa"/>
            <w:vMerge/>
          </w:tcPr>
          <w:p w14:paraId="364D4971" w14:textId="77777777" w:rsidR="002471A8" w:rsidRPr="00E97FC1" w:rsidRDefault="002471A8" w:rsidP="002471A8">
            <w:pPr>
              <w:rPr>
                <w:rFonts w:ascii="Helvetica" w:hAnsi="Helvetica" w:cs="Helvetica"/>
                <w:sz w:val="20"/>
                <w:szCs w:val="20"/>
                <w:lang w:val="en-GB"/>
              </w:rPr>
            </w:pPr>
          </w:p>
        </w:tc>
        <w:tc>
          <w:tcPr>
            <w:tcW w:w="1440" w:type="dxa"/>
          </w:tcPr>
          <w:p w14:paraId="4E07425A"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0789496B"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71%</w:t>
            </w:r>
          </w:p>
        </w:tc>
        <w:tc>
          <w:tcPr>
            <w:tcW w:w="1260" w:type="dxa"/>
          </w:tcPr>
          <w:p w14:paraId="38D255BA"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4%</w:t>
            </w:r>
          </w:p>
        </w:tc>
        <w:tc>
          <w:tcPr>
            <w:tcW w:w="1080" w:type="dxa"/>
          </w:tcPr>
          <w:p w14:paraId="782FA1D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low</w:t>
            </w:r>
          </w:p>
        </w:tc>
        <w:tc>
          <w:tcPr>
            <w:tcW w:w="1260" w:type="dxa"/>
          </w:tcPr>
          <w:p w14:paraId="56601303" w14:textId="45AADF89"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{"citationItems":[{"id":"ITEM-1","itemData":{"DOI":"10.1074/jbc.M113.482968","ISSN":"1083-351X (Electronic)","PMID":"23864658","abstract":"The proton-translocating NADH-quinone oxidoreductase (complex I/NDH-1) contains a peripheral and a membrane domain. Three antiporter-like subunits in the membrane domain, NuoL, NuoM, and NuoN (ND5, ND4 and ND2, respectively), are structurally similar. We analyzed the role of NuoN in Escherichia coli NDH-1. The lysine residue at position 395 in NuoN (NLys(395)) is conserved in NuoL (LLys(399)) but is replaced by glutamic acid (MGlu(407)) in NuoM. Our mutation study on NLys(395) suggests that this residue participates in the proton translocation. Furthermore, we found that MGlu(407) is also essential and most likely interacts with conserved LArg(175). Glutamic acids, NGlu(133), MGlu(144), and LGlu(144), are corresponding residues. Unlike mutants of MGlu(144) and LGlu(144), mutation of NGlu(133) scarcely affected the energy-transducing activities. However, a double mutant of NGlu(133) and nearby KGlu(72) showed significant inhibition of these activities. This suggests that NGlu(133) bears a functional role similar to LGlu(144) and MGlu(144) but its mutation can be partially compensated by the nearby carboxyl residue. Conserved prolines located at loops of discontinuous transmembrane helices of NuoL, NuoM, and NuoN were shown to play a similar role in the energy-transducing activity. It seems likely that NuoL, NuoM, and NuoN pump protons by a similar mechanism. Our data also revealed that NLys(158) is one of the key interaction points with helix HL in NuoL. A truncation study indicated that the C-terminal amphipathic segments of NTM14 interacts with the Mbeta sheet located on the opposite side of helix HL. Taken together, the mechanism of H(+) translocation in NDH-1 is discussed.","author":[{"dropping-particle":"","family":"Sato","given":"Motoaki","non-dropping-particle":"","parse-names":false,"suffix":""},{"dropping-particle":"","family":"Sinha","given":"Prem Kumar","non-dropping-particle":"","parse-names":false,"suffix":""},{"dropping-particle":"","family":"Torres-Bacete","given":"Jesus","non-dropping-particle":"","parse-names":false,"suffix":""},{"dropping-particle":"","family":"Matsuno-Yagi","given":"Akemi","non-dropping-particle":"","parse-names":false,"suffix":""},{"dropping-particle":"","family":"Yagi","given":"Takao","non-dropping-particle":"","parse-names":false,"suffix":""}],"container-title":"The Journal of biological chemistry","id":"ITEM-1","issue":"34","issued":{"date-parts":[["2013","8"]]},"language":"eng","page":"24705-24716","publisher-place":"United States","title":"Energy transducing roles of antiporter-like subunits in Escherichia coli NDH-1 with main focus on subunit NuoN (ND2).","type":"article-journal","volume":"288"},"uris":["http://www.mendeley.com/documents/?uuid=0db84ce5-f2b7-4f63-9ef8-4e12ef999eec"]}],"mendeley":{"formattedCitation":"(Sato &lt;i&gt;et al&lt;/i&gt;, 2013)","plainTextFormattedCitation":"(Sato et al, 2013)","previouslyFormattedCitation":"(Sato &lt;i&gt;et al&lt;/i&gt;, 2013)"},"properties":{"noteIndex":0},"schema":"https://github.com/citation-style-language/schema/raw/master/csl-citation.json"}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(Sato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2013)</w:t>
            </w:r>
            <w:r w:rsidRPr="00E97FC1">
              <w:rPr>
                <w:rFonts w:ascii="Helvetica" w:hAnsi="Helvetica" w:cs="Helvetica"/>
                <w:b/>
                <w:bCs/>
                <w:sz w:val="16"/>
                <w:szCs w:val="20"/>
                <w:lang w:val="en-GB"/>
              </w:rPr>
              <w:fldChar w:fldCharType="end"/>
            </w:r>
          </w:p>
        </w:tc>
      </w:tr>
      <w:tr w:rsidR="002471A8" w:rsidRPr="00E97FC1" w14:paraId="564B9C75" w14:textId="77777777" w:rsidTr="00DC25DF">
        <w:trPr>
          <w:trHeight w:val="65"/>
        </w:trPr>
        <w:tc>
          <w:tcPr>
            <w:tcW w:w="1435" w:type="dxa"/>
          </w:tcPr>
          <w:p w14:paraId="56CE2B9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Y424C</w:t>
            </w:r>
          </w:p>
        </w:tc>
        <w:tc>
          <w:tcPr>
            <w:tcW w:w="2430" w:type="dxa"/>
          </w:tcPr>
          <w:p w14:paraId="3E6B50D8"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intermembrane</w:t>
            </w:r>
          </w:p>
        </w:tc>
        <w:tc>
          <w:tcPr>
            <w:tcW w:w="1440" w:type="dxa"/>
          </w:tcPr>
          <w:p w14:paraId="36093427"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1A22932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3B746150"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90%</w:t>
            </w:r>
          </w:p>
        </w:tc>
        <w:tc>
          <w:tcPr>
            <w:tcW w:w="1080" w:type="dxa"/>
          </w:tcPr>
          <w:p w14:paraId="7AC6169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1C5DD1F0" w14:textId="5FD68E88"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{"citationItems":[{"id":"ITEM-1","itemData":{"DOI":"10.1021/bi0340346","ISSN":"0006-2960 (Print)","PMID":"12718520","abstract":"The last gene in the nuo operon of Escherichia coli, nuoN, encodes a membrane-bound  subunit of Complex I (NADH:ubiquinone oxidoreductase). In this report, the gene for subunit N was disrupted by a 163 bp deletion in the chromosome, resulting in the loss of Complex I function, as measured by deamino-NADH oxidase activity. This activity could be recovered after transformation of the mutant strain by a plasmid that contains the previously identified nuoN gene and the upstream intergenic region between nuoM and nuoN. Mutagenesis of the first ATG downstream of nuoM led to a loss of function, indicating that this is the likely initiation codon for nuoN, and predicting a protein of 485 amino acids and 52 044 Da. Thirty site-specific mutations in nuoN at 19 different positions were constructed in a vector that expresses the full-length subunit N with both an octahistidine tag and an HA epitope tag at the carboxyl terminus. Highly conserved charged and aromatic residues were selected for mutagenesis, as well as a substitution that occurs as a secondary mutation in Leber's hereditary optic neuropathy (LHON). Membranes from the mutant strains were tested for production of subunit N by immunoblots and for NADH-linked activities. Mutants with substitutions at six different positions (K158, K217, H224, K247, Y300, and K395) had rates of deamino-NADH oxidase activity that were no more than 50% of that of the wild type and had reduced rates of proton translocation. These mutants also showed enhanced inhibition by decylubiquinone, indicating that subunit N interacts with quinones. The mutation associated with LHON, G391S, had little effect on these functions.","author":[{"dropping-particle":"","family":"Amarneh","given":"Bilal","non-dropping-particle":"","parse-names":false,"suffix":""},{"dropping-particle":"","family":"Vik","given":"Steven B","non-dropping-particle":"","parse-names":false,"suffix":""}],"container-title":"Biochemistry","id":"ITEM-1","issue":"17","issued":{"date-parts":[["2003","5"]]},"language":"eng","page":"4800-4808","publisher-place":"United States","title":"Mutagenesis of subunit N of the Escherichia coli complex I. Identification of the  initiation codon and the sensitivity of mutants to decylubiquinone.","type":"article-journal","volume":"42"},"uris":["http://www.mendeley.com/documents/?uuid=29689110-0ea3-4187-b44d-a7de5828f6d4"]}],"mendeley":{"formattedCitation":"(Amarneh &amp; Vik, 2003)","plainTextFormattedCitation":"(Amarneh &amp; Vik, 2003)","previouslyFormattedCitation":"(Amarneh &amp; Vik, 2003)"},"properties":{"noteIndex":0},"schema":"https://github.com/citation-style-language/schema/raw/master/csl-citation.json"}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(Amarneh &amp; Vik, 2003)</w:t>
            </w:r>
            <w:r w:rsidRPr="00E97FC1">
              <w:rPr>
                <w:rFonts w:ascii="Helvetica" w:hAnsi="Helvetica" w:cs="Helvetica"/>
                <w:b/>
                <w:bCs/>
                <w:sz w:val="16"/>
                <w:szCs w:val="20"/>
                <w:lang w:val="en-GB"/>
              </w:rPr>
              <w:fldChar w:fldCharType="end"/>
            </w:r>
          </w:p>
        </w:tc>
      </w:tr>
      <w:tr w:rsidR="002471A8" w:rsidRPr="00E97FC1" w14:paraId="62E00966" w14:textId="77777777" w:rsidTr="00DC25DF">
        <w:trPr>
          <w:trHeight w:val="65"/>
        </w:trPr>
        <w:tc>
          <w:tcPr>
            <w:tcW w:w="1435" w:type="dxa"/>
          </w:tcPr>
          <w:p w14:paraId="2DBE1E27"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V469A</w:t>
            </w:r>
          </w:p>
        </w:tc>
        <w:tc>
          <w:tcPr>
            <w:tcW w:w="2430" w:type="dxa"/>
          </w:tcPr>
          <w:p w14:paraId="71979C5A" w14:textId="77777777" w:rsidR="002471A8" w:rsidRPr="00E97FC1" w:rsidRDefault="002471A8" w:rsidP="002471A8">
            <w:pPr>
              <w:rPr>
                <w:rFonts w:ascii="Helvetica" w:hAnsi="Helvetica" w:cs="Helvetica"/>
                <w:bCs/>
                <w:sz w:val="20"/>
                <w:lang w:val="en-GB"/>
              </w:rPr>
            </w:pPr>
            <w:r w:rsidRPr="00E97FC1">
              <w:rPr>
                <w:rFonts w:ascii="Helvetica" w:hAnsi="Helvetica" w:cs="Helvetica"/>
                <w:sz w:val="20"/>
                <w:lang w:val="en-GB"/>
              </w:rPr>
              <w:t>Intermembrane surface</w:t>
            </w:r>
          </w:p>
        </w:tc>
        <w:tc>
          <w:tcPr>
            <w:tcW w:w="1440" w:type="dxa"/>
          </w:tcPr>
          <w:p w14:paraId="60560EE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normal</w:t>
            </w:r>
          </w:p>
        </w:tc>
        <w:tc>
          <w:tcPr>
            <w:tcW w:w="1170" w:type="dxa"/>
          </w:tcPr>
          <w:p w14:paraId="60865E1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88%</w:t>
            </w:r>
          </w:p>
        </w:tc>
        <w:tc>
          <w:tcPr>
            <w:tcW w:w="1260" w:type="dxa"/>
          </w:tcPr>
          <w:p w14:paraId="1DD4EF67"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72%</w:t>
            </w:r>
          </w:p>
        </w:tc>
        <w:tc>
          <w:tcPr>
            <w:tcW w:w="1080" w:type="dxa"/>
          </w:tcPr>
          <w:p w14:paraId="0CF101B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90%</w:t>
            </w:r>
          </w:p>
        </w:tc>
        <w:tc>
          <w:tcPr>
            <w:tcW w:w="1260" w:type="dxa"/>
          </w:tcPr>
          <w:p w14:paraId="14DC4F6F" w14:textId="45839385"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{"citationItems":[{"id":"ITEM-1","itemData":{"DOI":"10.1074/jbc.M113.482968","ISSN":"1083-351X (Electronic)","PMID":"23864658","abstract":"The proton-translocating NADH-quinone oxidoreductase (complex I/NDH-1) contains a peripheral and a membrane domain. Three antiporter-like subunits in the membrane domain, NuoL, NuoM, and NuoN (ND5, ND4 and ND2, respectively), are structurally similar. We analyzed the role of NuoN in Escherichia coli NDH-1. The lysine residue at position 395 in NuoN (NLys(395)) is conserved in NuoL (LLys(399)) but is replaced by glutamic acid (MGlu(407)) in NuoM. Our mutation study on NLys(395) suggests that this residue participates in the proton translocation. Furthermore, we found that MGlu(407) is also essential and most likely interacts with conserved LArg(175). Glutamic acids, NGlu(133), MGlu(144), and LGlu(144), are corresponding residues. Unlike mutants of MGlu(144) and LGlu(144), mutation of NGlu(133) scarcely affected the energy-transducing activities. However, a double mutant of NGlu(133) and nearby KGlu(72) showed significant inhibition of these activities. This suggests that NGlu(133) bears a functional role similar to LGlu(144) and MGlu(144) but its mutation can be partially compensated by the nearby carboxyl residue. Conserved prolines located at loops of discontinuous transmembrane helices of NuoL, NuoM, and NuoN were shown to play a similar role in the energy-transducing activity. It seems likely that NuoL, NuoM, and NuoN pump protons by a similar mechanism. Our data also revealed that NLys(158) is one of the key interaction points with helix HL in NuoL. A truncation study indicated that the C-terminal amphipathic segments of NTM14 interacts with the Mbeta sheet located on the opposite side of helix HL. Taken together, the mechanism of H(+) translocation in NDH-1 is discussed.","author":[{"dropping-particle":"","family":"Sato","given":"Motoaki","non-dropping-particle":"","parse-names":false,"suffix":""},{"dropping-particle":"","family":"Sinha","given":"Prem Kumar","non-dropping-particle":"","parse-names":false,"suffix":""},{"dropping-particle":"","family":"Torres-Bacete","given":"Jesus","non-dropping-particle":"","parse-names":false,"suffix":""},{"dropping-particle":"","family":"Matsuno-Yagi","given":"Akemi","non-dropping-particle":"","parse-names":false,"suffix":""},{"dropping-particle":"","family":"Yagi","given":"Takao","non-dropping-particle":"","parse-names":false,"suffix":""}],"container-title":"The Journal of biological chemistry","id":"ITEM-1","issue":"34","issued":{"date-parts":[["2013","8"]]},"language":"eng","page":"24705-24716","publisher-place":"United States","title":"Energy transducing roles of antiporter-like subunits in Escherichia coli NDH-1 with main focus on subunit NuoN (ND2).","type":"article-journal","volume":"288"},"uris":["http://www.mendeley.com/documents/?uuid=0db84ce5-f2b7-4f63-9ef8-4e12ef999eec"]}],"mendeley":{"formattedCitation":"(Sato &lt;i&gt;et al&lt;/i&gt;, 2013)","plainTextFormattedCitation":"(Sato et al, 2013)","previouslyFormattedCitation":"(Sato &lt;i&gt;et al&lt;/i&gt;, 2013)"},"properties":{"noteIndex":0},"schema":"https://github.com/citation-style-language/schema/raw/master/csl-citation.json"}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(Sato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2013)</w:t>
            </w:r>
            <w:r w:rsidRPr="00E97FC1">
              <w:rPr>
                <w:rFonts w:ascii="Helvetica" w:hAnsi="Helvetica" w:cs="Helvetica"/>
                <w:b/>
                <w:bCs/>
                <w:sz w:val="16"/>
                <w:szCs w:val="20"/>
                <w:lang w:val="en-GB"/>
              </w:rPr>
              <w:fldChar w:fldCharType="end"/>
            </w:r>
          </w:p>
        </w:tc>
      </w:tr>
      <w:tr w:rsidR="002471A8" w:rsidRPr="00E97FC1" w14:paraId="498973BC" w14:textId="77777777" w:rsidTr="00DC25DF">
        <w:trPr>
          <w:trHeight w:val="65"/>
        </w:trPr>
        <w:tc>
          <w:tcPr>
            <w:tcW w:w="1435" w:type="dxa"/>
          </w:tcPr>
          <w:p w14:paraId="47D5711C"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M482C</w:t>
            </w:r>
          </w:p>
        </w:tc>
        <w:tc>
          <w:tcPr>
            <w:tcW w:w="2430" w:type="dxa"/>
          </w:tcPr>
          <w:p w14:paraId="62611DF4" w14:textId="77777777" w:rsidR="002471A8" w:rsidRPr="00E97FC1" w:rsidRDefault="002471A8" w:rsidP="002471A8">
            <w:pPr>
              <w:rPr>
                <w:rFonts w:ascii="Helvetica" w:hAnsi="Helvetica" w:cs="Helvetica"/>
                <w:bCs/>
                <w:sz w:val="20"/>
                <w:lang w:val="en-GB"/>
              </w:rPr>
            </w:pPr>
            <w:r w:rsidRPr="00E97FC1">
              <w:rPr>
                <w:rFonts w:ascii="Helvetica" w:hAnsi="Helvetica" w:cs="Helvetica"/>
                <w:bCs/>
                <w:sz w:val="20"/>
                <w:lang w:val="en-GB"/>
              </w:rPr>
              <w:t>Surface/ N/M interface</w:t>
            </w:r>
          </w:p>
        </w:tc>
        <w:tc>
          <w:tcPr>
            <w:tcW w:w="1440" w:type="dxa"/>
          </w:tcPr>
          <w:p w14:paraId="42C7113A"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normal</w:t>
            </w:r>
          </w:p>
        </w:tc>
        <w:tc>
          <w:tcPr>
            <w:tcW w:w="1170" w:type="dxa"/>
          </w:tcPr>
          <w:p w14:paraId="69ECB40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NA</w:t>
            </w:r>
          </w:p>
        </w:tc>
        <w:tc>
          <w:tcPr>
            <w:tcW w:w="1260" w:type="dxa"/>
          </w:tcPr>
          <w:p w14:paraId="38C2BE0B"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100%</w:t>
            </w:r>
          </w:p>
        </w:tc>
        <w:tc>
          <w:tcPr>
            <w:tcW w:w="1080" w:type="dxa"/>
          </w:tcPr>
          <w:p w14:paraId="22017581"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NA</w:t>
            </w:r>
          </w:p>
        </w:tc>
        <w:tc>
          <w:tcPr>
            <w:tcW w:w="1260" w:type="dxa"/>
          </w:tcPr>
          <w:p w14:paraId="2D05909C" w14:textId="5C7C1A97"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{"citationItems":[{"id":"ITEM-1","itemData":{"DOI":"10.1021/bi0340346","ISSN":"0006-2960 (Print)","PMID":"12718520","abstract":"The last gene in the nuo operon of Escherichia coli, nuoN, encodes a membrane-bound  subunit of Complex I (NADH:ubiquinone oxidoreductase). In this report, the gene for subunit N was disrupted by a 163 bp deletion in the chromosome, resulting in the loss of Complex I function, as measured by deamino-NADH oxidase activity. This activity could be recovered after transformation of the mutant strain by a plasmid that contains the previously identified nuoN gene and the upstream intergenic region between nuoM and nuoN. Mutagenesis of the first ATG downstream of nuoM led to a loss of function, indicating that this is the likely initiation codon for nuoN, and predicting a protein of 485 amino acids and 52 044 Da. Thirty site-specific mutations in nuoN at 19 different positions were constructed in a vector that expresses the full-length subunit N with both an octahistidine tag and an HA epitope tag at the carboxyl terminus. Highly conserved charged and aromatic residues were selected for mutagenesis, as well as a substitution that occurs as a secondary mutation in Leber's hereditary optic neuropathy (LHON). Membranes from the mutant strains were tested for production of subunit N by immunoblots and for NADH-linked activities. Mutants with substitutions at six different positions (K158, K217, H224, K247, Y300, and K395) had rates of deamino-NADH oxidase activity that were no more than 50% of that of the wild type and had reduced rates of proton translocation. These mutants also showed enhanced inhibition by decylubiquinone, indicating that subunit N interacts with quinones. The mutation associated with LHON, G391S, had little effect on these functions.","author":[{"dropping-particle":"","family":"Amarneh","given":"Bilal","non-dropping-particle":"","parse-names":false,"suffix":""},{"dropping-particle":"","family":"Vik","given":"Steven B","non-dropping-particle":"","parse-names":false,"suffix":""}],"container-title":"Biochemistry","id":"ITEM-1","issue":"17","issued":{"date-parts":[["2003","5"]]},"language":"eng","page":"4800-4808","publisher-place":"United States","title":"Mutagenesis of subunit N of the Escherichia coli complex I. Identification of the  initiation codon and the sensitivity of mutants to decylubiquinone.","type":"article-journal","volume":"42"},"uris":["http://www.mendeley.com/documents/?uuid=29689110-0ea3-4187-b44d-a7de5828f6d4"]}],"mendeley":{"formattedCitation":"(Amarneh &amp; Vik, 2003)","plainTextFormattedCitation":"(Amarneh &amp; Vik, 2003)","previouslyFormattedCitation":"(Amarneh &amp; Vik, 2003)"},"properties":{"noteIndex":0},"schema":"https://github.com/citation-style-language/schema/raw/master/csl-citation.json"}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(Amarneh &amp; Vik, 2003)</w:t>
            </w:r>
            <w:r w:rsidRPr="00E97FC1">
              <w:rPr>
                <w:rFonts w:ascii="Helvetica" w:hAnsi="Helvetica" w:cs="Helvetica"/>
                <w:b/>
                <w:bCs/>
                <w:sz w:val="16"/>
                <w:szCs w:val="20"/>
                <w:lang w:val="en-GB"/>
              </w:rPr>
              <w:fldChar w:fldCharType="end"/>
            </w:r>
          </w:p>
        </w:tc>
      </w:tr>
      <w:tr w:rsidR="00DC25DF" w:rsidRPr="00E97FC1" w14:paraId="1D6D0A85" w14:textId="77777777" w:rsidTr="00DC25DF">
        <w:trPr>
          <w:trHeight w:val="65"/>
        </w:trPr>
        <w:tc>
          <w:tcPr>
            <w:tcW w:w="10075" w:type="dxa"/>
            <w:gridSpan w:val="7"/>
          </w:tcPr>
          <w:p w14:paraId="3929BC94" w14:textId="77777777" w:rsidR="00DC25DF" w:rsidRPr="00E97FC1" w:rsidRDefault="00DC25DF" w:rsidP="002471A8">
            <w:pPr>
              <w:rPr>
                <w:rFonts w:ascii="Helvetica" w:hAnsi="Helvetica" w:cs="Helvetica"/>
                <w:b/>
                <w:bCs/>
                <w:sz w:val="22"/>
                <w:lang w:val="en-GB"/>
              </w:rPr>
            </w:pPr>
            <w:r w:rsidRPr="00E97FC1">
              <w:rPr>
                <w:rFonts w:ascii="Helvetica" w:hAnsi="Helvetica" w:cs="Helvetica"/>
                <w:b/>
                <w:bCs/>
                <w:sz w:val="28"/>
                <w:lang w:val="en-GB"/>
              </w:rPr>
              <w:t>NuoK</w:t>
            </w:r>
          </w:p>
        </w:tc>
      </w:tr>
      <w:tr w:rsidR="002471A8" w:rsidRPr="00E97FC1" w14:paraId="7607C089" w14:textId="77777777" w:rsidTr="00DC25DF">
        <w:trPr>
          <w:trHeight w:val="65"/>
        </w:trPr>
        <w:tc>
          <w:tcPr>
            <w:tcW w:w="1435" w:type="dxa"/>
          </w:tcPr>
          <w:p w14:paraId="7B395878"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F15A</w:t>
            </w:r>
          </w:p>
        </w:tc>
        <w:tc>
          <w:tcPr>
            <w:tcW w:w="2430" w:type="dxa"/>
          </w:tcPr>
          <w:p w14:paraId="6203F0B9"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interface with NuoN</w:t>
            </w:r>
          </w:p>
        </w:tc>
        <w:tc>
          <w:tcPr>
            <w:tcW w:w="1440" w:type="dxa"/>
          </w:tcPr>
          <w:p w14:paraId="4C36D03C"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normal</w:t>
            </w:r>
          </w:p>
        </w:tc>
        <w:tc>
          <w:tcPr>
            <w:tcW w:w="1170" w:type="dxa"/>
          </w:tcPr>
          <w:p w14:paraId="6DDF5E44"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102%</w:t>
            </w:r>
          </w:p>
        </w:tc>
        <w:tc>
          <w:tcPr>
            <w:tcW w:w="1260" w:type="dxa"/>
          </w:tcPr>
          <w:p w14:paraId="2D305A0E"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90%</w:t>
            </w:r>
          </w:p>
        </w:tc>
        <w:tc>
          <w:tcPr>
            <w:tcW w:w="1080" w:type="dxa"/>
          </w:tcPr>
          <w:p w14:paraId="32FB8E99"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NA</w:t>
            </w:r>
          </w:p>
        </w:tc>
        <w:tc>
          <w:tcPr>
            <w:tcW w:w="1260" w:type="dxa"/>
          </w:tcPr>
          <w:p w14:paraId="779A504E" w14:textId="448999CA"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{"citationItems":[{"id":"ITEM-1","itemData":{"DOI":"10.1021/bi050708w","ISSN":"0006-2960 (Print)","PMID":"15996109","abstract":"The ND4L subunit is the smallest mitochondrial DNA-encoded subunit of the  proton-translocating NADH-quinone oxidoreductase (complex I). In an attempt to study the functional and structural roles of the NuoK subunit (the Escherichia coli homologue of ND4L) of the bacterial NADH-quinone oxidoreductase (NDH-1), we have performed a series of site-specific mutations on the nuoK gene of the NDH-1 operon by using the homologous recombination technique. The amino acid residues we targeted included two highly conserved glutamic acids that are presumably located in the middle of the membrane and several arginine residues that are predicted to be on the cytosolic side. All point mutants examined had fully assembled NDH-1 as detected by blue-native gel electrophoresis and immunostaining. Mutations of nearly perfectly conserved Glu-36 lead to almost null activities of coupled electron transfer with a concomitant loss of generation of electrochemical gradient. A significant diminution of the coupled activities was also observed with mutations of another highly conserved residue, Glu-72. These results may suggest that both membrane-embedded acidic residues are important for the coupling mechanism of NDH-1. Furthermore, a severe impairment of the coupled activities occurred when two vicinal arginine residues on a cytosolic loop were simultaneously mutated. Possible roles of these arginine residues and other conserved residues in the NuoK subunit for NDH-1 function were discussed.","author":[{"dropping-particle":"","family":"Kao","given":"Mou-Chieh","non-dropping-particle":"","parse-names":false,"suffix":""},{"dropping-particle":"","family":"Nakamaru-Ogiso","given":"Eiko","non-dropping-particle":"","parse-names":false,"suffix":""},{"dropping-particle":"","family":"Matsuno-Yagi","given":"Akemi","non-dropping-particle":"","parse-names":false,"suffix":""},{"dropping-particle":"","family":"Yagi","given":"Takao","non-dropping-particle":"","parse-names":false,"suffix":""}],"container-title":"Biochemistry","id":"ITEM-1","issue":"27","issued":{"date-parts":[["2005","7"]]},"language":"eng","page":"9545-9554","publisher-place":"United States","title":"Characterization of the membrane domain subunit NuoK (ND4L) of the NADH-quinone  oxidoreductase from Escherichia coli.","type":"article-journal","volume":"44"},"uris":["http://www.mendeley.com/documents/?uuid=57d558af-5785-42e6-ad7a-f43c2be5b276"]}],"mendeley":{"formattedCitation":"(Kao &lt;i&gt;et al&lt;/i&gt;, 2005b)","plainTextFormattedCitation":"(Kao et al, 2005b)","previouslyFormattedCitation":"(Kao &lt;i&gt;et al&lt;/i&gt;, 2005b)"},"properties":{"noteIndex":0},"schema":"https://github.com/citation-style-language/schema/raw/master/csl-citation.json"}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(Kao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2005b)</w:t>
            </w:r>
            <w:r w:rsidRPr="00E97FC1">
              <w:rPr>
                <w:rFonts w:ascii="Helvetica" w:hAnsi="Helvetica" w:cs="Helvetica"/>
                <w:b/>
                <w:bCs/>
                <w:sz w:val="16"/>
                <w:szCs w:val="20"/>
                <w:lang w:val="en-GB"/>
              </w:rPr>
              <w:fldChar w:fldCharType="end"/>
            </w:r>
          </w:p>
        </w:tc>
      </w:tr>
      <w:tr w:rsidR="002471A8" w:rsidRPr="00E97FC1" w14:paraId="1F7DB84B" w14:textId="77777777" w:rsidTr="00DC25DF">
        <w:trPr>
          <w:trHeight w:val="65"/>
        </w:trPr>
        <w:tc>
          <w:tcPr>
            <w:tcW w:w="1435" w:type="dxa"/>
          </w:tcPr>
          <w:p w14:paraId="22723FE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G21V</w:t>
            </w:r>
          </w:p>
        </w:tc>
        <w:tc>
          <w:tcPr>
            <w:tcW w:w="2430" w:type="dxa"/>
          </w:tcPr>
          <w:p w14:paraId="14097B2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interface with NuoJ</w:t>
            </w:r>
          </w:p>
        </w:tc>
        <w:tc>
          <w:tcPr>
            <w:tcW w:w="1440" w:type="dxa"/>
          </w:tcPr>
          <w:p w14:paraId="4AC7180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52F2BF74"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99%</w:t>
            </w:r>
          </w:p>
        </w:tc>
        <w:tc>
          <w:tcPr>
            <w:tcW w:w="1260" w:type="dxa"/>
          </w:tcPr>
          <w:p w14:paraId="45A7B45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61%</w:t>
            </w:r>
          </w:p>
        </w:tc>
        <w:tc>
          <w:tcPr>
            <w:tcW w:w="1080" w:type="dxa"/>
          </w:tcPr>
          <w:p w14:paraId="4DBE0FF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0F7891CA" w14:textId="7989AF7C"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{"citationItems":[{"id":"ITEM-1","itemData":{"DOI":"10.1021/bi050708w","ISSN":"0006-2960 (Print)","PMID":"15996109","abstract":"The ND4L subunit is the smallest mitochondrial DNA-encoded subunit of the  proton-translocating NADH-quinone oxidoreductase (complex I). In an attempt to study the functional and structural roles of the NuoK subunit (the Escherichia coli homologue of ND4L) of the bacterial NADH-quinone oxidoreductase (NDH-1), we have performed a series of site-specific mutations on the nuoK gene of the NDH-1 operon by using the homologous recombination technique. The amino acid residues we targeted included two highly conserved glutamic acids that are presumably located in the middle of the membrane and several arginine residues that are predicted to be on the cytosolic side. All point mutants examined had fully assembled NDH-1 as detected by blue-native gel electrophoresis and immunostaining. Mutations of nearly perfectly conserved Glu-36 lead to almost null activities of coupled electron transfer with a concomitant loss of generation of electrochemical gradient. A significant diminution of the coupled activities was also observed with mutations of another highly conserved residue, Glu-72. These results may suggest that both membrane-embedded acidic residues are important for the coupling mechanism of NDH-1. Furthermore, a severe impairment of the coupled activities occurred when two vicinal arginine residues on a cytosolic loop were simultaneously mutated. Possible roles of these arginine residues and other conserved residues in the NuoK subunit for NDH-1 function were discussed.","author":[{"dropping-particle":"","family":"Kao","given":"Mou-Chieh","non-dropping-particle":"","parse-names":false,"suffix":""},{"dropping-particle":"","family":"Nakamaru-Ogiso","given":"Eiko","non-dropping-particle":"","parse-names":false,"suffix":""},{"dropping-particle":"","family":"Matsuno-Yagi","given":"Akemi","non-dropping-particle":"","parse-names":false,"suffix":""},{"dropping-particle":"","family":"Yagi","given":"Takao","non-dropping-particle":"","parse-names":false,"suffix":""}],"container-title":"Biochemistry","id":"ITEM-1","issue":"27","issued":{"date-parts":[["2005","7"]]},"language":"eng","page":"9545-9554","publisher-place":"United States","title":"Characterization of the membrane domain subunit NuoK (ND4L) of the NADH-quinone  oxidoreductase from Escherichia coli.","type":"article-journal","volume":"44"},"uris":["http://www.mendeley.com/documents/?uuid=57d558af-5785-42e6-ad7a-f43c2be5b276"]}],"mendeley":{"formattedCitation":"(Kao &lt;i&gt;et al&lt;/i&gt;, 2005b)","plainTextFormattedCitation":"(Kao et al, 2005b)","previouslyFormattedCitation":"(Kao &lt;i&gt;et al&lt;/i&gt;, 2005b)"},"properties":{"noteIndex":0},"schema":"https://github.com/citation-style-language/schema/raw/master/csl-citation.json"}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(Kao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2005b)</w:t>
            </w:r>
            <w:r w:rsidRPr="00E97FC1">
              <w:rPr>
                <w:rFonts w:ascii="Helvetica" w:hAnsi="Helvetica" w:cs="Helvetica"/>
                <w:b/>
                <w:bCs/>
                <w:sz w:val="16"/>
                <w:szCs w:val="20"/>
                <w:lang w:val="en-GB"/>
              </w:rPr>
              <w:fldChar w:fldCharType="end"/>
            </w:r>
          </w:p>
        </w:tc>
      </w:tr>
      <w:tr w:rsidR="002471A8" w:rsidRPr="00E97FC1" w14:paraId="78E00965" w14:textId="77777777" w:rsidTr="00DC25DF">
        <w:trPr>
          <w:trHeight w:val="65"/>
        </w:trPr>
        <w:tc>
          <w:tcPr>
            <w:tcW w:w="1435" w:type="dxa"/>
          </w:tcPr>
          <w:p w14:paraId="3513DAC8"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R25A</w:t>
            </w:r>
          </w:p>
        </w:tc>
        <w:tc>
          <w:tcPr>
            <w:tcW w:w="2430" w:type="dxa"/>
            <w:vMerge w:val="restart"/>
          </w:tcPr>
          <w:p w14:paraId="55BCF3B6"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 xml:space="preserve">HBs to backbone of </w:t>
            </w:r>
          </w:p>
          <w:p w14:paraId="4CDE6AC7"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vertAlign w:val="subscript"/>
                <w:lang w:val="en-GB"/>
              </w:rPr>
              <w:t>J</w:t>
            </w:r>
            <w:r w:rsidRPr="00E97FC1">
              <w:rPr>
                <w:rFonts w:ascii="Helvetica" w:hAnsi="Helvetica" w:cs="Helvetica"/>
                <w:iCs/>
                <w:sz w:val="20"/>
                <w:szCs w:val="20"/>
                <w:lang w:val="en-GB"/>
              </w:rPr>
              <w:t>TM1 C-terminus</w:t>
            </w:r>
          </w:p>
          <w:p w14:paraId="0BB33015" w14:textId="77777777" w:rsidR="002471A8" w:rsidRPr="00E97FC1" w:rsidRDefault="002471A8" w:rsidP="002471A8">
            <w:pPr>
              <w:rPr>
                <w:rFonts w:ascii="Helvetica" w:hAnsi="Helvetica" w:cs="Helvetica"/>
                <w:iCs/>
                <w:sz w:val="20"/>
                <w:szCs w:val="20"/>
                <w:lang w:val="en-GB"/>
              </w:rPr>
            </w:pPr>
          </w:p>
        </w:tc>
        <w:tc>
          <w:tcPr>
            <w:tcW w:w="1440" w:type="dxa"/>
          </w:tcPr>
          <w:p w14:paraId="74485CA8"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normal</w:t>
            </w:r>
          </w:p>
        </w:tc>
        <w:tc>
          <w:tcPr>
            <w:tcW w:w="1170" w:type="dxa"/>
          </w:tcPr>
          <w:p w14:paraId="1717A0BB"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101%</w:t>
            </w:r>
          </w:p>
        </w:tc>
        <w:tc>
          <w:tcPr>
            <w:tcW w:w="1260" w:type="dxa"/>
          </w:tcPr>
          <w:p w14:paraId="007DD79E"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26%</w:t>
            </w:r>
          </w:p>
        </w:tc>
        <w:tc>
          <w:tcPr>
            <w:tcW w:w="1080" w:type="dxa"/>
          </w:tcPr>
          <w:p w14:paraId="76C565EB"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30%</w:t>
            </w:r>
          </w:p>
        </w:tc>
        <w:tc>
          <w:tcPr>
            <w:tcW w:w="1260" w:type="dxa"/>
          </w:tcPr>
          <w:p w14:paraId="0DE3D7F2" w14:textId="1ECD7328"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{"citationItems":[{"id":"ITEM-1","itemData":{"DOI":"10.1021/bi050708w","ISSN":"0006-2960 (Print)","PMID":"15996109","abstract":"The ND4L subunit is the smallest mitochondrial DNA-encoded subunit of the  proton-translocating NADH-quinone oxidoreductase (complex I). In an attempt to study the functional and structural roles of the NuoK subunit (the Escherichia coli homologue of ND4L) of the bacterial NADH-quinone oxidoreductase (NDH-1), we have performed a series of site-specific mutations on the nuoK gene of the NDH-1 operon by using the homologous recombination technique. The amino acid residues we targeted included two highly conserved glutamic acids that are presumably located in the middle of the membrane and several arginine residues that are predicted to be on the cytosolic side. All point mutants examined had fully assembled NDH-1 as detected by blue-native gel electrophoresis and immunostaining. Mutations of nearly perfectly conserved Glu-36 lead to almost null activities of coupled electron transfer with a concomitant loss of generation of electrochemical gradient. A significant diminution of the coupled activities was also observed with mutations of another highly conserved residue, Glu-72. These results may suggest that both membrane-embedded acidic residues are important for the coupling mechanism of NDH-1. Furthermore, a severe impairment of the coupled activities occurred when two vicinal arginine residues on a cytosolic loop were simultaneously mutated. Possible roles of these arginine residues and other conserved residues in the NuoK subunit for NDH-1 function were discussed.","author":[{"dropping-particle":"","family":"Kao","given":"Mou-Chieh","non-dropping-particle":"","parse-names":false,"suffix":""},{"dropping-particle":"","family":"Nakamaru-Ogiso","given":"Eiko","non-dropping-particle":"","parse-names":false,"suffix":""},{"dropping-particle":"","family":"Matsuno-Yagi","given":"Akemi","non-dropping-particle":"","parse-names":false,"suffix":""},{"dropping-particle":"","family":"Yagi","given":"Takao","non-dropping-particle":"","parse-names":false,"suffix":""}],"container-title":"Biochemistry","id":"ITEM-1","issue":"27","issued":{"date-parts":[["2005","7"]]},"language":"eng","page":"9545-9554","publisher-place":"United States","title":"Characterization of the membrane domain subunit NuoK (ND4L) of the NADH-quinone  oxidoreductase from Escherichia coli.","type":"article-journal","volume":"44"},"uris":["http://www.mendeley.com/documents/?uuid=57d558af-5785-42e6-ad7a-f43c2be5b276"]}],"mendeley":{"formattedCitation":"(Kao &lt;i&gt;et al&lt;/i&gt;, 2005b)","plainTextFormattedCitation":"(Kao et al, 2005b)","previouslyFormattedCitation":"(Kao &lt;i&gt;et al&lt;/i&gt;, 2005b)"},"properties":{"noteIndex":0},"schema":"https://github.com/citation-style-language/schema/raw/master/csl-citation.json"}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(Kao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2005b)</w:t>
            </w:r>
            <w:r w:rsidRPr="00E97FC1">
              <w:rPr>
                <w:rFonts w:ascii="Helvetica" w:hAnsi="Helvetica" w:cs="Helvetica"/>
                <w:b/>
                <w:bCs/>
                <w:sz w:val="16"/>
                <w:szCs w:val="20"/>
                <w:lang w:val="en-GB"/>
              </w:rPr>
              <w:fldChar w:fldCharType="end"/>
            </w:r>
          </w:p>
        </w:tc>
      </w:tr>
      <w:tr w:rsidR="002471A8" w:rsidRPr="00E97FC1" w14:paraId="0DDC7DE3" w14:textId="77777777" w:rsidTr="00DC25DF">
        <w:trPr>
          <w:trHeight w:val="65"/>
        </w:trPr>
        <w:tc>
          <w:tcPr>
            <w:tcW w:w="1435" w:type="dxa"/>
          </w:tcPr>
          <w:p w14:paraId="45D56785"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R25A</w:t>
            </w:r>
          </w:p>
        </w:tc>
        <w:tc>
          <w:tcPr>
            <w:tcW w:w="2430" w:type="dxa"/>
            <w:vMerge/>
          </w:tcPr>
          <w:p w14:paraId="26F12EA9" w14:textId="77777777" w:rsidR="002471A8" w:rsidRPr="00E97FC1" w:rsidRDefault="002471A8" w:rsidP="002471A8">
            <w:pPr>
              <w:rPr>
                <w:rFonts w:ascii="Helvetica" w:hAnsi="Helvetica" w:cs="Helvetica"/>
                <w:iCs/>
                <w:sz w:val="20"/>
                <w:szCs w:val="20"/>
                <w:lang w:val="en-GB"/>
              </w:rPr>
            </w:pPr>
          </w:p>
        </w:tc>
        <w:tc>
          <w:tcPr>
            <w:tcW w:w="1440" w:type="dxa"/>
          </w:tcPr>
          <w:p w14:paraId="0D97DEF7"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reduced</w:t>
            </w:r>
          </w:p>
        </w:tc>
        <w:tc>
          <w:tcPr>
            <w:tcW w:w="1170" w:type="dxa"/>
          </w:tcPr>
          <w:p w14:paraId="16516DD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85%</w:t>
            </w:r>
          </w:p>
        </w:tc>
        <w:tc>
          <w:tcPr>
            <w:tcW w:w="1260" w:type="dxa"/>
          </w:tcPr>
          <w:p w14:paraId="4CEFAF37"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54-73%</w:t>
            </w:r>
          </w:p>
        </w:tc>
        <w:tc>
          <w:tcPr>
            <w:tcW w:w="1080" w:type="dxa"/>
          </w:tcPr>
          <w:p w14:paraId="2221B037"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70%</w:t>
            </w:r>
          </w:p>
        </w:tc>
        <w:tc>
          <w:tcPr>
            <w:tcW w:w="1260" w:type="dxa"/>
          </w:tcPr>
          <w:p w14:paraId="017202A7" w14:textId="3F4F50A5"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{"citationItems":[{"id":"ITEM-1","itemData":{"DOI":"10.1074/jbc.M112.422824","ISSN":"1083-351X (Electronic)","PMID":"23105119","abstract":"The bacterial H(+)-translocating NADH:quinone oxidoreductase (NDH-1) catalyzes  electron transfer from NADH to quinone coupled with proton pumping across the cytoplasmic membrane. The NuoK subunit (counterpart of the mitochondrial ND4L subunit) is one of the seven hydrophobic subunits in the membrane domain and bears three transmembrane segments (TM1-3). Two glutamic residues located in the adjacent transmembrane helices of NuoK are important for the energy coupled activity of NDH-1. In particular, mutation of the highly conserved carboxyl residue ((K)Glu-36 in TM2) to Ala led to a complete loss of the NDH-1 activities. Mutation of the second conserved carboxyl residue ((K)Glu-72 in TM3) moderately reduced the activities. To clarify the contribution of NuoK to the mechanism of proton translocation, we relocated these two conserved residues. When we shifted (K)Glu-36 along TM2 to positions 32, 38, 39, and 40, the mutants largely retained energy transducing NDH-1 activities. According to the recent structural information, these positions are located in the vicinity of (K)Glu-36, present in the same helix phase, in an immediately before and after helix turn. In an earlier study, a double mutation of two arginine residues located in a short cytoplasmic loop between TM1 and TM2 (loop-1) showed a drastic effect on energy transducing activities. Therefore, the importance of this cytosolic loop of NuoK ((K)Arg-25, (K)Arg-26, and (K)Asn-27) for the energy transducing activities was extensively studied. The probable roles of subunit NuoK in the energy transducing mechanism of NDH-1 are discussed.","author":[{"dropping-particle":"","family":"Torres-Bacete","given":"Jesus","non-dropping-particle":"","parse-names":false,"suffix":""},{"dropping-particle":"","family":"Sinha","given":"Prem Kumar","non-dropping-particle":"","parse-names":false,"suffix":""},{"dropping-particle":"","family":"Sato","given":"Motoaki","non-dropping-particle":"","parse-names":false,"suffix":""},{"dropping-particle":"","family":"Patki","given":"Gaurav","non-dropping-particle":"","parse-names":false,"suffix":""},{"dropping-particle":"","family":"Kao","given":"Mou-Chieh","non-dropping-particle":"","parse-names":false,"suffix":""},{"dropping-particle":"","family":"Matsuno-Yagi","given":"Akemi","non-dropping-particle":"","parse-names":false,"suffix":""},{"dropping-particle":"","family":"Yagi","given":"Takao","non-dropping-particle":"","parse-names":false,"suffix":""}],"container-title":"The Journal of biological chemistry","id":"ITEM-1","issue":"51","issued":{"date-parts":[["2012","12"]]},"language":"eng","page":"42763-42772","title":"Roles of subunit NuoK (ND4L) in the energy-transducing mechanism of Escherichia coli  NDH-1 (NADH:quinone oxidoreductase).","type":"article-journal","volume":"287"},"uris":["http://www.mendeley.com/documents/?uuid=3051479c-09ef-4956-a4ca-e14c24b489c0"]}],"mendeley":{"formattedCitation":"(Torres-Bacete &lt;i&gt;et al&lt;/i&gt;, 2012)","plainTextFormattedCitation":"(Torres-Bacete et al, 2012)","previouslyFormattedCitation":"(Torres-Bacete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(Torres-Bacete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572962C7" w14:textId="77777777" w:rsidTr="00DC25DF">
        <w:trPr>
          <w:trHeight w:val="65"/>
        </w:trPr>
        <w:tc>
          <w:tcPr>
            <w:tcW w:w="1435" w:type="dxa"/>
          </w:tcPr>
          <w:p w14:paraId="5ED6304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R25K</w:t>
            </w:r>
          </w:p>
        </w:tc>
        <w:tc>
          <w:tcPr>
            <w:tcW w:w="2430" w:type="dxa"/>
            <w:vMerge/>
          </w:tcPr>
          <w:p w14:paraId="5A07E036" w14:textId="77777777" w:rsidR="002471A8" w:rsidRPr="00E97FC1" w:rsidRDefault="002471A8" w:rsidP="002471A8">
            <w:pPr>
              <w:rPr>
                <w:rFonts w:ascii="Helvetica" w:hAnsi="Helvetica" w:cs="Helvetica"/>
                <w:sz w:val="20"/>
                <w:szCs w:val="20"/>
                <w:lang w:val="en-GB"/>
              </w:rPr>
            </w:pPr>
          </w:p>
        </w:tc>
        <w:tc>
          <w:tcPr>
            <w:tcW w:w="1440" w:type="dxa"/>
          </w:tcPr>
          <w:p w14:paraId="7B315ED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30115007"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97%</w:t>
            </w:r>
          </w:p>
        </w:tc>
        <w:tc>
          <w:tcPr>
            <w:tcW w:w="1260" w:type="dxa"/>
          </w:tcPr>
          <w:p w14:paraId="2337ED3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28-31%</w:t>
            </w:r>
          </w:p>
        </w:tc>
        <w:tc>
          <w:tcPr>
            <w:tcW w:w="1080" w:type="dxa"/>
          </w:tcPr>
          <w:p w14:paraId="33952F0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7D3AE328" w14:textId="525E08D6"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{"citationItems":[{"id":"ITEM-1","itemData":{"DOI":"10.1021/bi050708w","ISSN":"0006-2960 (Print)","PMID":"15996109","abstract":"The ND4L subunit is the smallest mitochondrial DNA-encoded subunit of the  proton-translocating NADH-quinone oxidoreductase (complex I). In an attempt to study the functional and structural roles of the NuoK subunit (the Escherichia coli homologue of ND4L) of the bacterial NADH-quinone oxidoreductase (NDH-1), we have performed a series of site-specific mutations on the nuoK gene of the NDH-1 operon by using the homologous recombination technique. The amino acid residues we targeted included two highly conserved glutamic acids that are presumably located in the middle of the membrane and several arginine residues that are predicted to be on the cytosolic side. All point mutants examined had fully assembled NDH-1 as detected by blue-native gel electrophoresis and immunostaining. Mutations of nearly perfectly conserved Glu-36 lead to almost null activities of coupled electron transfer with a concomitant loss of generation of electrochemical gradient. A significant diminution of the coupled activities was also observed with mutations of another highly conserved residue, Glu-72. These results may suggest that both membrane-embedded acidic residues are important for the coupling mechanism of NDH-1. Furthermore, a severe impairment of the coupled activities occurred when two vicinal arginine residues on a cytosolic loop were simultaneously mutated. Possible roles of these arginine residues and other conserved residues in the NuoK subunit for NDH-1 function were discussed.","author":[{"dropping-particle":"","family":"Kao","given":"Mou-Chieh","non-dropping-particle":"","parse-names":false,"suffix":""},{"dropping-particle":"","family":"Nakamaru-Ogiso","given":"Eiko","non-dropping-particle":"","parse-names":false,"suffix":""},{"dropping-particle":"","family":"Matsuno-Yagi","given":"Akemi","non-dropping-particle":"","parse-names":false,"suffix":""},{"dropping-particle":"","family":"Yagi","given":"Takao","non-dropping-particle":"","parse-names":false,"suffix":""}],"container-title":"Biochemistry","id":"ITEM-1","issue":"27","issued":{"date-parts":[["2005","7"]]},"language":"eng","page":"9545-9554","publisher-place":"United States","title":"Characterization of the membrane domain subunit NuoK (ND4L) of the NADH-quinone  oxidoreductase from Escherichia coli.","type":"article-journal","volume":"44"},"uris":["http://www.mendeley.com/documents/?uuid=57d558af-5785-42e6-ad7a-f43c2be5b276"]}],"mendeley":{"formattedCitation":"(Kao &lt;i&gt;et al&lt;/i&gt;, 2005b)","plainTextFormattedCitation":"(Kao et al, 2005b)","previouslyFormattedCitation":"(Kao &lt;i&gt;et al&lt;/i&gt;, 2005b)"},"properties":{"noteIndex":0},"schema":"https://github.com/citation-style-language/schema/raw/master/csl-citation.json"}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(Kao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2005b)</w:t>
            </w:r>
            <w:r w:rsidRPr="00E97FC1">
              <w:rPr>
                <w:rFonts w:ascii="Helvetica" w:hAnsi="Helvetica" w:cs="Helvetica"/>
                <w:b/>
                <w:bCs/>
                <w:sz w:val="16"/>
                <w:szCs w:val="20"/>
                <w:lang w:val="en-GB"/>
              </w:rPr>
              <w:fldChar w:fldCharType="end"/>
            </w:r>
          </w:p>
        </w:tc>
      </w:tr>
      <w:tr w:rsidR="002471A8" w:rsidRPr="00E97FC1" w14:paraId="6F20AEA7" w14:textId="77777777" w:rsidTr="00DC25DF">
        <w:trPr>
          <w:trHeight w:val="65"/>
        </w:trPr>
        <w:tc>
          <w:tcPr>
            <w:tcW w:w="1435" w:type="dxa"/>
          </w:tcPr>
          <w:p w14:paraId="69BF3FD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R25K</w:t>
            </w:r>
          </w:p>
        </w:tc>
        <w:tc>
          <w:tcPr>
            <w:tcW w:w="2430" w:type="dxa"/>
            <w:vMerge/>
          </w:tcPr>
          <w:p w14:paraId="6900E2E2" w14:textId="77777777" w:rsidR="002471A8" w:rsidRPr="00E97FC1" w:rsidRDefault="002471A8" w:rsidP="002471A8">
            <w:pPr>
              <w:rPr>
                <w:rFonts w:ascii="Helvetica" w:hAnsi="Helvetica" w:cs="Helvetica"/>
                <w:sz w:val="20"/>
                <w:szCs w:val="20"/>
                <w:lang w:val="en-GB"/>
              </w:rPr>
            </w:pPr>
          </w:p>
        </w:tc>
        <w:tc>
          <w:tcPr>
            <w:tcW w:w="1440" w:type="dxa"/>
          </w:tcPr>
          <w:p w14:paraId="620CF8C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reduced</w:t>
            </w:r>
          </w:p>
        </w:tc>
        <w:tc>
          <w:tcPr>
            <w:tcW w:w="1170" w:type="dxa"/>
          </w:tcPr>
          <w:p w14:paraId="26AFD93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97%</w:t>
            </w:r>
          </w:p>
        </w:tc>
        <w:tc>
          <w:tcPr>
            <w:tcW w:w="1260" w:type="dxa"/>
          </w:tcPr>
          <w:p w14:paraId="432D937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58-78%</w:t>
            </w:r>
          </w:p>
        </w:tc>
        <w:tc>
          <w:tcPr>
            <w:tcW w:w="1080" w:type="dxa"/>
          </w:tcPr>
          <w:p w14:paraId="467EE65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100%</w:t>
            </w:r>
          </w:p>
        </w:tc>
        <w:tc>
          <w:tcPr>
            <w:tcW w:w="1260" w:type="dxa"/>
          </w:tcPr>
          <w:p w14:paraId="0D577498" w14:textId="052FFC4A"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{"citationItems":[{"id":"ITEM-1","itemData":{"DOI":"10.1074/jbc.M112.422824","ISSN":"1083-351X (Electronic)","PMID":"23105119","abstract":"The bacterial H(+)-translocating NADH:quinone oxidoreductase (NDH-1) catalyzes  electron transfer from NADH to quinone coupled with proton pumping across the cytoplasmic membrane. The NuoK subunit (counterpart of the mitochondrial ND4L subunit) is one of the seven hydrophobic subunits in the membrane domain and bears three transmembrane segments (TM1-3). Two glutamic residues located in the adjacent transmembrane helices of NuoK are important for the energy coupled activity of NDH-1. In particular, mutation of the highly conserved carboxyl residue ((K)Glu-36 in TM2) to Ala led to a complete loss of the NDH-1 activities. Mutation of the second conserved carboxyl residue ((K)Glu-72 in TM3) moderately reduced the activities. To clarify the contribution of NuoK to the mechanism of proton translocation, we relocated these two conserved residues. When we shifted (K)Glu-36 along TM2 to positions 32, 38, 39, and 40, the mutants largely retained energy transducing NDH-1 activities. According to the recent structural information, these positions are located in the vicinity of (K)Glu-36, present in the same helix phase, in an immediately before and after helix turn. In an earlier study, a double mutation of two arginine residues located in a short cytoplasmic loop between TM1 and TM2 (loop-1) showed a drastic effect on energy transducing activities. Therefore, the importance of this cytosolic loop of NuoK ((K)Arg-25, (K)Arg-26, and (K)Asn-27) for the energy transducing activities was extensively studied. The probable roles of subunit NuoK in the energy transducing mechanism of NDH-1 are discussed.","author":[{"dropping-particle":"","family":"Torres-Bacete","given":"Jesus","non-dropping-particle":"","parse-names":false,"suffix":""},{"dropping-particle":"","family":"Sinha","given":"Prem Kumar","non-dropping-particle":"","parse-names":false,"suffix":""},{"dropping-particle":"","family":"Sato","given":"Motoaki","non-dropping-particle":"","parse-names":false,"suffix":""},{"dropping-particle":"","family":"Patki","given":"Gaurav","non-dropping-particle":"","parse-names":false,"suffix":""},{"dropping-particle":"","family":"Kao","given":"Mou-Chieh","non-dropping-particle":"","parse-names":false,"suffix":""},{"dropping-particle":"","family":"Matsuno-Yagi","given":"Akemi","non-dropping-particle":"","parse-names":false,"suffix":""},{"dropping-particle":"","family":"Yagi","given":"Takao","non-dropping-particle":"","parse-names":false,"suffix":""}],"container-title":"The Journal of biological chemistry","id":"ITEM-1","issue":"51","issued":{"date-parts":[["2012","12"]]},"language":"eng","page":"42763-42772","title":"Roles of subunit NuoK (ND4L) in the energy-transducing mechanism of Escherichia coli  NDH-1 (NADH:quinone oxidoreductase).","type":"article-journal","volume":"287"},"uris":["http://www.mendeley.com/documents/?uuid=3051479c-09ef-4956-a4ca-e14c24b489c0"]}],"mendeley":{"formattedCitation":"(Torres-Bacete &lt;i&gt;et al&lt;/i&gt;, 2012)","plainTextFormattedCitation":"(Torres-Bacete et al, 2012)","previouslyFormattedCitation":"(Torres-Bacete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(Torres-Bacete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51B6CC77" w14:textId="77777777" w:rsidTr="00DC25DF">
        <w:trPr>
          <w:trHeight w:val="65"/>
        </w:trPr>
        <w:tc>
          <w:tcPr>
            <w:tcW w:w="1435" w:type="dxa"/>
          </w:tcPr>
          <w:p w14:paraId="53D928CA"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R25C</w:t>
            </w:r>
          </w:p>
        </w:tc>
        <w:tc>
          <w:tcPr>
            <w:tcW w:w="2430" w:type="dxa"/>
            <w:vMerge/>
          </w:tcPr>
          <w:p w14:paraId="4CFEAB6B" w14:textId="77777777" w:rsidR="002471A8" w:rsidRPr="00E97FC1" w:rsidRDefault="002471A8" w:rsidP="002471A8">
            <w:pPr>
              <w:rPr>
                <w:rFonts w:ascii="Helvetica" w:hAnsi="Helvetica" w:cs="Helvetica"/>
                <w:sz w:val="20"/>
                <w:szCs w:val="20"/>
                <w:lang w:val="en-GB"/>
              </w:rPr>
            </w:pPr>
          </w:p>
        </w:tc>
        <w:tc>
          <w:tcPr>
            <w:tcW w:w="1440" w:type="dxa"/>
          </w:tcPr>
          <w:p w14:paraId="6103002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reduced</w:t>
            </w:r>
          </w:p>
        </w:tc>
        <w:tc>
          <w:tcPr>
            <w:tcW w:w="1170" w:type="dxa"/>
          </w:tcPr>
          <w:p w14:paraId="4B291781"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97%</w:t>
            </w:r>
          </w:p>
        </w:tc>
        <w:tc>
          <w:tcPr>
            <w:tcW w:w="1260" w:type="dxa"/>
          </w:tcPr>
          <w:p w14:paraId="0277931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53-81%</w:t>
            </w:r>
          </w:p>
        </w:tc>
        <w:tc>
          <w:tcPr>
            <w:tcW w:w="1080" w:type="dxa"/>
          </w:tcPr>
          <w:p w14:paraId="4051DFE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90%</w:t>
            </w:r>
          </w:p>
        </w:tc>
        <w:tc>
          <w:tcPr>
            <w:tcW w:w="1260" w:type="dxa"/>
          </w:tcPr>
          <w:p w14:paraId="2007438A" w14:textId="298149C2"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{"citationItems":[{"id":"ITEM-1","itemData":{"DOI":"10.1074/jbc.M112.422824","ISSN":"1083-351X (Electronic)","PMID":"23105119","abstract":"The bacterial H(+)-translocating NADH:quinone oxidoreductase (NDH-1) catalyzes  electron transfer from NADH to quinone coupled with proton pumping across the cytoplasmic membrane. The NuoK subunit (counterpart of the mitochondrial ND4L subunit) is one of the seven hydrophobic subunits in the membrane domain and bears three transmembrane segments (TM1-3). Two glutamic residues located in the adjacent transmembrane helices of NuoK are important for the energy coupled activity of NDH-1. In particular, mutation of the highly conserved carboxyl residue ((K)Glu-36 in TM2) to Ala led to a complete loss of the NDH-1 activities. Mutation of the second conserved carboxyl residue ((K)Glu-72 in TM3) moderately reduced the activities. To clarify the contribution of NuoK to the mechanism of proton translocation, we relocated these two conserved residues. When we shifted (K)Glu-36 along TM2 to positions 32, 38, 39, and 40, the mutants largely retained energy transducing NDH-1 activities. According to the recent structural information, these positions are located in the vicinity of (K)Glu-36, present in the same helix phase, in an immediately before and after helix turn. In an earlier study, a double mutation of two arginine residues located in a short cytoplasmic loop between TM1 and TM2 (loop-1) showed a drastic effect on energy transducing activities. Therefore, the importance of this cytosolic loop of NuoK ((K)Arg-25, (K)Arg-26, and (K)Asn-27) for the energy transducing activities was extensively studied. The probable roles of subunit NuoK in the energy transducing mechanism of NDH-1 are discussed.","author":[{"dropping-particle":"","family":"Torres-Bacete","given":"Jesus","non-dropping-particle":"","parse-names":false,"suffix":""},{"dropping-particle":"","family":"Sinha","given":"Prem Kumar","non-dropping-particle":"","parse-names":false,"suffix":""},{"dropping-particle":"","family":"Sato","given":"Motoaki","non-dropping-particle":"","parse-names":false,"suffix":""},{"dropping-particle":"","family":"Patki","given":"Gaurav","non-dropping-particle":"","parse-names":false,"suffix":""},{"dropping-particle":"","family":"Kao","given":"Mou-Chieh","non-dropping-particle":"","parse-names":false,"suffix":""},{"dropping-particle":"","family":"Matsuno-Yagi","given":"Akemi","non-dropping-particle":"","parse-names":false,"suffix":""},{"dropping-particle":"","family":"Yagi","given":"Takao","non-dropping-particle":"","parse-names":false,"suffix":""}],"container-title":"The Journal of biological chemistry","id":"ITEM-1","issue":"51","issued":{"date-parts":[["2012","12"]]},"language":"eng","page":"42763-42772","title":"Roles of subunit NuoK (ND4L) in the energy-transducing mechanism of Escherichia coli  NDH-1 (NADH:quinone oxidoreductase).","type":"article-journal","volume":"287"},"uris":["http://www.mendeley.com/documents/?uuid=3051479c-09ef-4956-a4ca-e14c24b489c0"]}],"mendeley":{"formattedCitation":"(Torres-Bacete &lt;i&gt;et al&lt;/i&gt;, 2012)","plainTextFormattedCitation":"(Torres-Bacete et al, 2012)","previouslyFormattedCitation":"(Torres-Bacete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(Torres-Bacete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58EAE4C5" w14:textId="77777777" w:rsidTr="00DC25DF">
        <w:trPr>
          <w:trHeight w:val="65"/>
        </w:trPr>
        <w:tc>
          <w:tcPr>
            <w:tcW w:w="1435" w:type="dxa"/>
          </w:tcPr>
          <w:p w14:paraId="6CCEC81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R25S</w:t>
            </w:r>
          </w:p>
        </w:tc>
        <w:tc>
          <w:tcPr>
            <w:tcW w:w="2430" w:type="dxa"/>
            <w:vMerge/>
          </w:tcPr>
          <w:p w14:paraId="53DE4862" w14:textId="77777777" w:rsidR="002471A8" w:rsidRPr="00E97FC1" w:rsidRDefault="002471A8" w:rsidP="002471A8">
            <w:pPr>
              <w:rPr>
                <w:rFonts w:ascii="Helvetica" w:hAnsi="Helvetica" w:cs="Helvetica"/>
                <w:sz w:val="20"/>
                <w:szCs w:val="20"/>
                <w:lang w:val="en-GB"/>
              </w:rPr>
            </w:pPr>
          </w:p>
        </w:tc>
        <w:tc>
          <w:tcPr>
            <w:tcW w:w="1440" w:type="dxa"/>
          </w:tcPr>
          <w:p w14:paraId="118BBC8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reduced</w:t>
            </w:r>
          </w:p>
        </w:tc>
        <w:tc>
          <w:tcPr>
            <w:tcW w:w="1170" w:type="dxa"/>
          </w:tcPr>
          <w:p w14:paraId="38CC7A9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915</w:t>
            </w:r>
          </w:p>
        </w:tc>
        <w:tc>
          <w:tcPr>
            <w:tcW w:w="1260" w:type="dxa"/>
          </w:tcPr>
          <w:p w14:paraId="1787836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51-64%</w:t>
            </w:r>
          </w:p>
        </w:tc>
        <w:tc>
          <w:tcPr>
            <w:tcW w:w="1080" w:type="dxa"/>
          </w:tcPr>
          <w:p w14:paraId="44C958D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70%</w:t>
            </w:r>
          </w:p>
        </w:tc>
        <w:tc>
          <w:tcPr>
            <w:tcW w:w="1260" w:type="dxa"/>
          </w:tcPr>
          <w:p w14:paraId="7B61258F" w14:textId="6FE3BF64"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{"citationItems":[{"id":"ITEM-1","itemData":{"DOI":"10.1074/jbc.M112.422824","ISSN":"1083-351X (Electronic)","PMID":"23105119","abstract":"The bacterial H(+)-translocating NADH:quinone oxidoreductase (NDH-1) catalyzes  electron transfer from NADH to quinone coupled with proton pumping across the cytoplasmic membrane. The NuoK subunit (counterpart of the mitochondrial ND4L subunit) is one of the seven hydrophobic subunits in the membrane domain and bears three transmembrane segments (TM1-3). Two glutamic residues located in the adjacent transmembrane helices of NuoK are important for the energy coupled activity of NDH-1. In particular, mutation of the highly conserved carboxyl residue ((K)Glu-36 in TM2) to Ala led to a complete loss of the NDH-1 activities. Mutation of the second conserved carboxyl residue ((K)Glu-72 in TM3) moderately reduced the activities. To clarify the contribution of NuoK to the mechanism of proton translocation, we relocated these two conserved residues. When we shifted (K)Glu-36 along TM2 to positions 32, 38, 39, and 40, the mutants largely retained energy transducing NDH-1 activities. According to the recent structural information, these positions are located in the vicinity of (K)Glu-36, present in the same helix phase, in an immediately before and after helix turn. In an earlier study, a double mutation of two arginine residues located in a short cytoplasmic loop between TM1 and TM2 (loop-1) showed a drastic effect on energy transducing activities. Therefore, the importance of this cytosolic loop of NuoK ((K)Arg-25, (K)Arg-26, and (K)Asn-27) for the energy transducing activities was extensively studied. The probable roles of subunit NuoK in the energy transducing mechanism of NDH-1 are discussed.","author":[{"dropping-particle":"","family":"Torres-Bacete","given":"Jesus","non-dropping-particle":"","parse-names":false,"suffix":""},{"dropping-particle":"","family":"Sinha","given":"Prem Kumar","non-dropping-particle":"","parse-names":false,"suffix":""},{"dropping-particle":"","family":"Sato","given":"Motoaki","non-dropping-particle":"","parse-names":false,"suffix":""},{"dropping-particle":"","family":"Patki","given":"Gaurav","non-dropping-particle":"","parse-names":false,"suffix":""},{"dropping-particle":"","family":"Kao","given":"Mou-Chieh","non-dropping-particle":"","parse-names":false,"suffix":""},{"dropping-particle":"","family":"Matsuno-Yagi","given":"Akemi","non-dropping-particle":"","parse-names":false,"suffix":""},{"dropping-particle":"","family":"Yagi","given":"Takao","non-dropping-particle":"","parse-names":false,"suffix":""}],"container-title":"The Journal of biological chemistry","id":"ITEM-1","issue":"51","issued":{"date-parts":[["2012","12"]]},"language":"eng","page":"42763-42772","title":"Roles of subunit NuoK (ND4L) in the energy-transducing mechanism of Escherichia coli  NDH-1 (NADH:quinone oxidoreductase).","type":"article-journal","volume":"287"},"uris":["http://www.mendeley.com/documents/?uuid=3051479c-09ef-4956-a4ca-e14c24b489c0"]}],"mendeley":{"formattedCitation":"(Torres-Bacete &lt;i&gt;et al&lt;/i&gt;, 2012)","plainTextFormattedCitation":"(Torres-Bacete et al, 2012)","previouslyFormattedCitation":"(Torres-Bacete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(Torres-Bacete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0CEFBC1A" w14:textId="77777777" w:rsidTr="00DC25DF">
        <w:trPr>
          <w:trHeight w:val="65"/>
        </w:trPr>
        <w:tc>
          <w:tcPr>
            <w:tcW w:w="1435" w:type="dxa"/>
          </w:tcPr>
          <w:p w14:paraId="4657434A"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R26A</w:t>
            </w:r>
          </w:p>
        </w:tc>
        <w:tc>
          <w:tcPr>
            <w:tcW w:w="2430" w:type="dxa"/>
            <w:vMerge w:val="restart"/>
          </w:tcPr>
          <w:p w14:paraId="1CBD530A"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 xml:space="preserve">surface, near </w:t>
            </w:r>
            <w:r w:rsidRPr="00E97FC1">
              <w:rPr>
                <w:rFonts w:ascii="Helvetica" w:hAnsi="Helvetica" w:cs="Helvetica"/>
                <w:sz w:val="20"/>
                <w:szCs w:val="20"/>
                <w:vertAlign w:val="subscript"/>
                <w:lang w:val="en-GB"/>
              </w:rPr>
              <w:t>L</w:t>
            </w:r>
            <w:r w:rsidRPr="00E97FC1">
              <w:rPr>
                <w:rFonts w:ascii="Helvetica" w:hAnsi="Helvetica" w:cs="Helvetica"/>
                <w:sz w:val="20"/>
                <w:szCs w:val="20"/>
                <w:lang w:val="en-GB"/>
              </w:rPr>
              <w:t>TM16</w:t>
            </w:r>
          </w:p>
        </w:tc>
        <w:tc>
          <w:tcPr>
            <w:tcW w:w="1440" w:type="dxa"/>
          </w:tcPr>
          <w:p w14:paraId="2627625A"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4FF4E79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91%</w:t>
            </w:r>
          </w:p>
        </w:tc>
        <w:tc>
          <w:tcPr>
            <w:tcW w:w="1260" w:type="dxa"/>
          </w:tcPr>
          <w:p w14:paraId="016678D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39%</w:t>
            </w:r>
          </w:p>
        </w:tc>
        <w:tc>
          <w:tcPr>
            <w:tcW w:w="1080" w:type="dxa"/>
          </w:tcPr>
          <w:p w14:paraId="5336547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40%</w:t>
            </w:r>
          </w:p>
        </w:tc>
        <w:tc>
          <w:tcPr>
            <w:tcW w:w="1260" w:type="dxa"/>
          </w:tcPr>
          <w:p w14:paraId="6652AE25" w14:textId="5EB36B78"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{"citationItems":[{"id":"ITEM-1","itemData":{"DOI":"10.1021/bi050708w","ISSN":"0006-2960 (Print)","PMID":"15996109","abstract":"The ND4L subunit is the smallest mitochondrial DNA-encoded subunit of the  proton-translocating NADH-quinone oxidoreductase (complex I). In an attempt to study the functional and structural roles of the NuoK subunit (the Escherichia coli homologue of ND4L) of the bacterial NADH-quinone oxidoreductase (NDH-1), we have performed a series of site-specific mutations on the nuoK gene of the NDH-1 operon by using the homologous recombination technique. The amino acid residues we targeted included two highly conserved glutamic acids that are presumably located in the middle of the membrane and several arginine residues that are predicted to be on the cytosolic side. All point mutants examined had fully assembled NDH-1 as detected by blue-native gel electrophoresis and immunostaining. Mutations of nearly perfectly conserved Glu-36 lead to almost null activities of coupled electron transfer with a concomitant loss of generation of electrochemical gradient. A significant diminution of the coupled activities was also observed with mutations of another highly conserved residue, Glu-72. These results may suggest that both membrane-embedded acidic residues are important for the coupling mechanism of NDH-1. Furthermore, a severe impairment of the coupled activities occurred when two vicinal arginine residues on a cytosolic loop were simultaneously mutated. Possible roles of these arginine residues and other conserved residues in the NuoK subunit for NDH-1 function were discussed.","author":[{"dropping-particle":"","family":"Kao","given":"Mou-Chieh","non-dropping-particle":"","parse-names":false,"suffix":""},{"dropping-particle":"","family":"Nakamaru-Ogiso","given":"Eiko","non-dropping-particle":"","parse-names":false,"suffix":""},{"dropping-particle":"","family":"Matsuno-Yagi","given":"Akemi","non-dropping-particle":"","parse-names":false,"suffix":""},{"dropping-particle":"","family":"Yagi","given":"Takao","non-dropping-particle":"","parse-names":false,"suffix":""}],"container-title":"Biochemistry","id":"ITEM-1","issue":"27","issued":{"date-parts":[["2005","7"]]},"language":"eng","page":"9545-9554","publisher-place":"United States","title":"Characterization of the membrane domain subunit NuoK (ND4L) of the NADH-quinone  oxidoreductase from Escherichia coli.","type":"article-journal","volume":"44"},"uris":["http://www.mendeley.com/documents/?uuid=57d558af-5785-42e6-ad7a-f43c2be5b276"]}],"mendeley":{"formattedCitation":"(Kao &lt;i&gt;et al&lt;/i&gt;, 2005b)","plainTextFormattedCitation":"(Kao et al, 2005b)","previouslyFormattedCitation":"(Kao &lt;i&gt;et al&lt;/i&gt;, 2005b)"},"properties":{"noteIndex":0},"schema":"https://github.com/citation-style-language/schema/raw/master/csl-citation.json"}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(Kao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2005b)</w:t>
            </w:r>
            <w:r w:rsidRPr="00E97FC1">
              <w:rPr>
                <w:rFonts w:ascii="Helvetica" w:hAnsi="Helvetica" w:cs="Helvetica"/>
                <w:b/>
                <w:bCs/>
                <w:sz w:val="16"/>
                <w:szCs w:val="20"/>
                <w:lang w:val="en-GB"/>
              </w:rPr>
              <w:fldChar w:fldCharType="end"/>
            </w:r>
          </w:p>
        </w:tc>
      </w:tr>
      <w:tr w:rsidR="002471A8" w:rsidRPr="00E97FC1" w14:paraId="1EBC3807" w14:textId="77777777" w:rsidTr="00DC25DF">
        <w:trPr>
          <w:trHeight w:val="65"/>
        </w:trPr>
        <w:tc>
          <w:tcPr>
            <w:tcW w:w="1435" w:type="dxa"/>
          </w:tcPr>
          <w:p w14:paraId="640FF22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R26A</w:t>
            </w:r>
          </w:p>
        </w:tc>
        <w:tc>
          <w:tcPr>
            <w:tcW w:w="2430" w:type="dxa"/>
            <w:vMerge/>
          </w:tcPr>
          <w:p w14:paraId="52CACC84" w14:textId="77777777" w:rsidR="002471A8" w:rsidRPr="00E97FC1" w:rsidRDefault="002471A8" w:rsidP="002471A8">
            <w:pPr>
              <w:rPr>
                <w:rFonts w:ascii="Helvetica" w:hAnsi="Helvetica" w:cs="Helvetica"/>
                <w:sz w:val="20"/>
                <w:szCs w:val="20"/>
                <w:lang w:val="en-GB"/>
              </w:rPr>
            </w:pPr>
          </w:p>
        </w:tc>
        <w:tc>
          <w:tcPr>
            <w:tcW w:w="1440" w:type="dxa"/>
          </w:tcPr>
          <w:p w14:paraId="4914BCD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reduced</w:t>
            </w:r>
          </w:p>
        </w:tc>
        <w:tc>
          <w:tcPr>
            <w:tcW w:w="1170" w:type="dxa"/>
          </w:tcPr>
          <w:p w14:paraId="3B9C881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98%</w:t>
            </w:r>
          </w:p>
        </w:tc>
        <w:tc>
          <w:tcPr>
            <w:tcW w:w="1260" w:type="dxa"/>
          </w:tcPr>
          <w:p w14:paraId="7F1E0FA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55-73%</w:t>
            </w:r>
          </w:p>
        </w:tc>
        <w:tc>
          <w:tcPr>
            <w:tcW w:w="1080" w:type="dxa"/>
          </w:tcPr>
          <w:p w14:paraId="3F4C75E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90%</w:t>
            </w:r>
          </w:p>
        </w:tc>
        <w:tc>
          <w:tcPr>
            <w:tcW w:w="1260" w:type="dxa"/>
          </w:tcPr>
          <w:p w14:paraId="7354FEB4" w14:textId="7A12E96A"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{"citationItems":[{"id":"ITEM-1","itemData":{"DOI":"10.1074/jbc.M112.422824","ISSN":"1083-351X (Electronic)","PMID":"23105119","abstract":"The bacterial H(+)-translocating NADH:quinone oxidoreductase (NDH-1) catalyzes  electron transfer from NADH to quinone coupled with proton pumping across the cytoplasmic membrane. The NuoK subunit (counterpart of the mitochondrial ND4L subunit) is one of the seven hydrophobic subunits in the membrane domain and bears three transmembrane segments (TM1-3). Two glutamic residues located in the adjacent transmembrane helices of NuoK are important for the energy coupled activity of NDH-1. In particular, mutation of the highly conserved carboxyl residue ((K)Glu-36 in TM2) to Ala led to a complete loss of the NDH-1 activities. Mutation of the second conserved carboxyl residue ((K)Glu-72 in TM3) moderately reduced the activities. To clarify the contribution of NuoK to the mechanism of proton translocation, we relocated these two conserved residues. When we shifted (K)Glu-36 along TM2 to positions 32, 38, 39, and 40, the mutants largely retained energy transducing NDH-1 activities. According to the recent structural information, these positions are located in the vicinity of (K)Glu-36, present in the same helix phase, in an immediately before and after helix turn. In an earlier study, a double mutation of two arginine residues located in a short cytoplasmic loop between TM1 and TM2 (loop-1) showed a drastic effect on energy transducing activities. Therefore, the importance of this cytosolic loop of NuoK ((K)Arg-25, (K)Arg-26, and (K)Asn-27) for the energy transducing activities was extensively studied. The probable roles of subunit NuoK in the energy transducing mechanism of NDH-1 are discussed.","author":[{"dropping-particle":"","family":"Torres-Bacete","given":"Jesus","non-dropping-particle":"","parse-names":false,"suffix":""},{"dropping-particle":"","family":"Sinha","given":"Prem Kumar","non-dropping-particle":"","parse-names":false,"suffix":""},{"dropping-particle":"","family":"Sato","given":"Motoaki","non-dropping-particle":"","parse-names":false,"suffix":""},{"dropping-particle":"","family":"Patki","given":"Gaurav","non-dropping-particle":"","parse-names":false,"suffix":""},{"dropping-particle":"","family":"Kao","given":"Mou-Chieh","non-dropping-particle":"","parse-names":false,"suffix":""},{"dropping-particle":"","family":"Matsuno-Yagi","given":"Akemi","non-dropping-particle":"","parse-names":false,"suffix":""},{"dropping-particle":"","family":"Yagi","given":"Takao","non-dropping-particle":"","parse-names":false,"suffix":""}],"container-title":"The Journal of biological chemistry","id":"ITEM-1","issue":"51","issued":{"date-parts":[["2012","12"]]},"language":"eng","page":"42763-42772","title":"Roles of subunit NuoK (ND4L) in the energy-transducing mechanism of Escherichia coli  NDH-1 (NADH:quinone oxidoreductase).","type":"article-journal","volume":"287"},"uris":["http://www.mendeley.com/documents/?uuid=3051479c-09ef-4956-a4ca-e14c24b489c0"]}],"mendeley":{"formattedCitation":"(Torres-Bacete &lt;i&gt;et al&lt;/i&gt;, 2012)","plainTextFormattedCitation":"(Torres-Bacete et al, 2012)","previouslyFormattedCitation":"(Torres-Bacete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(Torres-Bacete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1567B349" w14:textId="77777777" w:rsidTr="00DC25DF">
        <w:trPr>
          <w:trHeight w:val="65"/>
        </w:trPr>
        <w:tc>
          <w:tcPr>
            <w:tcW w:w="1435" w:type="dxa"/>
          </w:tcPr>
          <w:p w14:paraId="35BE291A"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R26K</w:t>
            </w:r>
          </w:p>
        </w:tc>
        <w:tc>
          <w:tcPr>
            <w:tcW w:w="2430" w:type="dxa"/>
            <w:vMerge/>
          </w:tcPr>
          <w:p w14:paraId="5B3BAC00" w14:textId="77777777" w:rsidR="002471A8" w:rsidRPr="00E97FC1" w:rsidRDefault="002471A8" w:rsidP="002471A8">
            <w:pPr>
              <w:rPr>
                <w:rFonts w:ascii="Helvetica" w:hAnsi="Helvetica" w:cs="Helvetica"/>
                <w:sz w:val="20"/>
                <w:szCs w:val="20"/>
                <w:lang w:val="en-GB"/>
              </w:rPr>
            </w:pPr>
          </w:p>
        </w:tc>
        <w:tc>
          <w:tcPr>
            <w:tcW w:w="1440" w:type="dxa"/>
          </w:tcPr>
          <w:p w14:paraId="1B4268E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5DBE09E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96%</w:t>
            </w:r>
          </w:p>
        </w:tc>
        <w:tc>
          <w:tcPr>
            <w:tcW w:w="1260" w:type="dxa"/>
          </w:tcPr>
          <w:p w14:paraId="5E8FBDE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100%</w:t>
            </w:r>
          </w:p>
        </w:tc>
        <w:tc>
          <w:tcPr>
            <w:tcW w:w="1080" w:type="dxa"/>
          </w:tcPr>
          <w:p w14:paraId="4B75744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73FB93F2" w14:textId="07DC304E"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{"citationItems":[{"id":"ITEM-1","itemData":{"DOI":"10.1021/bi050708w","ISSN":"0006-2960 (Print)","PMID":"15996109","abstract":"The ND4L subunit is the smallest mitochondrial DNA-encoded subunit of the  proton-translocating NADH-quinone oxidoreductase (complex I). In an attempt to study the functional and structural roles of the NuoK subunit (the Escherichia coli homologue of ND4L) of the bacterial NADH-quinone oxidoreductase (NDH-1), we have performed a series of site-specific mutations on the nuoK gene of the NDH-1 operon by using the homologous recombination technique. The amino acid residues we targeted included two highly conserved glutamic acids that are presumably located in the middle of the membrane and several arginine residues that are predicted to be on the cytosolic side. All point mutants examined had fully assembled NDH-1 as detected by blue-native gel electrophoresis and immunostaining. Mutations of nearly perfectly conserved Glu-36 lead to almost null activities of coupled electron transfer with a concomitant loss of generation of electrochemical gradient. A significant diminution of the coupled activities was also observed with mutations of another highly conserved residue, Glu-72. These results may suggest that both membrane-embedded acidic residues are important for the coupling mechanism of NDH-1. Furthermore, a severe impairment of the coupled activities occurred when two vicinal arginine residues on a cytosolic loop were simultaneously mutated. Possible roles of these arginine residues and other conserved residues in the NuoK subunit for NDH-1 function were discussed.","author":[{"dropping-particle":"","family":"Kao","given":"Mou-Chieh","non-dropping-particle":"","parse-names":false,"suffix":""},{"dropping-particle":"","family":"Nakamaru-Ogiso","given":"Eiko","non-dropping-particle":"","parse-names":false,"suffix":""},{"dropping-particle":"","family":"Matsuno-Yagi","given":"Akemi","non-dropping-particle":"","parse-names":false,"suffix":""},{"dropping-particle":"","family":"Yagi","given":"Takao","non-dropping-particle":"","parse-names":false,"suffix":""}],"container-title":"Biochemistry","id":"ITEM-1","issue":"27","issued":{"date-parts":[["2005","7"]]},"language":"eng","page":"9545-9554","publisher-place":"United States","title":"Characterization of the membrane domain subunit NuoK (ND4L) of the NADH-quinone  oxidoreductase from Escherichia coli.","type":"article-journal","volume":"44"},"uris":["http://www.mendeley.com/documents/?uuid=57d558af-5785-42e6-ad7a-f43c2be5b276"]}],"mendeley":{"formattedCitation":"(Kao &lt;i&gt;et al&lt;/i&gt;, 2005b)","plainTextFormattedCitation":"(Kao et al, 2005b)","previouslyFormattedCitation":"(Kao &lt;i&gt;et al&lt;/i&gt;, 2005b)"},"properties":{"noteIndex":0},"schema":"https://github.com/citation-style-language/schema/raw/master/csl-citation.json"}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(Kao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2005b)</w:t>
            </w:r>
            <w:r w:rsidRPr="00E97FC1">
              <w:rPr>
                <w:rFonts w:ascii="Helvetica" w:hAnsi="Helvetica" w:cs="Helvetica"/>
                <w:b/>
                <w:bCs/>
                <w:sz w:val="16"/>
                <w:szCs w:val="20"/>
                <w:lang w:val="en-GB"/>
              </w:rPr>
              <w:fldChar w:fldCharType="end"/>
            </w:r>
          </w:p>
        </w:tc>
      </w:tr>
      <w:tr w:rsidR="002471A8" w:rsidRPr="00E97FC1" w14:paraId="5B9A8A41" w14:textId="77777777" w:rsidTr="00DC25DF">
        <w:trPr>
          <w:trHeight w:val="65"/>
        </w:trPr>
        <w:tc>
          <w:tcPr>
            <w:tcW w:w="1435" w:type="dxa"/>
          </w:tcPr>
          <w:p w14:paraId="4655C17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R26K</w:t>
            </w:r>
          </w:p>
        </w:tc>
        <w:tc>
          <w:tcPr>
            <w:tcW w:w="2430" w:type="dxa"/>
            <w:vMerge/>
          </w:tcPr>
          <w:p w14:paraId="62EC2382" w14:textId="77777777" w:rsidR="002471A8" w:rsidRPr="00E97FC1" w:rsidRDefault="002471A8" w:rsidP="002471A8">
            <w:pPr>
              <w:rPr>
                <w:rFonts w:ascii="Helvetica" w:hAnsi="Helvetica" w:cs="Helvetica"/>
                <w:sz w:val="20"/>
                <w:szCs w:val="20"/>
                <w:lang w:val="en-GB"/>
              </w:rPr>
            </w:pPr>
          </w:p>
        </w:tc>
        <w:tc>
          <w:tcPr>
            <w:tcW w:w="1440" w:type="dxa"/>
          </w:tcPr>
          <w:p w14:paraId="181B294A"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650BC76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106%</w:t>
            </w:r>
          </w:p>
        </w:tc>
        <w:tc>
          <w:tcPr>
            <w:tcW w:w="1260" w:type="dxa"/>
          </w:tcPr>
          <w:p w14:paraId="0FEDE49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80-95%</w:t>
            </w:r>
          </w:p>
        </w:tc>
        <w:tc>
          <w:tcPr>
            <w:tcW w:w="1080" w:type="dxa"/>
          </w:tcPr>
          <w:p w14:paraId="3466EF0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100%</w:t>
            </w:r>
          </w:p>
        </w:tc>
        <w:tc>
          <w:tcPr>
            <w:tcW w:w="1260" w:type="dxa"/>
          </w:tcPr>
          <w:p w14:paraId="6BEC197C" w14:textId="506F3379"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{"citationItems":[{"id":"ITEM-1","itemData":{"DOI":"10.1074/jbc.M112.422824","ISSN":"1083-351X (Electronic)","PMID":"23105119","abstract":"The bacterial H(+)-translocating NADH:quinone oxidoreductase (NDH-1) catalyzes  electron transfer from NADH to quinone coupled with proton pumping across the cytoplasmic membrane. The NuoK subunit (counterpart of the mitochondrial ND4L subunit) is one of the seven hydrophobic subunits in the membrane domain and bears three transmembrane segments (TM1-3). Two glutamic residues located in the adjacent transmembrane helices of NuoK are important for the energy coupled activity of NDH-1. In particular, mutation of the highly conserved carboxyl residue ((K)Glu-36 in TM2) to Ala led to a complete loss of the NDH-1 activities. Mutation of the second conserved carboxyl residue ((K)Glu-72 in TM3) moderately reduced the activities. To clarify the contribution of NuoK to the mechanism of proton translocation, we relocated these two conserved residues. When we shifted (K)Glu-36 along TM2 to positions 32, 38, 39, and 40, the mutants largely retained energy transducing NDH-1 activities. According to the recent structural information, these positions are located in the vicinity of (K)Glu-36, present in the same helix phase, in an immediately before and after helix turn. In an earlier study, a double mutation of two arginine residues located in a short cytoplasmic loop between TM1 and TM2 (loop-1) showed a drastic effect on energy transducing activities. Therefore, the importance of this cytosolic loop of NuoK ((K)Arg-25, (K)Arg-26, and (K)Asn-27) for the energy transducing activities was extensively studied. The probable roles of subunit NuoK in the energy transducing mechanism of NDH-1 are discussed.","author":[{"dropping-particle":"","family":"Torres-Bacete","given":"Jesus","non-dropping-particle":"","parse-names":false,"suffix":""},{"dropping-particle":"","family":"Sinha","given":"Prem Kumar","non-dropping-particle":"","parse-names":false,"suffix":""},{"dropping-particle":"","family":"Sato","given":"Motoaki","non-dropping-particle":"","parse-names":false,"suffix":""},{"dropping-particle":"","family":"Patki","given":"Gaurav","non-dropping-particle":"","parse-names":false,"suffix":""},{"dropping-particle":"","family":"Kao","given":"Mou-Chieh","non-dropping-particle":"","parse-names":false,"suffix":""},{"dropping-particle":"","family":"Matsuno-Yagi","given":"Akemi","non-dropping-particle":"","parse-names":false,"suffix":""},{"dropping-particle":"","family":"Yagi","given":"Takao","non-dropping-particle":"","parse-names":false,"suffix":""}],"container-title":"The Journal of biological chemistry","id":"ITEM-1","issue":"51","issued":{"date-parts":[["2012","12"]]},"language":"eng","page":"42763-42772","title":"Roles of subunit NuoK (ND4L) in the energy-transducing mechanism of Escherichia coli  NDH-1 (NADH:quinone oxidoreductase).","type":"article-journal","volume":"287"},"uris":["http://www.mendeley.com/documents/?uuid=3051479c-09ef-4956-a4ca-e14c24b489c0"]}],"mendeley":{"formattedCitation":"(Torres-Bacete &lt;i&gt;et al&lt;/i&gt;, 2012)","plainTextFormattedCitation":"(Torres-Bacete et al, 2012)","previouslyFormattedCitation":"(Torres-Bacete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(Torres-Bacete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458BD4D6" w14:textId="77777777" w:rsidTr="00DC25DF">
        <w:trPr>
          <w:trHeight w:val="65"/>
        </w:trPr>
        <w:tc>
          <w:tcPr>
            <w:tcW w:w="1435" w:type="dxa"/>
          </w:tcPr>
          <w:p w14:paraId="52B6C22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R25A/R26A</w:t>
            </w:r>
          </w:p>
        </w:tc>
        <w:tc>
          <w:tcPr>
            <w:tcW w:w="2430" w:type="dxa"/>
            <w:vMerge/>
          </w:tcPr>
          <w:p w14:paraId="4842D9CF" w14:textId="77777777" w:rsidR="002471A8" w:rsidRPr="00E97FC1" w:rsidRDefault="002471A8" w:rsidP="002471A8">
            <w:pPr>
              <w:rPr>
                <w:rFonts w:ascii="Helvetica" w:hAnsi="Helvetica" w:cs="Helvetica"/>
                <w:sz w:val="20"/>
                <w:szCs w:val="20"/>
                <w:lang w:val="en-GB"/>
              </w:rPr>
            </w:pPr>
          </w:p>
        </w:tc>
        <w:tc>
          <w:tcPr>
            <w:tcW w:w="1440" w:type="dxa"/>
          </w:tcPr>
          <w:p w14:paraId="47AAC84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7DD1D26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90%</w:t>
            </w:r>
          </w:p>
        </w:tc>
        <w:tc>
          <w:tcPr>
            <w:tcW w:w="1260" w:type="dxa"/>
          </w:tcPr>
          <w:p w14:paraId="7580F93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14%</w:t>
            </w:r>
          </w:p>
        </w:tc>
        <w:tc>
          <w:tcPr>
            <w:tcW w:w="1080" w:type="dxa"/>
          </w:tcPr>
          <w:p w14:paraId="6FE5269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30%</w:t>
            </w:r>
          </w:p>
        </w:tc>
        <w:tc>
          <w:tcPr>
            <w:tcW w:w="1260" w:type="dxa"/>
          </w:tcPr>
          <w:p w14:paraId="45075670" w14:textId="1AB94545"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{"citationItems":[{"id":"ITEM-1","itemData":{"DOI":"10.1021/bi050708w","ISSN":"0006-2960 (Print)","PMID":"15996109","abstract":"The ND4L subunit is the smallest mitochondrial DNA-encoded subunit of the  proton-translocating NADH-quinone oxidoreductase (complex I). In an attempt to study the functional and structural roles of the NuoK subunit (the Escherichia coli homologue of ND4L) of the bacterial NADH-quinone oxidoreductase (NDH-1), we have performed a series of site-specific mutations on the nuoK gene of the NDH-1 operon by using the homologous recombination technique. The amino acid residues we targeted included two highly conserved glutamic acids that are presumably located in the middle of the membrane and several arginine residues that are predicted to be on the cytosolic side. All point mutants examined had fully assembled NDH-1 as detected by blue-native gel electrophoresis and immunostaining. Mutations of nearly perfectly conserved Glu-36 lead to almost null activities of coupled electron transfer with a concomitant loss of generation of electrochemical gradient. A significant diminution of the coupled activities was also observed with mutations of another highly conserved residue, Glu-72. These results may suggest that both membrane-embedded acidic residues are important for the coupling mechanism of NDH-1. Furthermore, a severe impairment of the coupled activities occurred when two vicinal arginine residues on a cytosolic loop were simultaneously mutated. Possible roles of these arginine residues and other conserved residues in the NuoK subunit for NDH-1 function were discussed.","author":[{"dropping-particle":"","family":"Kao","given":"Mou-Chieh","non-dropping-particle":"","parse-names":false,"suffix":""},{"dropping-particle":"","family":"Nakamaru-Ogiso","given":"Eiko","non-dropping-particle":"","parse-names":false,"suffix":""},{"dropping-particle":"","family":"Matsuno-Yagi","given":"Akemi","non-dropping-particle":"","parse-names":false,"suffix":""},{"dropping-particle":"","family":"Yagi","given":"Takao","non-dropping-particle":"","parse-names":false,"suffix":""}],"container-title":"Biochemistry","id":"ITEM-1","issue":"27","issued":{"date-parts":[["2005","7"]]},"language":"eng","page":"9545-9554","publisher-place":"United States","title":"Characterization of the membrane domain subunit NuoK (ND4L) of the NADH-quinone  oxidoreductase from Escherichia coli.","type":"article-journal","volume":"44"},"uris":["http://www.mendeley.com/documents/?uuid=57d558af-5785-42e6-ad7a-f43c2be5b276"]}],"mendeley":{"formattedCitation":"(Kao &lt;i&gt;et al&lt;/i&gt;, 2005b)","plainTextFormattedCitation":"(Kao et al, 2005b)","previouslyFormattedCitation":"(Kao &lt;i&gt;et al&lt;/i&gt;, 2005b)"},"properties":{"noteIndex":0},"schema":"https://github.com/citation-style-language/schema/raw/master/csl-citation.json"}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(Kao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2005b)</w:t>
            </w:r>
            <w:r w:rsidRPr="00E97FC1">
              <w:rPr>
                <w:rFonts w:ascii="Helvetica" w:hAnsi="Helvetica" w:cs="Helvetica"/>
                <w:b/>
                <w:bCs/>
                <w:sz w:val="16"/>
                <w:szCs w:val="20"/>
                <w:lang w:val="en-GB"/>
              </w:rPr>
              <w:fldChar w:fldCharType="end"/>
            </w:r>
          </w:p>
        </w:tc>
      </w:tr>
      <w:tr w:rsidR="002471A8" w:rsidRPr="00E97FC1" w14:paraId="3FC7D8DE" w14:textId="77777777" w:rsidTr="00DC25DF">
        <w:trPr>
          <w:trHeight w:val="65"/>
        </w:trPr>
        <w:tc>
          <w:tcPr>
            <w:tcW w:w="1435" w:type="dxa"/>
          </w:tcPr>
          <w:p w14:paraId="207100E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N27C</w:t>
            </w:r>
          </w:p>
        </w:tc>
        <w:tc>
          <w:tcPr>
            <w:tcW w:w="2430" w:type="dxa"/>
            <w:vMerge w:val="restart"/>
          </w:tcPr>
          <w:p w14:paraId="2A3BFAE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 xml:space="preserve">surface, near </w:t>
            </w:r>
            <w:r w:rsidRPr="00E97FC1">
              <w:rPr>
                <w:rFonts w:ascii="Helvetica" w:hAnsi="Helvetica" w:cs="Helvetica"/>
                <w:sz w:val="20"/>
                <w:szCs w:val="20"/>
                <w:vertAlign w:val="subscript"/>
                <w:lang w:val="en-GB"/>
              </w:rPr>
              <w:t>L</w:t>
            </w:r>
            <w:r w:rsidRPr="00E97FC1">
              <w:rPr>
                <w:rFonts w:ascii="Helvetica" w:hAnsi="Helvetica" w:cs="Helvetica"/>
                <w:sz w:val="20"/>
                <w:szCs w:val="20"/>
                <w:lang w:val="en-GB"/>
              </w:rPr>
              <w:t>TM16</w:t>
            </w:r>
          </w:p>
        </w:tc>
        <w:tc>
          <w:tcPr>
            <w:tcW w:w="1440" w:type="dxa"/>
          </w:tcPr>
          <w:p w14:paraId="5A16369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2139B05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95%</w:t>
            </w:r>
          </w:p>
        </w:tc>
        <w:tc>
          <w:tcPr>
            <w:tcW w:w="1260" w:type="dxa"/>
          </w:tcPr>
          <w:p w14:paraId="3D2F309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67-82%</w:t>
            </w:r>
          </w:p>
        </w:tc>
        <w:tc>
          <w:tcPr>
            <w:tcW w:w="1080" w:type="dxa"/>
          </w:tcPr>
          <w:p w14:paraId="56678D5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70%</w:t>
            </w:r>
          </w:p>
        </w:tc>
        <w:tc>
          <w:tcPr>
            <w:tcW w:w="1260" w:type="dxa"/>
          </w:tcPr>
          <w:p w14:paraId="5DA5E179" w14:textId="3EC78E19"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{"citationItems":[{"id":"ITEM-1","itemData":{"DOI":"10.1074/jbc.M112.422824","ISSN":"1083-351X (Electronic)","PMID":"23105119","abstract":"The bacterial H(+)-translocating NADH:quinone oxidoreductase (NDH-1) catalyzes  electron transfer from NADH to quinone coupled with proton pumping across the cytoplasmic membrane. The NuoK subunit (counterpart of the mitochondrial ND4L subunit) is one of the seven hydrophobic subunits in the membrane domain and bears three transmembrane segments (TM1-3). Two glutamic residues located in the adjacent transmembrane helices of NuoK are important for the energy coupled activity of NDH-1. In particular, mutation of the highly conserved carboxyl residue ((K)Glu-36 in TM2) to Ala led to a complete loss of the NDH-1 activities. Mutation of the second conserved carboxyl residue ((K)Glu-72 in TM3) moderately reduced the activities. To clarify the contribution of NuoK to the mechanism of proton translocation, we relocated these two conserved residues. When we shifted (K)Glu-36 along TM2 to positions 32, 38, 39, and 40, the mutants largely retained energy transducing NDH-1 activities. According to the recent structural information, these positions are located in the vicinity of (K)Glu-36, present in the same helix phase, in an immediately before and after helix turn. In an earlier study, a double mutation of two arginine residues located in a short cytoplasmic loop between TM1 and TM2 (loop-1) showed a drastic effect on energy transducing activities. Therefore, the importance of this cytosolic loop of NuoK ((K)Arg-25, (K)Arg-26, and (K)Asn-27) for the energy transducing activities was extensively studied. The probable roles of subunit NuoK in the energy transducing mechanism of NDH-1 are discussed.","author":[{"dropping-particle":"","family":"Torres-Bacete","given":"Jesus","non-dropping-particle":"","parse-names":false,"suffix":""},{"dropping-particle":"","family":"Sinha","given":"Prem Kumar","non-dropping-particle":"","parse-names":false,"suffix":""},{"dropping-particle":"","family":"Sato","given":"Motoaki","non-dropping-particle":"","parse-names":false,"suffix":""},{"dropping-particle":"","family":"Patki","given":"Gaurav","non-dropping-particle":"","parse-names":false,"suffix":""},{"dropping-particle":"","family":"Kao","given":"Mou-Chieh","non-dropping-particle":"","parse-names":false,"suffix":""},{"dropping-particle":"","family":"Matsuno-Yagi","given":"Akemi","non-dropping-particle":"","parse-names":false,"suffix":""},{"dropping-particle":"","family":"Yagi","given":"Takao","non-dropping-particle":"","parse-names":false,"suffix":""}],"container-title":"The Journal of biological chemistry","id":"ITEM-1","issue":"51","issued":{"date-parts":[["2012","12"]]},"language":"eng","page":"42763-42772","title":"Roles of subunit NuoK (ND4L) in the energy-transducing mechanism of Escherichia coli  NDH-1 (NADH:quinone oxidoreductase).","type":"article-journal","volume":"287"},"uris":["http://www.mendeley.com/documents/?uuid=3051479c-09ef-4956-a4ca-e14c24b489c0"]}],"mendeley":{"formattedCitation":"(Torres-Bacete &lt;i&gt;et al&lt;/i&gt;, 2012)","plainTextFormattedCitation":"(Torres-Bacete et al, 2012)","previouslyFormattedCitation":"(Torres-Bacete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(Torres-Bacete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6D4CBA3D" w14:textId="77777777" w:rsidTr="00DC25DF">
        <w:trPr>
          <w:trHeight w:val="65"/>
        </w:trPr>
        <w:tc>
          <w:tcPr>
            <w:tcW w:w="1435" w:type="dxa"/>
          </w:tcPr>
          <w:p w14:paraId="70D7846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lastRenderedPageBreak/>
              <w:t>N27S</w:t>
            </w:r>
          </w:p>
        </w:tc>
        <w:tc>
          <w:tcPr>
            <w:tcW w:w="2430" w:type="dxa"/>
            <w:vMerge/>
          </w:tcPr>
          <w:p w14:paraId="17004A41" w14:textId="77777777" w:rsidR="002471A8" w:rsidRPr="00E97FC1" w:rsidRDefault="002471A8" w:rsidP="002471A8">
            <w:pPr>
              <w:rPr>
                <w:rFonts w:ascii="Helvetica" w:hAnsi="Helvetica" w:cs="Helvetica"/>
                <w:sz w:val="20"/>
                <w:szCs w:val="20"/>
                <w:lang w:val="en-GB"/>
              </w:rPr>
            </w:pPr>
          </w:p>
        </w:tc>
        <w:tc>
          <w:tcPr>
            <w:tcW w:w="1440" w:type="dxa"/>
          </w:tcPr>
          <w:p w14:paraId="012D4E7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4227330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75%</w:t>
            </w:r>
          </w:p>
        </w:tc>
        <w:tc>
          <w:tcPr>
            <w:tcW w:w="1260" w:type="dxa"/>
          </w:tcPr>
          <w:p w14:paraId="74DE1FB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59-67%</w:t>
            </w:r>
          </w:p>
        </w:tc>
        <w:tc>
          <w:tcPr>
            <w:tcW w:w="1080" w:type="dxa"/>
          </w:tcPr>
          <w:p w14:paraId="087371F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70%</w:t>
            </w:r>
          </w:p>
        </w:tc>
        <w:tc>
          <w:tcPr>
            <w:tcW w:w="1260" w:type="dxa"/>
          </w:tcPr>
          <w:p w14:paraId="4FE708E3" w14:textId="353A145E"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{"citationItems":[{"id":"ITEM-1","itemData":{"DOI":"10.1074/jbc.M112.422824","ISSN":"1083-351X (Electronic)","PMID":"23105119","abstract":"The bacterial H(+)-translocating NADH:quinone oxidoreductase (NDH-1) catalyzes  electron transfer from NADH to quinone coupled with proton pumping across the cytoplasmic membrane. The NuoK subunit (counterpart of the mitochondrial ND4L subunit) is one of the seven hydrophobic subunits in the membrane domain and bears three transmembrane segments (TM1-3). Two glutamic residues located in the adjacent transmembrane helices of NuoK are important for the energy coupled activity of NDH-1. In particular, mutation of the highly conserved carboxyl residue ((K)Glu-36 in TM2) to Ala led to a complete loss of the NDH-1 activities. Mutation of the second conserved carboxyl residue ((K)Glu-72 in TM3) moderately reduced the activities. To clarify the contribution of NuoK to the mechanism of proton translocation, we relocated these two conserved residues. When we shifted (K)Glu-36 along TM2 to positions 32, 38, 39, and 40, the mutants largely retained energy transducing NDH-1 activities. According to the recent structural information, these positions are located in the vicinity of (K)Glu-36, present in the same helix phase, in an immediately before and after helix turn. In an earlier study, a double mutation of two arginine residues located in a short cytoplasmic loop between TM1 and TM2 (loop-1) showed a drastic effect on energy transducing activities. Therefore, the importance of this cytosolic loop of NuoK ((K)Arg-25, (K)Arg-26, and (K)Asn-27) for the energy transducing activities was extensively studied. The probable roles of subunit NuoK in the energy transducing mechanism of NDH-1 are discussed.","author":[{"dropping-particle":"","family":"Torres-Bacete","given":"Jesus","non-dropping-particle":"","parse-names":false,"suffix":""},{"dropping-particle":"","family":"Sinha","given":"Prem Kumar","non-dropping-particle":"","parse-names":false,"suffix":""},{"dropping-particle":"","family":"Sato","given":"Motoaki","non-dropping-particle":"","parse-names":false,"suffix":""},{"dropping-particle":"","family":"Patki","given":"Gaurav","non-dropping-particle":"","parse-names":false,"suffix":""},{"dropping-particle":"","family":"Kao","given":"Mou-Chieh","non-dropping-particle":"","parse-names":false,"suffix":""},{"dropping-particle":"","family":"Matsuno-Yagi","given":"Akemi","non-dropping-particle":"","parse-names":false,"suffix":""},{"dropping-particle":"","family":"Yagi","given":"Takao","non-dropping-particle":"","parse-names":false,"suffix":""}],"container-title":"The Journal of biological chemistry","id":"ITEM-1","issue":"51","issued":{"date-parts":[["2012","12"]]},"language":"eng","page":"42763-42772","title":"Roles of subunit NuoK (ND4L) in the energy-transducing mechanism of Escherichia coli  NDH-1 (NADH:quinone oxidoreductase).","type":"article-journal","volume":"287"},"uris":["http://www.mendeley.com/documents/?uuid=3051479c-09ef-4956-a4ca-e14c24b489c0"]}],"mendeley":{"formattedCitation":"(Torres-Bacete &lt;i&gt;et al&lt;/i&gt;, 2012)","plainTextFormattedCitation":"(Torres-Bacete et al, 2012)","previouslyFormattedCitation":"(Torres-Bacete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(Torres-Bacete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01B7E1E3" w14:textId="77777777" w:rsidTr="00DC25DF">
        <w:trPr>
          <w:trHeight w:val="65"/>
        </w:trPr>
        <w:tc>
          <w:tcPr>
            <w:tcW w:w="1435" w:type="dxa"/>
          </w:tcPr>
          <w:p w14:paraId="3391A4D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lastRenderedPageBreak/>
              <w:t>E36A</w:t>
            </w:r>
          </w:p>
        </w:tc>
        <w:tc>
          <w:tcPr>
            <w:tcW w:w="2430" w:type="dxa"/>
            <w:vMerge w:val="restart"/>
          </w:tcPr>
          <w:p w14:paraId="756D3DC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E-channel, central axe, interface with NuoJ</w:t>
            </w:r>
          </w:p>
        </w:tc>
        <w:tc>
          <w:tcPr>
            <w:tcW w:w="1440" w:type="dxa"/>
          </w:tcPr>
          <w:p w14:paraId="7AE87A5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43AA8DD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95%</w:t>
            </w:r>
          </w:p>
        </w:tc>
        <w:tc>
          <w:tcPr>
            <w:tcW w:w="1260" w:type="dxa"/>
          </w:tcPr>
          <w:p w14:paraId="01110F8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1-7%</w:t>
            </w:r>
          </w:p>
        </w:tc>
        <w:tc>
          <w:tcPr>
            <w:tcW w:w="1080" w:type="dxa"/>
          </w:tcPr>
          <w:p w14:paraId="068EA43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293F6FFC" w14:textId="3A6D8507"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{"citationItems":[{"id":"ITEM-1","itemData":{"DOI":"10.1021/bi050708w","ISSN":"0006-2960 (Print)","PMID":"15996109","abstract":"The ND4L subunit is the smallest mitochondrial DNA-encoded subunit of the  proton-translocating NADH-quinone oxidoreductase (complex I). In an attempt to study the functional and structural roles of the NuoK subunit (the Escherichia coli homologue of ND4L) of the bacterial NADH-quinone oxidoreductase (NDH-1), we have performed a series of site-specific mutations on the nuoK gene of the NDH-1 operon by using the homologous recombination technique. The amino acid residues we targeted included two highly conserved glutamic acids that are presumably located in the middle of the membrane and several arginine residues that are predicted to be on the cytosolic side. All point mutants examined had fully assembled NDH-1 as detected by blue-native gel electrophoresis and immunostaining. Mutations of nearly perfectly conserved Glu-36 lead to almost null activities of coupled electron transfer with a concomitant loss of generation of electrochemical gradient. A significant diminution of the coupled activities was also observed with mutations of another highly conserved residue, Glu-72. These results may suggest that both membrane-embedded acidic residues are important for the coupling mechanism of NDH-1. Furthermore, a severe impairment of the coupled activities occurred when two vicinal arginine residues on a cytosolic loop were simultaneously mutated. Possible roles of these arginine residues and other conserved residues in the NuoK subunit for NDH-1 function were discussed.","author":[{"dropping-particle":"","family":"Kao","given":"Mou-Chieh","non-dropping-particle":"","parse-names":false,"suffix":""},{"dropping-particle":"","family":"Nakamaru-Ogiso","given":"Eiko","non-dropping-particle":"","parse-names":false,"suffix":""},{"dropping-particle":"","family":"Matsuno-Yagi","given":"Akemi","non-dropping-particle":"","parse-names":false,"suffix":""},{"dropping-particle":"","family":"Yagi","given":"Takao","non-dropping-particle":"","parse-names":false,"suffix":""}],"container-title":"Biochemistry","id":"ITEM-1","issue":"27","issued":{"date-parts":[["2005","7"]]},"language":"eng","page":"9545-9554","publisher-place":"United States","title":"Characterization of the membrane domain subunit NuoK (ND4L) of the NADH-quinone  oxidoreductase from Escherichia coli.","type":"article-journal","volume":"44"},"uris":["http://www.mendeley.com/documents/?uuid=57d558af-5785-42e6-ad7a-f43c2be5b276"]}],"mendeley":{"formattedCitation":"(Kao &lt;i&gt;et al&lt;/i&gt;, 2005b)","plainTextFormattedCitation":"(Kao et al, 2005b)","previouslyFormattedCitation":"(Kao &lt;i&gt;et al&lt;/i&gt;, 2005b)"},"properties":{"noteIndex":0},"schema":"https://github.com/citation-style-language/schema/raw/master/csl-citation.json"}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(Kao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2005b)</w:t>
            </w:r>
            <w:r w:rsidRPr="00E97FC1">
              <w:rPr>
                <w:rFonts w:ascii="Helvetica" w:hAnsi="Helvetica" w:cs="Helvetica"/>
                <w:b/>
                <w:bCs/>
                <w:sz w:val="16"/>
                <w:szCs w:val="20"/>
                <w:lang w:val="en-GB"/>
              </w:rPr>
              <w:fldChar w:fldCharType="end"/>
            </w:r>
          </w:p>
        </w:tc>
      </w:tr>
      <w:tr w:rsidR="002471A8" w:rsidRPr="00E97FC1" w14:paraId="5D9098DB" w14:textId="77777777" w:rsidTr="00DC25DF">
        <w:trPr>
          <w:trHeight w:val="65"/>
        </w:trPr>
        <w:tc>
          <w:tcPr>
            <w:tcW w:w="1435" w:type="dxa"/>
          </w:tcPr>
          <w:p w14:paraId="066172A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E36A</w:t>
            </w:r>
          </w:p>
        </w:tc>
        <w:tc>
          <w:tcPr>
            <w:tcW w:w="2430" w:type="dxa"/>
            <w:vMerge/>
          </w:tcPr>
          <w:p w14:paraId="6378672B" w14:textId="77777777" w:rsidR="002471A8" w:rsidRPr="00E97FC1" w:rsidRDefault="002471A8" w:rsidP="002471A8">
            <w:pPr>
              <w:rPr>
                <w:rFonts w:ascii="Helvetica" w:hAnsi="Helvetica" w:cs="Helvetica"/>
                <w:sz w:val="20"/>
                <w:szCs w:val="20"/>
                <w:lang w:val="en-GB"/>
              </w:rPr>
            </w:pPr>
          </w:p>
        </w:tc>
        <w:tc>
          <w:tcPr>
            <w:tcW w:w="1440" w:type="dxa"/>
          </w:tcPr>
          <w:p w14:paraId="1D1AC46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26EE5A7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86%</w:t>
            </w:r>
          </w:p>
        </w:tc>
        <w:tc>
          <w:tcPr>
            <w:tcW w:w="1260" w:type="dxa"/>
          </w:tcPr>
          <w:p w14:paraId="2110A0E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3-7%</w:t>
            </w:r>
          </w:p>
        </w:tc>
        <w:tc>
          <w:tcPr>
            <w:tcW w:w="1080" w:type="dxa"/>
          </w:tcPr>
          <w:p w14:paraId="15F8ACE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0%</w:t>
            </w:r>
          </w:p>
        </w:tc>
        <w:tc>
          <w:tcPr>
            <w:tcW w:w="1260" w:type="dxa"/>
          </w:tcPr>
          <w:p w14:paraId="000F1476" w14:textId="630AD162"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{"citationItems":[{"id":"ITEM-1","itemData":{"DOI":"10.1074/jbc.M112.422824","ISSN":"1083-351X (Electronic)","PMID":"23105119","abstract":"The bacterial H(+)-translocating NADH:quinone oxidoreductase (NDH-1) catalyzes  electron transfer from NADH to quinone coupled with proton pumping across the cytoplasmic membrane. The NuoK subunit (counterpart of the mitochondrial ND4L subunit) is one of the seven hydrophobic subunits in the membrane domain and bears three transmembrane segments (TM1-3). Two glutamic residues located in the adjacent transmembrane helices of NuoK are important for the energy coupled activity of NDH-1. In particular, mutation of the highly conserved carboxyl residue ((K)Glu-36 in TM2) to Ala led to a complete loss of the NDH-1 activities. Mutation of the second conserved carboxyl residue ((K)Glu-72 in TM3) moderately reduced the activities. To clarify the contribution of NuoK to the mechanism of proton translocation, we relocated these two conserved residues. When we shifted (K)Glu-36 along TM2 to positions 32, 38, 39, and 40, the mutants largely retained energy transducing NDH-1 activities. According to the recent structural information, these positions are located in the vicinity of (K)Glu-36, present in the same helix phase, in an immediately before and after helix turn. In an earlier study, a double mutation of two arginine residues located in a short cytoplasmic loop between TM1 and TM2 (loop-1) showed a drastic effect on energy transducing activities. Therefore, the importance of this cytosolic loop of NuoK ((K)Arg-25, (K)Arg-26, and (K)Asn-27) for the energy transducing activities was extensively studied. The probable roles of subunit NuoK in the energy transducing mechanism of NDH-1 are discussed.","author":[{"dropping-particle":"","family":"Torres-Bacete","given":"Jesus","non-dropping-particle":"","parse-names":false,"suffix":""},{"dropping-particle":"","family":"Sinha","given":"Prem Kumar","non-dropping-particle":"","parse-names":false,"suffix":""},{"dropping-particle":"","family":"Sato","given":"Motoaki","non-dropping-particle":"","parse-names":false,"suffix":""},{"dropping-particle":"","family":"Patki","given":"Gaurav","non-dropping-particle":"","parse-names":false,"suffix":""},{"dropping-particle":"","family":"Kao","given":"Mou-Chieh","non-dropping-particle":"","parse-names":false,"suffix":""},{"dropping-particle":"","family":"Matsuno-Yagi","given":"Akemi","non-dropping-particle":"","parse-names":false,"suffix":""},{"dropping-particle":"","family":"Yagi","given":"Takao","non-dropping-particle":"","parse-names":false,"suffix":""}],"container-title":"The Journal of biological chemistry","id":"ITEM-1","issue":"51","issued":{"date-parts":[["2012","12"]]},"language":"eng","page":"42763-42772","title":"Roles of subunit NuoK (ND4L) in the energy-transducing mechanism of Escherichia coli  NDH-1 (NADH:quinone oxidoreductase).","type":"article-journal","volume":"287"},"uris":["http://www.mendeley.com/documents/?uuid=3051479c-09ef-4956-a4ca-e14c24b489c0"]}],"mendeley":{"formattedCitation":"(Torres-Bacete &lt;i&gt;et al&lt;/i&gt;, 2012)","plainTextFormattedCitation":"(Torres-Bacete et al, 2012)","previouslyFormattedCitation":"(Torres-Bacete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(Torres-Bacete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2E64AA45" w14:textId="77777777" w:rsidTr="00DC25DF">
        <w:trPr>
          <w:trHeight w:val="65"/>
        </w:trPr>
        <w:tc>
          <w:tcPr>
            <w:tcW w:w="1435" w:type="dxa"/>
          </w:tcPr>
          <w:p w14:paraId="0F44E6E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E36A/M31E</w:t>
            </w:r>
          </w:p>
        </w:tc>
        <w:tc>
          <w:tcPr>
            <w:tcW w:w="2430" w:type="dxa"/>
            <w:vMerge/>
          </w:tcPr>
          <w:p w14:paraId="615BB949" w14:textId="77777777" w:rsidR="002471A8" w:rsidRPr="00E97FC1" w:rsidRDefault="002471A8" w:rsidP="002471A8">
            <w:pPr>
              <w:rPr>
                <w:rFonts w:ascii="Helvetica" w:hAnsi="Helvetica" w:cs="Helvetica"/>
                <w:sz w:val="20"/>
                <w:szCs w:val="20"/>
                <w:lang w:val="en-GB"/>
              </w:rPr>
            </w:pPr>
          </w:p>
        </w:tc>
        <w:tc>
          <w:tcPr>
            <w:tcW w:w="1440" w:type="dxa"/>
          </w:tcPr>
          <w:p w14:paraId="16DFFF4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2A515E3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94%</w:t>
            </w:r>
          </w:p>
        </w:tc>
        <w:tc>
          <w:tcPr>
            <w:tcW w:w="1260" w:type="dxa"/>
          </w:tcPr>
          <w:p w14:paraId="0E988E3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3-5%</w:t>
            </w:r>
          </w:p>
        </w:tc>
        <w:tc>
          <w:tcPr>
            <w:tcW w:w="1080" w:type="dxa"/>
          </w:tcPr>
          <w:p w14:paraId="0D94C83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0%</w:t>
            </w:r>
          </w:p>
        </w:tc>
        <w:tc>
          <w:tcPr>
            <w:tcW w:w="1260" w:type="dxa"/>
          </w:tcPr>
          <w:p w14:paraId="1FD0F571" w14:textId="39793498"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{"citationItems":[{"id":"ITEM-1","itemData":{"DOI":"10.1074/jbc.M112.422824","ISSN":"1083-351X (Electronic)","PMID":"23105119","abstract":"The bacterial H(+)-translocating NADH:quinone oxidoreductase (NDH-1) catalyzes  electron transfer from NADH to quinone coupled with proton pumping across the cytoplasmic membrane. The NuoK subunit (counterpart of the mitochondrial ND4L subunit) is one of the seven hydrophobic subunits in the membrane domain and bears three transmembrane segments (TM1-3). Two glutamic residues located in the adjacent transmembrane helices of NuoK are important for the energy coupled activity of NDH-1. In particular, mutation of the highly conserved carboxyl residue ((K)Glu-36 in TM2) to Ala led to a complete loss of the NDH-1 activities. Mutation of the second conserved carboxyl residue ((K)Glu-72 in TM3) moderately reduced the activities. To clarify the contribution of NuoK to the mechanism of proton translocation, we relocated these two conserved residues. When we shifted (K)Glu-36 along TM2 to positions 32, 38, 39, and 40, the mutants largely retained energy transducing NDH-1 activities. According to the recent structural information, these positions are located in the vicinity of (K)Glu-36, present in the same helix phase, in an immediately before and after helix turn. In an earlier study, a double mutation of two arginine residues located in a short cytoplasmic loop between TM1 and TM2 (loop-1) showed a drastic effect on energy transducing activities. Therefore, the importance of this cytosolic loop of NuoK ((K)Arg-25, (K)Arg-26, and (K)Asn-27) for the energy transducing activities was extensively studied. The probable roles of subunit NuoK in the energy transducing mechanism of NDH-1 are discussed.","author":[{"dropping-particle":"","family":"Torres-Bacete","given":"Jesus","non-dropping-particle":"","parse-names":false,"suffix":""},{"dropping-particle":"","family":"Sinha","given":"Prem Kumar","non-dropping-particle":"","parse-names":false,"suffix":""},{"dropping-particle":"","family":"Sato","given":"Motoaki","non-dropping-particle":"","parse-names":false,"suffix":""},{"dropping-particle":"","family":"Patki","given":"Gaurav","non-dropping-particle":"","parse-names":false,"suffix":""},{"dropping-particle":"","family":"Kao","given":"Mou-Chieh","non-dropping-particle":"","parse-names":false,"suffix":""},{"dropping-particle":"","family":"Matsuno-Yagi","given":"Akemi","non-dropping-particle":"","parse-names":false,"suffix":""},{"dropping-particle":"","family":"Yagi","given":"Takao","non-dropping-particle":"","parse-names":false,"suffix":""}],"container-title":"The Journal of biological chemistry","id":"ITEM-1","issue":"51","issued":{"date-parts":[["2012","12"]]},"language":"eng","page":"42763-42772","title":"Roles of subunit NuoK (ND4L) in the energy-transducing mechanism of Escherichia coli  NDH-1 (NADH:quinone oxidoreductase).","type":"article-journal","volume":"287"},"uris":["http://www.mendeley.com/documents/?uuid=3051479c-09ef-4956-a4ca-e14c24b489c0"]}],"mendeley":{"formattedCitation":"(Torres-Bacete &lt;i&gt;et al&lt;/i&gt;, 2012)","plainTextFormattedCitation":"(Torres-Bacete et al, 2012)","previouslyFormattedCitation":"(Torres-Bacete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(Torres-Bacete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5628FCDE" w14:textId="77777777" w:rsidTr="00DC25DF">
        <w:trPr>
          <w:trHeight w:val="65"/>
        </w:trPr>
        <w:tc>
          <w:tcPr>
            <w:tcW w:w="1435" w:type="dxa"/>
          </w:tcPr>
          <w:p w14:paraId="66E4F81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E36A/L32E</w:t>
            </w:r>
          </w:p>
        </w:tc>
        <w:tc>
          <w:tcPr>
            <w:tcW w:w="2430" w:type="dxa"/>
            <w:vMerge/>
          </w:tcPr>
          <w:p w14:paraId="790DD707" w14:textId="77777777" w:rsidR="002471A8" w:rsidRPr="00E97FC1" w:rsidRDefault="002471A8" w:rsidP="002471A8">
            <w:pPr>
              <w:rPr>
                <w:rFonts w:ascii="Helvetica" w:hAnsi="Helvetica" w:cs="Helvetica"/>
                <w:sz w:val="20"/>
                <w:szCs w:val="20"/>
                <w:lang w:val="en-GB"/>
              </w:rPr>
            </w:pPr>
          </w:p>
        </w:tc>
        <w:tc>
          <w:tcPr>
            <w:tcW w:w="1440" w:type="dxa"/>
          </w:tcPr>
          <w:p w14:paraId="22FF177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2F34D84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101%</w:t>
            </w:r>
          </w:p>
        </w:tc>
        <w:tc>
          <w:tcPr>
            <w:tcW w:w="1260" w:type="dxa"/>
          </w:tcPr>
          <w:p w14:paraId="1959C24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52-56%</w:t>
            </w:r>
          </w:p>
        </w:tc>
        <w:tc>
          <w:tcPr>
            <w:tcW w:w="1080" w:type="dxa"/>
          </w:tcPr>
          <w:p w14:paraId="2380121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70%</w:t>
            </w:r>
          </w:p>
        </w:tc>
        <w:tc>
          <w:tcPr>
            <w:tcW w:w="1260" w:type="dxa"/>
          </w:tcPr>
          <w:p w14:paraId="0343ABF8" w14:textId="3D1EDE80"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{"citationItems":[{"id":"ITEM-1","itemData":{"DOI":"10.1074/jbc.M112.422824","ISSN":"1083-351X (Electronic)","PMID":"23105119","abstract":"The bacterial H(+)-translocating NADH:quinone oxidoreductase (NDH-1) catalyzes  electron transfer from NADH to quinone coupled with proton pumping across the cytoplasmic membrane. The NuoK subunit (counterpart of the mitochondrial ND4L subunit) is one of the seven hydrophobic subunits in the membrane domain and bears three transmembrane segments (TM1-3). Two glutamic residues located in the adjacent transmembrane helices of NuoK are important for the energy coupled activity of NDH-1. In particular, mutation of the highly conserved carboxyl residue ((K)Glu-36 in TM2) to Ala led to a complete loss of the NDH-1 activities. Mutation of the second conserved carboxyl residue ((K)Glu-72 in TM3) moderately reduced the activities. To clarify the contribution of NuoK to the mechanism of proton translocation, we relocated these two conserved residues. When we shifted (K)Glu-36 along TM2 to positions 32, 38, 39, and 40, the mutants largely retained energy transducing NDH-1 activities. According to the recent structural information, these positions are located in the vicinity of (K)Glu-36, present in the same helix phase, in an immediately before and after helix turn. In an earlier study, a double mutation of two arginine residues located in a short cytoplasmic loop between TM1 and TM2 (loop-1) showed a drastic effect on energy transducing activities. Therefore, the importance of this cytosolic loop of NuoK ((K)Arg-25, (K)Arg-26, and (K)Asn-27) for the energy transducing activities was extensively studied. The probable roles of subunit NuoK in the energy transducing mechanism of NDH-1 are discussed.","author":[{"dropping-particle":"","family":"Torres-Bacete","given":"Jesus","non-dropping-particle":"","parse-names":false,"suffix":""},{"dropping-particle":"","family":"Sinha","given":"Prem Kumar","non-dropping-particle":"","parse-names":false,"suffix":""},{"dropping-particle":"","family":"Sato","given":"Motoaki","non-dropping-particle":"","parse-names":false,"suffix":""},{"dropping-particle":"","family":"Patki","given":"Gaurav","non-dropping-particle":"","parse-names":false,"suffix":""},{"dropping-particle":"","family":"Kao","given":"Mou-Chieh","non-dropping-particle":"","parse-names":false,"suffix":""},{"dropping-particle":"","family":"Matsuno-Yagi","given":"Akemi","non-dropping-particle":"","parse-names":false,"suffix":""},{"dropping-particle":"","family":"Yagi","given":"Takao","non-dropping-particle":"","parse-names":false,"suffix":""}],"container-title":"The Journal of biological chemistry","id":"ITEM-1","issue":"51","issued":{"date-parts":[["2012","12"]]},"language":"eng","page":"42763-42772","title":"Roles of subunit NuoK (ND4L) in the energy-transducing mechanism of Escherichia coli  NDH-1 (NADH:quinone oxidoreductase).","type":"article-journal","volume":"287"},"uris":["http://www.mendeley.com/documents/?uuid=3051479c-09ef-4956-a4ca-e14c24b489c0"]}],"mendeley":{"formattedCitation":"(Torres-Bacete &lt;i&gt;et al&lt;/i&gt;, 2012)","plainTextFormattedCitation":"(Torres-Bacete et al, 2012)","previouslyFormattedCitation":"(Torres-Bacete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(Torres-Bacete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2B04D2DB" w14:textId="77777777" w:rsidTr="00DC25DF">
        <w:trPr>
          <w:trHeight w:val="65"/>
        </w:trPr>
        <w:tc>
          <w:tcPr>
            <w:tcW w:w="1435" w:type="dxa"/>
          </w:tcPr>
          <w:p w14:paraId="7D79BE3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E36A/I33E</w:t>
            </w:r>
          </w:p>
        </w:tc>
        <w:tc>
          <w:tcPr>
            <w:tcW w:w="2430" w:type="dxa"/>
            <w:vMerge/>
          </w:tcPr>
          <w:p w14:paraId="42826413" w14:textId="77777777" w:rsidR="002471A8" w:rsidRPr="00E97FC1" w:rsidRDefault="002471A8" w:rsidP="002471A8">
            <w:pPr>
              <w:rPr>
                <w:rFonts w:ascii="Helvetica" w:hAnsi="Helvetica" w:cs="Helvetica"/>
                <w:sz w:val="20"/>
                <w:szCs w:val="20"/>
                <w:lang w:val="en-GB"/>
              </w:rPr>
            </w:pPr>
          </w:p>
        </w:tc>
        <w:tc>
          <w:tcPr>
            <w:tcW w:w="1440" w:type="dxa"/>
          </w:tcPr>
          <w:p w14:paraId="1F45F39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599D99C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85%</w:t>
            </w:r>
          </w:p>
        </w:tc>
        <w:tc>
          <w:tcPr>
            <w:tcW w:w="1260" w:type="dxa"/>
          </w:tcPr>
          <w:p w14:paraId="0E223A0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2-4%</w:t>
            </w:r>
          </w:p>
        </w:tc>
        <w:tc>
          <w:tcPr>
            <w:tcW w:w="1080" w:type="dxa"/>
          </w:tcPr>
          <w:p w14:paraId="5219996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0%</w:t>
            </w:r>
          </w:p>
        </w:tc>
        <w:tc>
          <w:tcPr>
            <w:tcW w:w="1260" w:type="dxa"/>
          </w:tcPr>
          <w:p w14:paraId="3B1EE35A" w14:textId="122C7962"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{"citationItems":[{"id":"ITEM-1","itemData":{"DOI":"10.1074/jbc.M112.422824","ISSN":"1083-351X (Electronic)","PMID":"23105119","abstract":"The bacterial H(+)-translocating NADH:quinone oxidoreductase (NDH-1) catalyzes  electron transfer from NADH to quinone coupled with proton pumping across the cytoplasmic membrane. The NuoK subunit (counterpart of the mitochondrial ND4L subunit) is one of the seven hydrophobic subunits in the membrane domain and bears three transmembrane segments (TM1-3). Two glutamic residues located in the adjacent transmembrane helices of NuoK are important for the energy coupled activity of NDH-1. In particular, mutation of the highly conserved carboxyl residue ((K)Glu-36 in TM2) to Ala led to a complete loss of the NDH-1 activities. Mutation of the second conserved carboxyl residue ((K)Glu-72 in TM3) moderately reduced the activities. To clarify the contribution of NuoK to the mechanism of proton translocation, we relocated these two conserved residues. When we shifted (K)Glu-36 along TM2 to positions 32, 38, 39, and 40, the mutants largely retained energy transducing NDH-1 activities. According to the recent structural information, these positions are located in the vicinity of (K)Glu-36, present in the same helix phase, in an immediately before and after helix turn. In an earlier study, a double mutation of two arginine residues located in a short cytoplasmic loop between TM1 and TM2 (loop-1) showed a drastic effect on energy transducing activities. Therefore, the importance of this cytosolic loop of NuoK ((K)Arg-25, (K)Arg-26, and (K)Asn-27) for the energy transducing activities was extensively studied. The probable roles of subunit NuoK in the energy transducing mechanism of NDH-1 are discussed.","author":[{"dropping-particle":"","family":"Torres-Bacete","given":"Jesus","non-dropping-particle":"","parse-names":false,"suffix":""},{"dropping-particle":"","family":"Sinha","given":"Prem Kumar","non-dropping-particle":"","parse-names":false,"suffix":""},{"dropping-particle":"","family":"Sato","given":"Motoaki","non-dropping-particle":"","parse-names":false,"suffix":""},{"dropping-particle":"","family":"Patki","given":"Gaurav","non-dropping-particle":"","parse-names":false,"suffix":""},{"dropping-particle":"","family":"Kao","given":"Mou-Chieh","non-dropping-particle":"","parse-names":false,"suffix":""},{"dropping-particle":"","family":"Matsuno-Yagi","given":"Akemi","non-dropping-particle":"","parse-names":false,"suffix":""},{"dropping-particle":"","family":"Yagi","given":"Takao","non-dropping-particle":"","parse-names":false,"suffix":""}],"container-title":"The Journal of biological chemistry","id":"ITEM-1","issue":"51","issued":{"date-parts":[["2012","12"]]},"language":"eng","page":"42763-42772","title":"Roles of subunit NuoK (ND4L) in the energy-transducing mechanism of Escherichia coli  NDH-1 (NADH:quinone oxidoreductase).","type":"article-journal","volume":"287"},"uris":["http://www.mendeley.com/documents/?uuid=3051479c-09ef-4956-a4ca-e14c24b489c0"]}],"mendeley":{"formattedCitation":"(Torres-Bacete &lt;i&gt;et al&lt;/i&gt;, 2012)","plainTextFormattedCitation":"(Torres-Bacete et al, 2012)","previouslyFormattedCitation":"(Torres-Bacete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(Torres-Bacete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56E05B3B" w14:textId="77777777" w:rsidTr="00DC25DF">
        <w:trPr>
          <w:trHeight w:val="65"/>
        </w:trPr>
        <w:tc>
          <w:tcPr>
            <w:tcW w:w="1435" w:type="dxa"/>
          </w:tcPr>
          <w:p w14:paraId="7319E94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E36A/G34E</w:t>
            </w:r>
          </w:p>
        </w:tc>
        <w:tc>
          <w:tcPr>
            <w:tcW w:w="2430" w:type="dxa"/>
            <w:vMerge/>
          </w:tcPr>
          <w:p w14:paraId="441670AD" w14:textId="77777777" w:rsidR="002471A8" w:rsidRPr="00E97FC1" w:rsidRDefault="002471A8" w:rsidP="002471A8">
            <w:pPr>
              <w:rPr>
                <w:rFonts w:ascii="Helvetica" w:hAnsi="Helvetica" w:cs="Helvetica"/>
                <w:sz w:val="20"/>
                <w:szCs w:val="20"/>
                <w:lang w:val="en-GB"/>
              </w:rPr>
            </w:pPr>
          </w:p>
        </w:tc>
        <w:tc>
          <w:tcPr>
            <w:tcW w:w="1440" w:type="dxa"/>
          </w:tcPr>
          <w:p w14:paraId="2BED85A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522DF5B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94%</w:t>
            </w:r>
          </w:p>
        </w:tc>
        <w:tc>
          <w:tcPr>
            <w:tcW w:w="1260" w:type="dxa"/>
          </w:tcPr>
          <w:p w14:paraId="4839673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2-3%</w:t>
            </w:r>
          </w:p>
        </w:tc>
        <w:tc>
          <w:tcPr>
            <w:tcW w:w="1080" w:type="dxa"/>
          </w:tcPr>
          <w:p w14:paraId="5D38B59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0%</w:t>
            </w:r>
          </w:p>
        </w:tc>
        <w:tc>
          <w:tcPr>
            <w:tcW w:w="1260" w:type="dxa"/>
          </w:tcPr>
          <w:p w14:paraId="639B462F" w14:textId="1F60D342"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{"citationItems":[{"id":"ITEM-1","itemData":{"DOI":"10.1074/jbc.M112.422824","ISSN":"1083-351X (Electronic)","PMID":"23105119","abstract":"The bacterial H(+)-translocating NADH:quinone oxidoreductase (NDH-1) catalyzes  electron transfer from NADH to quinone coupled with proton pumping across the cytoplasmic membrane. The NuoK subunit (counterpart of the mitochondrial ND4L subunit) is one of the seven hydrophobic subunits in the membrane domain and bears three transmembrane segments (TM1-3). Two glutamic residues located in the adjacent transmembrane helices of NuoK are important for the energy coupled activity of NDH-1. In particular, mutation of the highly conserved carboxyl residue ((K)Glu-36 in TM2) to Ala led to a complete loss of the NDH-1 activities. Mutation of the second conserved carboxyl residue ((K)Glu-72 in TM3) moderately reduced the activities. To clarify the contribution of NuoK to the mechanism of proton translocation, we relocated these two conserved residues. When we shifted (K)Glu-36 along TM2 to positions 32, 38, 39, and 40, the mutants largely retained energy transducing NDH-1 activities. According to the recent structural information, these positions are located in the vicinity of (K)Glu-36, present in the same helix phase, in an immediately before and after helix turn. In an earlier study, a double mutation of two arginine residues located in a short cytoplasmic loop between TM1 and TM2 (loop-1) showed a drastic effect on energy transducing activities. Therefore, the importance of this cytosolic loop of NuoK ((K)Arg-25, (K)Arg-26, and (K)Asn-27) for the energy transducing activities was extensively studied. The probable roles of subunit NuoK in the energy transducing mechanism of NDH-1 are discussed.","author":[{"dropping-particle":"","family":"Torres-Bacete","given":"Jesus","non-dropping-particle":"","parse-names":false,"suffix":""},{"dropping-particle":"","family":"Sinha","given":"Prem Kumar","non-dropping-particle":"","parse-names":false,"suffix":""},{"dropping-particle":"","family":"Sato","given":"Motoaki","non-dropping-particle":"","parse-names":false,"suffix":""},{"dropping-particle":"","family":"Patki","given":"Gaurav","non-dropping-particle":"","parse-names":false,"suffix":""},{"dropping-particle":"","family":"Kao","given":"Mou-Chieh","non-dropping-particle":"","parse-names":false,"suffix":""},{"dropping-particle":"","family":"Matsuno-Yagi","given":"Akemi","non-dropping-particle":"","parse-names":false,"suffix":""},{"dropping-particle":"","family":"Yagi","given":"Takao","non-dropping-particle":"","parse-names":false,"suffix":""}],"container-title":"The Journal of biological chemistry","id":"ITEM-1","issue":"51","issued":{"date-parts":[["2012","12"]]},"language":"eng","page":"42763-42772","title":"Roles of subunit NuoK (ND4L) in the energy-transducing mechanism of Escherichia coli  NDH-1 (NADH:quinone oxidoreductase).","type":"article-journal","volume":"287"},"uris":["http://www.mendeley.com/documents/?uuid=3051479c-09ef-4956-a4ca-e14c24b489c0"]}],"mendeley":{"formattedCitation":"(Torres-Bacete &lt;i&gt;et al&lt;/i&gt;, 2012)","plainTextFormattedCitation":"(Torres-Bacete et al, 2012)","previouslyFormattedCitation":"(Torres-Bacete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(Torres-Bacete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7EFC6709" w14:textId="77777777" w:rsidTr="00DC25DF">
        <w:trPr>
          <w:trHeight w:val="65"/>
        </w:trPr>
        <w:tc>
          <w:tcPr>
            <w:tcW w:w="1435" w:type="dxa"/>
          </w:tcPr>
          <w:p w14:paraId="7818BE5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E36A/L35E</w:t>
            </w:r>
          </w:p>
        </w:tc>
        <w:tc>
          <w:tcPr>
            <w:tcW w:w="2430" w:type="dxa"/>
            <w:vMerge/>
          </w:tcPr>
          <w:p w14:paraId="684A5276" w14:textId="77777777" w:rsidR="002471A8" w:rsidRPr="00E97FC1" w:rsidRDefault="002471A8" w:rsidP="002471A8">
            <w:pPr>
              <w:rPr>
                <w:rFonts w:ascii="Helvetica" w:hAnsi="Helvetica" w:cs="Helvetica"/>
                <w:sz w:val="20"/>
                <w:szCs w:val="20"/>
                <w:lang w:val="en-GB"/>
              </w:rPr>
            </w:pPr>
          </w:p>
        </w:tc>
        <w:tc>
          <w:tcPr>
            <w:tcW w:w="1440" w:type="dxa"/>
          </w:tcPr>
          <w:p w14:paraId="064A70A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70D187B1"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80%</w:t>
            </w:r>
          </w:p>
        </w:tc>
        <w:tc>
          <w:tcPr>
            <w:tcW w:w="1260" w:type="dxa"/>
          </w:tcPr>
          <w:p w14:paraId="314F924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2-7%</w:t>
            </w:r>
          </w:p>
        </w:tc>
        <w:tc>
          <w:tcPr>
            <w:tcW w:w="1080" w:type="dxa"/>
          </w:tcPr>
          <w:p w14:paraId="54AA925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0%</w:t>
            </w:r>
          </w:p>
        </w:tc>
        <w:tc>
          <w:tcPr>
            <w:tcW w:w="1260" w:type="dxa"/>
          </w:tcPr>
          <w:p w14:paraId="2EBC0AF0" w14:textId="78F4FF1D"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{"citationItems":[{"id":"ITEM-1","itemData":{"DOI":"10.1074/jbc.M112.422824","ISSN":"1083-351X (Electronic)","PMID":"23105119","abstract":"The bacterial H(+)-translocating NADH:quinone oxidoreductase (NDH-1) catalyzes  electron transfer from NADH to quinone coupled with proton pumping across the cytoplasmic membrane. The NuoK subunit (counterpart of the mitochondrial ND4L subunit) is one of the seven hydrophobic subunits in the membrane domain and bears three transmembrane segments (TM1-3). Two glutamic residues located in the adjacent transmembrane helices of NuoK are important for the energy coupled activity of NDH-1. In particular, mutation of the highly conserved carboxyl residue ((K)Glu-36 in TM2) to Ala led to a complete loss of the NDH-1 activities. Mutation of the second conserved carboxyl residue ((K)Glu-72 in TM3) moderately reduced the activities. To clarify the contribution of NuoK to the mechanism of proton translocation, we relocated these two conserved residues. When we shifted (K)Glu-36 along TM2 to positions 32, 38, 39, and 40, the mutants largely retained energy transducing NDH-1 activities. According to the recent structural information, these positions are located in the vicinity of (K)Glu-36, present in the same helix phase, in an immediately before and after helix turn. In an earlier study, a double mutation of two arginine residues located in a short cytoplasmic loop between TM1 and TM2 (loop-1) showed a drastic effect on energy transducing activities. Therefore, the importance of this cytosolic loop of NuoK ((K)Arg-25, (K)Arg-26, and (K)Asn-27) for the energy transducing activities was extensively studied. The probable roles of subunit NuoK in the energy transducing mechanism of NDH-1 are discussed.","author":[{"dropping-particle":"","family":"Torres-Bacete","given":"Jesus","non-dropping-particle":"","parse-names":false,"suffix":""},{"dropping-particle":"","family":"Sinha","given":"Prem Kumar","non-dropping-particle":"","parse-names":false,"suffix":""},{"dropping-particle":"","family":"Sato","given":"Motoaki","non-dropping-particle":"","parse-names":false,"suffix":""},{"dropping-particle":"","family":"Patki","given":"Gaurav","non-dropping-particle":"","parse-names":false,"suffix":""},{"dropping-particle":"","family":"Kao","given":"Mou-Chieh","non-dropping-particle":"","parse-names":false,"suffix":""},{"dropping-particle":"","family":"Matsuno-Yagi","given":"Akemi","non-dropping-particle":"","parse-names":false,"suffix":""},{"dropping-particle":"","family":"Yagi","given":"Takao","non-dropping-particle":"","parse-names":false,"suffix":""}],"container-title":"The Journal of biological chemistry","id":"ITEM-1","issue":"51","issued":{"date-parts":[["2012","12"]]},"language":"eng","page":"42763-42772","title":"Roles of subunit NuoK (ND4L) in the energy-transducing mechanism of Escherichia coli  NDH-1 (NADH:quinone oxidoreductase).","type":"article-journal","volume":"287"},"uris":["http://www.mendeley.com/documents/?uuid=3051479c-09ef-4956-a4ca-e14c24b489c0"]}],"mendeley":{"formattedCitation":"(Torres-Bacete &lt;i&gt;et al&lt;/i&gt;, 2012)","plainTextFormattedCitation":"(Torres-Bacete et al, 2012)","previouslyFormattedCitation":"(Torres-Bacete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(Torres-Bacete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6BA79338" w14:textId="77777777" w:rsidTr="00DC25DF">
        <w:trPr>
          <w:trHeight w:val="65"/>
        </w:trPr>
        <w:tc>
          <w:tcPr>
            <w:tcW w:w="1435" w:type="dxa"/>
          </w:tcPr>
          <w:p w14:paraId="3409B9E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E36A/I37E</w:t>
            </w:r>
          </w:p>
        </w:tc>
        <w:tc>
          <w:tcPr>
            <w:tcW w:w="2430" w:type="dxa"/>
            <w:vMerge/>
          </w:tcPr>
          <w:p w14:paraId="742DDA03" w14:textId="77777777" w:rsidR="002471A8" w:rsidRPr="00E97FC1" w:rsidRDefault="002471A8" w:rsidP="002471A8">
            <w:pPr>
              <w:rPr>
                <w:rFonts w:ascii="Helvetica" w:hAnsi="Helvetica" w:cs="Helvetica"/>
                <w:sz w:val="20"/>
                <w:szCs w:val="20"/>
                <w:lang w:val="en-GB"/>
              </w:rPr>
            </w:pPr>
          </w:p>
        </w:tc>
        <w:tc>
          <w:tcPr>
            <w:tcW w:w="1440" w:type="dxa"/>
          </w:tcPr>
          <w:p w14:paraId="1E11920A"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231C414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98%</w:t>
            </w:r>
          </w:p>
        </w:tc>
        <w:tc>
          <w:tcPr>
            <w:tcW w:w="1260" w:type="dxa"/>
          </w:tcPr>
          <w:p w14:paraId="0E02259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3-8%</w:t>
            </w:r>
          </w:p>
        </w:tc>
        <w:tc>
          <w:tcPr>
            <w:tcW w:w="1080" w:type="dxa"/>
          </w:tcPr>
          <w:p w14:paraId="03695DB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0%</w:t>
            </w:r>
          </w:p>
        </w:tc>
        <w:tc>
          <w:tcPr>
            <w:tcW w:w="1260" w:type="dxa"/>
          </w:tcPr>
          <w:p w14:paraId="7C3DD880" w14:textId="0615E85C"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{"citationItems":[{"id":"ITEM-1","itemData":{"DOI":"10.1074/jbc.M112.422824","ISSN":"1083-351X (Electronic)","PMID":"23105119","abstract":"The bacterial H(+)-translocating NADH:quinone oxidoreductase (NDH-1) catalyzes  electron transfer from NADH to quinone coupled with proton pumping across the cytoplasmic membrane. The NuoK subunit (counterpart of the mitochondrial ND4L subunit) is one of the seven hydrophobic subunits in the membrane domain and bears three transmembrane segments (TM1-3). Two glutamic residues located in the adjacent transmembrane helices of NuoK are important for the energy coupled activity of NDH-1. In particular, mutation of the highly conserved carboxyl residue ((K)Glu-36 in TM2) to Ala led to a complete loss of the NDH-1 activities. Mutation of the second conserved carboxyl residue ((K)Glu-72 in TM3) moderately reduced the activities. To clarify the contribution of NuoK to the mechanism of proton translocation, we relocated these two conserved residues. When we shifted (K)Glu-36 along TM2 to positions 32, 38, 39, and 40, the mutants largely retained energy transducing NDH-1 activities. According to the recent structural information, these positions are located in the vicinity of (K)Glu-36, present in the same helix phase, in an immediately before and after helix turn. In an earlier study, a double mutation of two arginine residues located in a short cytoplasmic loop between TM1 and TM2 (loop-1) showed a drastic effect on energy transducing activities. Therefore, the importance of this cytosolic loop of NuoK ((K)Arg-25, (K)Arg-26, and (K)Asn-27) for the energy transducing activities was extensively studied. The probable roles of subunit NuoK in the energy transducing mechanism of NDH-1 are discussed.","author":[{"dropping-particle":"","family":"Torres-Bacete","given":"Jesus","non-dropping-particle":"","parse-names":false,"suffix":""},{"dropping-particle":"","family":"Sinha","given":"Prem Kumar","non-dropping-particle":"","parse-names":false,"suffix":""},{"dropping-particle":"","family":"Sato","given":"Motoaki","non-dropping-particle":"","parse-names":false,"suffix":""},{"dropping-particle":"","family":"Patki","given":"Gaurav","non-dropping-particle":"","parse-names":false,"suffix":""},{"dropping-particle":"","family":"Kao","given":"Mou-Chieh","non-dropping-particle":"","parse-names":false,"suffix":""},{"dropping-particle":"","family":"Matsuno-Yagi","given":"Akemi","non-dropping-particle":"","parse-names":false,"suffix":""},{"dropping-particle":"","family":"Yagi","given":"Takao","non-dropping-particle":"","parse-names":false,"suffix":""}],"container-title":"The Journal of biological chemistry","id":"ITEM-1","issue":"51","issued":{"date-parts":[["2012","12"]]},"language":"eng","page":"42763-42772","title":"Roles of subunit NuoK (ND4L) in the energy-transducing mechanism of Escherichia coli  NDH-1 (NADH:quinone oxidoreductase).","type":"article-journal","volume":"287"},"uris":["http://www.mendeley.com/documents/?uuid=3051479c-09ef-4956-a4ca-e14c24b489c0"]}],"mendeley":{"formattedCitation":"(Torres-Bacete &lt;i&gt;et al&lt;/i&gt;, 2012)","plainTextFormattedCitation":"(Torres-Bacete et al, 2012)","previouslyFormattedCitation":"(Torres-Bacete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(Torres-Bacete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5F818545" w14:textId="77777777" w:rsidTr="00DC25DF">
        <w:trPr>
          <w:trHeight w:val="65"/>
        </w:trPr>
        <w:tc>
          <w:tcPr>
            <w:tcW w:w="1435" w:type="dxa"/>
          </w:tcPr>
          <w:p w14:paraId="16C7BAC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E36A/M38E</w:t>
            </w:r>
          </w:p>
        </w:tc>
        <w:tc>
          <w:tcPr>
            <w:tcW w:w="2430" w:type="dxa"/>
            <w:vMerge/>
          </w:tcPr>
          <w:p w14:paraId="0754A894" w14:textId="77777777" w:rsidR="002471A8" w:rsidRPr="00E97FC1" w:rsidRDefault="002471A8" w:rsidP="002471A8">
            <w:pPr>
              <w:rPr>
                <w:rFonts w:ascii="Helvetica" w:hAnsi="Helvetica" w:cs="Helvetica"/>
                <w:sz w:val="20"/>
                <w:szCs w:val="20"/>
                <w:lang w:val="en-GB"/>
              </w:rPr>
            </w:pPr>
          </w:p>
        </w:tc>
        <w:tc>
          <w:tcPr>
            <w:tcW w:w="1440" w:type="dxa"/>
          </w:tcPr>
          <w:p w14:paraId="55D3F22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3EFDD1C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87%</w:t>
            </w:r>
          </w:p>
        </w:tc>
        <w:tc>
          <w:tcPr>
            <w:tcW w:w="1260" w:type="dxa"/>
          </w:tcPr>
          <w:p w14:paraId="2A66AD8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65-69%</w:t>
            </w:r>
          </w:p>
        </w:tc>
        <w:tc>
          <w:tcPr>
            <w:tcW w:w="1080" w:type="dxa"/>
          </w:tcPr>
          <w:p w14:paraId="401C81F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90%</w:t>
            </w:r>
          </w:p>
        </w:tc>
        <w:tc>
          <w:tcPr>
            <w:tcW w:w="1260" w:type="dxa"/>
          </w:tcPr>
          <w:p w14:paraId="20B1C93A" w14:textId="3004C64A"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{"citationItems":[{"id":"ITEM-1","itemData":{"DOI":"10.1074/jbc.M112.422824","ISSN":"1083-351X (Electronic)","PMID":"23105119","abstract":"The bacterial H(+)-translocating NADH:quinone oxidoreductase (NDH-1) catalyzes  electron transfer from NADH to quinone coupled with proton pumping across the cytoplasmic membrane. The NuoK subunit (counterpart of the mitochondrial ND4L subunit) is one of the seven hydrophobic subunits in the membrane domain and bears three transmembrane segments (TM1-3). Two glutamic residues located in the adjacent transmembrane helices of NuoK are important for the energy coupled activity of NDH-1. In particular, mutation of the highly conserved carboxyl residue ((K)Glu-36 in TM2) to Ala led to a complete loss of the NDH-1 activities. Mutation of the second conserved carboxyl residue ((K)Glu-72 in TM3) moderately reduced the activities. To clarify the contribution of NuoK to the mechanism of proton translocation, we relocated these two conserved residues. When we shifted (K)Glu-36 along TM2 to positions 32, 38, 39, and 40, the mutants largely retained energy transducing NDH-1 activities. According to the recent structural information, these positions are located in the vicinity of (K)Glu-36, present in the same helix phase, in an immediately before and after helix turn. In an earlier study, a double mutation of two arginine residues located in a short cytoplasmic loop between TM1 and TM2 (loop-1) showed a drastic effect on energy transducing activities. Therefore, the importance of this cytosolic loop of NuoK ((K)Arg-25, (K)Arg-26, and (K)Asn-27) for the energy transducing activities was extensively studied. The probable roles of subunit NuoK in the energy transducing mechanism of NDH-1 are discussed.","author":[{"dropping-particle":"","family":"Torres-Bacete","given":"Jesus","non-dropping-particle":"","parse-names":false,"suffix":""},{"dropping-particle":"","family":"Sinha","given":"Prem Kumar","non-dropping-particle":"","parse-names":false,"suffix":""},{"dropping-particle":"","family":"Sato","given":"Motoaki","non-dropping-particle":"","parse-names":false,"suffix":""},{"dropping-particle":"","family":"Patki","given":"Gaurav","non-dropping-particle":"","parse-names":false,"suffix":""},{"dropping-particle":"","family":"Kao","given":"Mou-Chieh","non-dropping-particle":"","parse-names":false,"suffix":""},{"dropping-particle":"","family":"Matsuno-Yagi","given":"Akemi","non-dropping-particle":"","parse-names":false,"suffix":""},{"dropping-particle":"","family":"Yagi","given":"Takao","non-dropping-particle":"","parse-names":false,"suffix":""}],"container-title":"The Journal of biological chemistry","id":"ITEM-1","issue":"51","issued":{"date-parts":[["2012","12"]]},"language":"eng","page":"42763-42772","title":"Roles of subunit NuoK (ND4L) in the energy-transducing mechanism of Escherichia coli  NDH-1 (NADH:quinone oxidoreductase).","type":"article-journal","volume":"287"},"uris":["http://www.mendeley.com/documents/?uuid=3051479c-09ef-4956-a4ca-e14c24b489c0"]}],"mendeley":{"formattedCitation":"(Torres-Bacete &lt;i&gt;et al&lt;/i&gt;, 2012)","plainTextFormattedCitation":"(Torres-Bacete et al, 2012)","previouslyFormattedCitation":"(Torres-Bacete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(Torres-Bacete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0B6C66D2" w14:textId="77777777" w:rsidTr="00DC25DF">
        <w:trPr>
          <w:trHeight w:val="65"/>
        </w:trPr>
        <w:tc>
          <w:tcPr>
            <w:tcW w:w="1435" w:type="dxa"/>
          </w:tcPr>
          <w:p w14:paraId="06E281A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E36A/I39E</w:t>
            </w:r>
          </w:p>
        </w:tc>
        <w:tc>
          <w:tcPr>
            <w:tcW w:w="2430" w:type="dxa"/>
            <w:vMerge/>
          </w:tcPr>
          <w:p w14:paraId="3A95D357" w14:textId="77777777" w:rsidR="002471A8" w:rsidRPr="00E97FC1" w:rsidRDefault="002471A8" w:rsidP="002471A8">
            <w:pPr>
              <w:rPr>
                <w:rFonts w:ascii="Helvetica" w:hAnsi="Helvetica" w:cs="Helvetica"/>
                <w:sz w:val="20"/>
                <w:szCs w:val="20"/>
                <w:lang w:val="en-GB"/>
              </w:rPr>
            </w:pPr>
          </w:p>
        </w:tc>
        <w:tc>
          <w:tcPr>
            <w:tcW w:w="1440" w:type="dxa"/>
          </w:tcPr>
          <w:p w14:paraId="20D9965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566A148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101%</w:t>
            </w:r>
          </w:p>
        </w:tc>
        <w:tc>
          <w:tcPr>
            <w:tcW w:w="1260" w:type="dxa"/>
          </w:tcPr>
          <w:p w14:paraId="3EA22EF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49-75%</w:t>
            </w:r>
          </w:p>
        </w:tc>
        <w:tc>
          <w:tcPr>
            <w:tcW w:w="1080" w:type="dxa"/>
          </w:tcPr>
          <w:p w14:paraId="6EF1D01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70%</w:t>
            </w:r>
          </w:p>
        </w:tc>
        <w:tc>
          <w:tcPr>
            <w:tcW w:w="1260" w:type="dxa"/>
          </w:tcPr>
          <w:p w14:paraId="4DC7F770" w14:textId="3B4EE71A"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{"citationItems":[{"id":"ITEM-1","itemData":{"DOI":"10.1074/jbc.M112.422824","ISSN":"1083-351X (Electronic)","PMID":"23105119","abstract":"The bacterial H(+)-translocating NADH:quinone oxidoreductase (NDH-1) catalyzes  electron transfer from NADH to quinone coupled with proton pumping across the cytoplasmic membrane. The NuoK subunit (counterpart of the mitochondrial ND4L subunit) is one of the seven hydrophobic subunits in the membrane domain and bears three transmembrane segments (TM1-3). Two glutamic residues located in the adjacent transmembrane helices of NuoK are important for the energy coupled activity of NDH-1. In particular, mutation of the highly conserved carboxyl residue ((K)Glu-36 in TM2) to Ala led to a complete loss of the NDH-1 activities. Mutation of the second conserved carboxyl residue ((K)Glu-72 in TM3) moderately reduced the activities. To clarify the contribution of NuoK to the mechanism of proton translocation, we relocated these two conserved residues. When we shifted (K)Glu-36 along TM2 to positions 32, 38, 39, and 40, the mutants largely retained energy transducing NDH-1 activities. According to the recent structural information, these positions are located in the vicinity of (K)Glu-36, present in the same helix phase, in an immediately before and after helix turn. In an earlier study, a double mutation of two arginine residues located in a short cytoplasmic loop between TM1 and TM2 (loop-1) showed a drastic effect on energy transducing activities. Therefore, the importance of this cytosolic loop of NuoK ((K)Arg-25, (K)Arg-26, and (K)Asn-27) for the energy transducing activities was extensively studied. The probable roles of subunit NuoK in the energy transducing mechanism of NDH-1 are discussed.","author":[{"dropping-particle":"","family":"Torres-Bacete","given":"Jesus","non-dropping-particle":"","parse-names":false,"suffix":""},{"dropping-particle":"","family":"Sinha","given":"Prem Kumar","non-dropping-particle":"","parse-names":false,"suffix":""},{"dropping-particle":"","family":"Sato","given":"Motoaki","non-dropping-particle":"","parse-names":false,"suffix":""},{"dropping-particle":"","family":"Patki","given":"Gaurav","non-dropping-particle":"","parse-names":false,"suffix":""},{"dropping-particle":"","family":"Kao","given":"Mou-Chieh","non-dropping-particle":"","parse-names":false,"suffix":""},{"dropping-particle":"","family":"Matsuno-Yagi","given":"Akemi","non-dropping-particle":"","parse-names":false,"suffix":""},{"dropping-particle":"","family":"Yagi","given":"Takao","non-dropping-particle":"","parse-names":false,"suffix":""}],"container-title":"The Journal of biological chemistry","id":"ITEM-1","issue":"51","issued":{"date-parts":[["2012","12"]]},"language":"eng","page":"42763-42772","title":"Roles of subunit NuoK (ND4L) in the energy-transducing mechanism of Escherichia coli  NDH-1 (NADH:quinone oxidoreductase).","type":"article-journal","volume":"287"},"uris":["http://www.mendeley.com/documents/?uuid=3051479c-09ef-4956-a4ca-e14c24b489c0"]}],"mendeley":{"formattedCitation":"(Torres-Bacete &lt;i&gt;et al&lt;/i&gt;, 2012)","plainTextFormattedCitation":"(Torres-Bacete et al, 2012)","previouslyFormattedCitation":"(Torres-Bacete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(Torres-Bacete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360CAD21" w14:textId="77777777" w:rsidTr="00DC25DF">
        <w:trPr>
          <w:trHeight w:val="65"/>
        </w:trPr>
        <w:tc>
          <w:tcPr>
            <w:tcW w:w="1435" w:type="dxa"/>
          </w:tcPr>
          <w:p w14:paraId="58B145A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E36A/N40E</w:t>
            </w:r>
          </w:p>
        </w:tc>
        <w:tc>
          <w:tcPr>
            <w:tcW w:w="2430" w:type="dxa"/>
            <w:vMerge/>
          </w:tcPr>
          <w:p w14:paraId="23CAF150" w14:textId="77777777" w:rsidR="002471A8" w:rsidRPr="00E97FC1" w:rsidRDefault="002471A8" w:rsidP="002471A8">
            <w:pPr>
              <w:rPr>
                <w:rFonts w:ascii="Helvetica" w:hAnsi="Helvetica" w:cs="Helvetica"/>
                <w:sz w:val="20"/>
                <w:szCs w:val="20"/>
                <w:lang w:val="en-GB"/>
              </w:rPr>
            </w:pPr>
          </w:p>
        </w:tc>
        <w:tc>
          <w:tcPr>
            <w:tcW w:w="1440" w:type="dxa"/>
          </w:tcPr>
          <w:p w14:paraId="3B98606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5FB64CAB"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78%</w:t>
            </w:r>
          </w:p>
        </w:tc>
        <w:tc>
          <w:tcPr>
            <w:tcW w:w="1260" w:type="dxa"/>
          </w:tcPr>
          <w:p w14:paraId="6FA8176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47-77%</w:t>
            </w:r>
          </w:p>
        </w:tc>
        <w:tc>
          <w:tcPr>
            <w:tcW w:w="1080" w:type="dxa"/>
          </w:tcPr>
          <w:p w14:paraId="1E95ED9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65%</w:t>
            </w:r>
          </w:p>
        </w:tc>
        <w:tc>
          <w:tcPr>
            <w:tcW w:w="1260" w:type="dxa"/>
          </w:tcPr>
          <w:p w14:paraId="78C84504" w14:textId="084F050D"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{"citationItems":[{"id":"ITEM-1","itemData":{"DOI":"10.1074/jbc.M112.422824","ISSN":"1083-351X (Electronic)","PMID":"23105119","abstract":"The bacterial H(+)-translocating NADH:quinone oxidoreductase (NDH-1) catalyzes  electron transfer from NADH to quinone coupled with proton pumping across the cytoplasmic membrane. The NuoK subunit (counterpart of the mitochondrial ND4L subunit) is one of the seven hydrophobic subunits in the membrane domain and bears three transmembrane segments (TM1-3). Two glutamic residues located in the adjacent transmembrane helices of NuoK are important for the energy coupled activity of NDH-1. In particular, mutation of the highly conserved carboxyl residue ((K)Glu-36 in TM2) to Ala led to a complete loss of the NDH-1 activities. Mutation of the second conserved carboxyl residue ((K)Glu-72 in TM3) moderately reduced the activities. To clarify the contribution of NuoK to the mechanism of proton translocation, we relocated these two conserved residues. When we shifted (K)Glu-36 along TM2 to positions 32, 38, 39, and 40, the mutants largely retained energy transducing NDH-1 activities. According to the recent structural information, these positions are located in the vicinity of (K)Glu-36, present in the same helix phase, in an immediately before and after helix turn. In an earlier study, a double mutation of two arginine residues located in a short cytoplasmic loop between TM1 and TM2 (loop-1) showed a drastic effect on energy transducing activities. Therefore, the importance of this cytosolic loop of NuoK ((K)Arg-25, (K)Arg-26, and (K)Asn-27) for the energy transducing activities was extensively studied. The probable roles of subunit NuoK in the energy transducing mechanism of NDH-1 are discussed.","author":[{"dropping-particle":"","family":"Torres-Bacete","given":"Jesus","non-dropping-particle":"","parse-names":false,"suffix":""},{"dropping-particle":"","family":"Sinha","given":"Prem Kumar","non-dropping-particle":"","parse-names":false,"suffix":""},{"dropping-particle":"","family":"Sato","given":"Motoaki","non-dropping-particle":"","parse-names":false,"suffix":""},{"dropping-particle":"","family":"Patki","given":"Gaurav","non-dropping-particle":"","parse-names":false,"suffix":""},{"dropping-particle":"","family":"Kao","given":"Mou-Chieh","non-dropping-particle":"","parse-names":false,"suffix":""},{"dropping-particle":"","family":"Matsuno-Yagi","given":"Akemi","non-dropping-particle":"","parse-names":false,"suffix":""},{"dropping-particle":"","family":"Yagi","given":"Takao","non-dropping-particle":"","parse-names":false,"suffix":""}],"container-title":"The Journal of biological chemistry","id":"ITEM-1","issue":"51","issued":{"date-parts":[["2012","12"]]},"language":"eng","page":"42763-42772","title":"Roles of subunit NuoK (ND4L) in the energy-transducing mechanism of Escherichia coli  NDH-1 (NADH:quinone oxidoreductase).","type":"article-journal","volume":"287"},"uris":["http://www.mendeley.com/documents/?uuid=3051479c-09ef-4956-a4ca-e14c24b489c0"]}],"mendeley":{"formattedCitation":"(Torres-Bacete &lt;i&gt;et al&lt;/i&gt;, 2012)","plainTextFormattedCitation":"(Torres-Bacete et al, 2012)","previouslyFormattedCitation":"(Torres-Bacete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(Torres-Bacete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73024EC6" w14:textId="77777777" w:rsidTr="00DC25DF">
        <w:trPr>
          <w:trHeight w:val="65"/>
        </w:trPr>
        <w:tc>
          <w:tcPr>
            <w:tcW w:w="1435" w:type="dxa"/>
          </w:tcPr>
          <w:p w14:paraId="1F5A9C7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E36A/A41E</w:t>
            </w:r>
          </w:p>
        </w:tc>
        <w:tc>
          <w:tcPr>
            <w:tcW w:w="2430" w:type="dxa"/>
            <w:vMerge/>
          </w:tcPr>
          <w:p w14:paraId="7230392B" w14:textId="77777777" w:rsidR="002471A8" w:rsidRPr="00E97FC1" w:rsidRDefault="002471A8" w:rsidP="002471A8">
            <w:pPr>
              <w:rPr>
                <w:rFonts w:ascii="Helvetica" w:hAnsi="Helvetica" w:cs="Helvetica"/>
                <w:sz w:val="20"/>
                <w:szCs w:val="20"/>
                <w:lang w:val="en-GB"/>
              </w:rPr>
            </w:pPr>
          </w:p>
        </w:tc>
        <w:tc>
          <w:tcPr>
            <w:tcW w:w="1440" w:type="dxa"/>
          </w:tcPr>
          <w:p w14:paraId="3F0E279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1D10FD1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79%</w:t>
            </w:r>
          </w:p>
        </w:tc>
        <w:tc>
          <w:tcPr>
            <w:tcW w:w="1260" w:type="dxa"/>
          </w:tcPr>
          <w:p w14:paraId="2FCAD25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3-4%</w:t>
            </w:r>
          </w:p>
        </w:tc>
        <w:tc>
          <w:tcPr>
            <w:tcW w:w="1080" w:type="dxa"/>
          </w:tcPr>
          <w:p w14:paraId="12F361A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0%</w:t>
            </w:r>
          </w:p>
        </w:tc>
        <w:tc>
          <w:tcPr>
            <w:tcW w:w="1260" w:type="dxa"/>
          </w:tcPr>
          <w:p w14:paraId="1DF59FDB" w14:textId="21D80FC5"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{"citationItems":[{"id":"ITEM-1","itemData":{"DOI":"10.1074/jbc.M112.422824","ISSN":"1083-351X (Electronic)","PMID":"23105119","abstract":"The bacterial H(+)-translocating NADH:quinone oxidoreductase (NDH-1) catalyzes  electron transfer from NADH to quinone coupled with proton pumping across the cytoplasmic membrane. The NuoK subunit (counterpart of the mitochondrial ND4L subunit) is one of the seven hydrophobic subunits in the membrane domain and bears three transmembrane segments (TM1-3). Two glutamic residues located in the adjacent transmembrane helices of NuoK are important for the energy coupled activity of NDH-1. In particular, mutation of the highly conserved carboxyl residue ((K)Glu-36 in TM2) to Ala led to a complete loss of the NDH-1 activities. Mutation of the second conserved carboxyl residue ((K)Glu-72 in TM3) moderately reduced the activities. To clarify the contribution of NuoK to the mechanism of proton translocation, we relocated these two conserved residues. When we shifted (K)Glu-36 along TM2 to positions 32, 38, 39, and 40, the mutants largely retained energy transducing NDH-1 activities. According to the recent structural information, these positions are located in the vicinity of (K)Glu-36, present in the same helix phase, in an immediately before and after helix turn. In an earlier study, a double mutation of two arginine residues located in a short cytoplasmic loop between TM1 and TM2 (loop-1) showed a drastic effect on energy transducing activities. Therefore, the importance of this cytosolic loop of NuoK ((K)Arg-25, (K)Arg-26, and (K)Asn-27) for the energy transducing activities was extensively studied. The probable roles of subunit NuoK in the energy transducing mechanism of NDH-1 are discussed.","author":[{"dropping-particle":"","family":"Torres-Bacete","given":"Jesus","non-dropping-particle":"","parse-names":false,"suffix":""},{"dropping-particle":"","family":"Sinha","given":"Prem Kumar","non-dropping-particle":"","parse-names":false,"suffix":""},{"dropping-particle":"","family":"Sato","given":"Motoaki","non-dropping-particle":"","parse-names":false,"suffix":""},{"dropping-particle":"","family":"Patki","given":"Gaurav","non-dropping-particle":"","parse-names":false,"suffix":""},{"dropping-particle":"","family":"Kao","given":"Mou-Chieh","non-dropping-particle":"","parse-names":false,"suffix":""},{"dropping-particle":"","family":"Matsuno-Yagi","given":"Akemi","non-dropping-particle":"","parse-names":false,"suffix":""},{"dropping-particle":"","family":"Yagi","given":"Takao","non-dropping-particle":"","parse-names":false,"suffix":""}],"container-title":"The Journal of biological chemistry","id":"ITEM-1","issue":"51","issued":{"date-parts":[["2012","12"]]},"language":"eng","page":"42763-42772","title":"Roles of subunit NuoK (ND4L) in the energy-transducing mechanism of Escherichia coli  NDH-1 (NADH:quinone oxidoreductase).","type":"article-journal","volume":"287"},"uris":["http://www.mendeley.com/documents/?uuid=3051479c-09ef-4956-a4ca-e14c24b489c0"]}],"mendeley":{"formattedCitation":"(Torres-Bacete &lt;i&gt;et al&lt;/i&gt;, 2012)","plainTextFormattedCitation":"(Torres-Bacete et al, 2012)","previouslyFormattedCitation":"(Torres-Bacete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(Torres-Bacete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0F12F2" w14:paraId="568FA223" w14:textId="77777777" w:rsidTr="00DC25DF">
        <w:trPr>
          <w:trHeight w:val="65"/>
        </w:trPr>
        <w:tc>
          <w:tcPr>
            <w:tcW w:w="1435" w:type="dxa"/>
          </w:tcPr>
          <w:p w14:paraId="3A95074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E36Q</w:t>
            </w:r>
          </w:p>
        </w:tc>
        <w:tc>
          <w:tcPr>
            <w:tcW w:w="2430" w:type="dxa"/>
            <w:vMerge/>
          </w:tcPr>
          <w:p w14:paraId="0245FB1B" w14:textId="77777777" w:rsidR="002471A8" w:rsidRPr="00E97FC1" w:rsidRDefault="002471A8" w:rsidP="002471A8">
            <w:pPr>
              <w:rPr>
                <w:rFonts w:ascii="Helvetica" w:hAnsi="Helvetica" w:cs="Helvetica"/>
                <w:sz w:val="20"/>
                <w:szCs w:val="20"/>
                <w:lang w:val="en-GB"/>
              </w:rPr>
            </w:pPr>
          </w:p>
        </w:tc>
        <w:tc>
          <w:tcPr>
            <w:tcW w:w="1440" w:type="dxa"/>
          </w:tcPr>
          <w:p w14:paraId="51BEDE0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2258744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99%</w:t>
            </w:r>
          </w:p>
        </w:tc>
        <w:tc>
          <w:tcPr>
            <w:tcW w:w="1260" w:type="dxa"/>
          </w:tcPr>
          <w:p w14:paraId="3670DDE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3-8%</w:t>
            </w:r>
          </w:p>
        </w:tc>
        <w:tc>
          <w:tcPr>
            <w:tcW w:w="1080" w:type="dxa"/>
          </w:tcPr>
          <w:p w14:paraId="22FE675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0%</w:t>
            </w:r>
          </w:p>
        </w:tc>
        <w:tc>
          <w:tcPr>
            <w:tcW w:w="1260" w:type="dxa"/>
          </w:tcPr>
          <w:p w14:paraId="14CEA4A9" w14:textId="622D03FA" w:rsidR="002471A8" w:rsidRPr="00FC5E18"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{"citationItems":[{"id":"ITEM-1","itemData":{"DOI":"10.1021/bi050708w","ISSN":"0006-2960 (Print)","PMID":"15996109","abstract":"The ND4L subunit is the smallest mitochondrial DNA-encoded subunit of the  proton-translocating NADH-quinone oxidoreductase (complex I). In an attempt to study the functional and structural roles of the NuoK subunit (the Escherichia coli homologue of ND4L) of the bacterial NADH-quinone oxidoreductase (NDH-1), we have performed a series of site-specific mutations on the nuoK gene of the NDH-1 operon by using the homologous recombination technique. The amino acid residues we targeted included two highly conserved glutamic acids that are presumably located in the middle of the membrane and several arginine residues that are predicted to be on the cytosolic side. All point mutants examined had fully assembled NDH-1 as detected by blue-native gel electrophoresis and immunostaining. Mutations of nearly perfectly conserved Glu-36 lead to almost null activities of coupled electron transfer with a concomitant loss of generation of electrochemical gradient. A significant diminution of the coupled activities was also observed with mutations of another highly conserved residue, Glu-72. These results may suggest that both membrane-embedded acidic residues are important for the coupling mechanism of NDH-1. Furthermore, a severe impairment of the coupled activities occurred when two vicinal arginine residues on a cytosolic loop were simultaneously mutated. Possible roles of these arginine residues and other conserved residues in the NuoK subunit for NDH-1 function were discussed.","author":[{"dropping-particle":"","family":"Kao","given":"Mou-Chieh","non-dropping-particle":"","parse-names":false,"suffix":""},{"dropping-particle":"","family":"Nakamaru-Ogiso","given":"Eiko","non-dropping-particle":"","parse-names":false,"suffix":""},{"dropping-particle":"","family":"Matsuno-Yagi","given":"Akemi","non-dropping-particle":"","parse-names":false,"suffix":""},{"dropping-particle":"","family":"Yagi","given":"Takao","non-dropping-particle":"","parse-names":false,"suffix":""}],"container-title":"Biochemistry","id":"ITEM-1","issue":"27","issued":{"date-parts":[["2005","7"]]},"language":"eng","page":"9545-9554","publisher-place":"United States","title":"Characterization of the membrane domain subunit NuoK (ND4L) of the NADH-quinone  oxidoreductase from Escherichia coli.","type":"article-journal","volume":"44"},"uris":["http://www.mendeley.com/documents/?uuid=57d558af-5785-42e6-ad7a-f43c2be5b276"]},{"id":"ITEM-2","itemData":{"DOI":"10.1021/bi0355903","ISSN":"0006-2960 (Print)","PMID":"14730982","abstract":"The ND4L subunit of mitochondrial NADH:ubiquinone oxidoreductase (complex I) is an  integral membrane protein that contains two highly conserved glutamates within putative trans-membrane helices. We employed complex I from Escherichia coli (NDH-1) to study the role of these residues by site-directed mutagenesis. The conserved glutamates of the NuoK subunit, E36 and E72, were replaced by either Asp or Gln residues, and the effects of the mutations on cell growth and catalysis of electron transfer from deamino-NADH to ubiquinone analogues were examined. Additional mutants that carried acidic residues at selected positions within this domain were also prepared and analyzed. The results indicated that two closely located membrane-embedded acidic residues in NuoK are essential for high rates of ubiquinone reduction, a prerequisite for the growth of cytochrome bo-deficient E. coli cells on malate as the main carbon source. The two acidic residues do not have to be on adjacent helices, and mutual location on the same helix, either helix 2 or 3, at an interval of three amino acids (about one turn of the putative helix), resulted in high activity and good growth phenotypes. Nevertheless, shifting only one of them, either E36 or E72, toward the periplasmic side of the membrane by about one turn of the helix severely hampered activity and growth, whereas moving both acidic residues together to that deeper membrane position stimulated the ubiq</w:instrText>
            </w:r>
            <w:r w:rsidR="00DC25DF" w:rsidRPr="00FC5E18">
              <w:rPr>
                <w:rFonts w:ascii="Helvetica" w:hAnsi="Helvetica" w:cs="Helvetica"/>
                <w:b/>
                <w:bCs/>
                <w:sz w:val="16"/>
                <w:szCs w:val="20"/>
                <w:lang w:val="en-GB"/>
              </w:rPr>
              <w:instrText>uinone reductase activity of the enzyme but not cell growth on malate, suggesting impaired energy conservation in this mutant.","author":[{"dropping-particle":"","family":"Kervinen","given":"Marko","non-dropping-particle":"","parse-names":false,"suffix":""},{"dropping-particle":"","family":"Pätsi","given":"Jukka","non-dropping-particle":"","parse-names":false,"suffix":""},{"dropping-particle":"","family":"Finel","given":"Moshe","non-dropping-particle":"","parse-names":false,"suffix":""},{"dropping-particle":"","family":"Hassinen","given":"Ilmo E","non-dropping-particle":"","parse-names":false,"suffix":""}],"container-title":"Biochemistry","id":"ITEM-2","issue":"3","issued":{"date-parts":[["2004","1"]]},"language":"eng","page":"773-781","publisher-place":"United States","title":"A pair of membrane-embedded acidic residues in the NuoK subunit of Escherichia coli  NDH-1, a counterpart of the ND4L subunit of the mitochondrial complex I, are required for high ubiquinone reductase activity.","type":"article-journal","volume":"43"},"uris":["http://www.mendeley.com/documents/?uuid=74eadc5f-451a-4c54-91ab-4b3df761a140"]}],"mendeley":{"formattedCitation":"(Kao &lt;i&gt;et al&lt;/i&gt;, 2005b; Kervinen &lt;i&gt;et al&lt;/i&gt;, 2004)","plainTextFormattedCitation":"(Kao et al, 2005b; Kervinen et al, 2004)","previouslyFormattedCitation":"(Kao &lt;i&gt;et al&lt;/i&gt;, 2005b; Kervinen &lt;i&gt;et al&lt;/i&gt;, 2004)"},"properties":{"noteIndex":0},"schema":"https://github.com/citation-style-language/schema/raw/master/csl-citation.json"}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FC5E18">
              <w:rPr>
                <w:rFonts w:ascii="Helvetica" w:hAnsi="Helvetica" w:cs="Helvetica"/>
                <w:bCs/>
                <w:noProof/>
                <w:sz w:val="16"/>
                <w:szCs w:val="20"/>
                <w:lang w:val="en-GB"/>
              </w:rPr>
              <w:t xml:space="preserve">(Kao </w:t>
            </w:r>
            <w:r w:rsidRPr="00FC5E18">
              <w:rPr>
                <w:rFonts w:ascii="Helvetica" w:hAnsi="Helvetica" w:cs="Helvetica"/>
                <w:bCs/>
                <w:i/>
                <w:noProof/>
                <w:sz w:val="16"/>
                <w:szCs w:val="20"/>
                <w:lang w:val="en-GB"/>
              </w:rPr>
              <w:t>et al</w:t>
            </w:r>
            <w:r w:rsidRPr="00FC5E18">
              <w:rPr>
                <w:rFonts w:ascii="Helvetica" w:hAnsi="Helvetica" w:cs="Helvetica"/>
                <w:bCs/>
                <w:noProof/>
                <w:sz w:val="16"/>
                <w:szCs w:val="20"/>
                <w:lang w:val="en-GB"/>
              </w:rPr>
              <w:t xml:space="preserve">, 2005b; Kervinen </w:t>
            </w:r>
            <w:r w:rsidRPr="00FC5E18">
              <w:rPr>
                <w:rFonts w:ascii="Helvetica" w:hAnsi="Helvetica" w:cs="Helvetica"/>
                <w:bCs/>
                <w:i/>
                <w:noProof/>
                <w:sz w:val="16"/>
                <w:szCs w:val="20"/>
                <w:lang w:val="en-GB"/>
              </w:rPr>
              <w:t>et al</w:t>
            </w:r>
            <w:r w:rsidRPr="00FC5E18">
              <w:rPr>
                <w:rFonts w:ascii="Helvetica" w:hAnsi="Helvetica" w:cs="Helvetica"/>
                <w:bCs/>
                <w:noProof/>
                <w:sz w:val="16"/>
                <w:szCs w:val="20"/>
                <w:lang w:val="en-GB"/>
              </w:rPr>
              <w:t>, 2004)</w:t>
            </w:r>
            <w:r w:rsidRPr="00E97FC1">
              <w:rPr>
                <w:rFonts w:ascii="Helvetica" w:hAnsi="Helvetica" w:cs="Helvetica"/>
                <w:b/>
                <w:bCs/>
                <w:sz w:val="16"/>
                <w:szCs w:val="20"/>
                <w:lang w:val="en-GB"/>
              </w:rPr>
              <w:fldChar w:fldCharType="end"/>
            </w:r>
          </w:p>
        </w:tc>
      </w:tr>
      <w:tr w:rsidR="002471A8" w:rsidRPr="00E97FC1" w14:paraId="11459350" w14:textId="77777777" w:rsidTr="00DC25DF">
        <w:trPr>
          <w:trHeight w:val="65"/>
        </w:trPr>
        <w:tc>
          <w:tcPr>
            <w:tcW w:w="1435" w:type="dxa"/>
          </w:tcPr>
          <w:p w14:paraId="5F4C0223" w14:textId="77777777" w:rsidR="002471A8" w:rsidRPr="00FC5E18" w:rsidRDefault="002471A8" w:rsidP="002471A8">
            <w:pPr>
              <w:rPr>
                <w:rFonts w:ascii="Helvetica" w:hAnsi="Helvetica" w:cs="Helvetica"/>
                <w:sz w:val="20"/>
                <w:szCs w:val="20"/>
                <w:lang w:val="en-GB"/>
              </w:rPr>
            </w:pPr>
            <w:r w:rsidRPr="00FC5E18">
              <w:rPr>
                <w:rFonts w:ascii="Helvetica" w:hAnsi="Helvetica" w:cs="Helvetica"/>
                <w:sz w:val="20"/>
                <w:szCs w:val="20"/>
                <w:lang w:val="en-GB"/>
              </w:rPr>
              <w:t>E36D</w:t>
            </w:r>
          </w:p>
        </w:tc>
        <w:tc>
          <w:tcPr>
            <w:tcW w:w="2430" w:type="dxa"/>
            <w:vMerge/>
          </w:tcPr>
          <w:p w14:paraId="01FAE85D" w14:textId="77777777" w:rsidR="002471A8" w:rsidRPr="00FC5E18" w:rsidRDefault="002471A8" w:rsidP="002471A8">
            <w:pPr>
              <w:rPr>
                <w:rFonts w:ascii="Helvetica" w:hAnsi="Helvetica" w:cs="Helvetica"/>
                <w:sz w:val="20"/>
                <w:szCs w:val="20"/>
                <w:lang w:val="en-GB"/>
              </w:rPr>
            </w:pPr>
          </w:p>
        </w:tc>
        <w:tc>
          <w:tcPr>
            <w:tcW w:w="1440" w:type="dxa"/>
          </w:tcPr>
          <w:p w14:paraId="11B0DDA1" w14:textId="77777777" w:rsidR="002471A8" w:rsidRPr="00FC5E18" w:rsidRDefault="002471A8" w:rsidP="002471A8">
            <w:pPr>
              <w:rPr>
                <w:rFonts w:ascii="Helvetica" w:hAnsi="Helvetica" w:cs="Helvetica"/>
                <w:sz w:val="20"/>
                <w:szCs w:val="20"/>
                <w:lang w:val="en-GB"/>
              </w:rPr>
            </w:pPr>
            <w:r w:rsidRPr="00FC5E18">
              <w:rPr>
                <w:rFonts w:ascii="Helvetica" w:hAnsi="Helvetica" w:cs="Helvetica"/>
                <w:sz w:val="20"/>
                <w:szCs w:val="20"/>
                <w:lang w:val="en-GB"/>
              </w:rPr>
              <w:t>normal</w:t>
            </w:r>
          </w:p>
        </w:tc>
        <w:tc>
          <w:tcPr>
            <w:tcW w:w="1170" w:type="dxa"/>
          </w:tcPr>
          <w:p w14:paraId="4933128D" w14:textId="77777777" w:rsidR="002471A8" w:rsidRPr="00FC5E18" w:rsidRDefault="002471A8" w:rsidP="002471A8">
            <w:pPr>
              <w:rPr>
                <w:rFonts w:ascii="Helvetica" w:hAnsi="Helvetica" w:cs="Helvetica"/>
                <w:bCs/>
                <w:sz w:val="20"/>
                <w:szCs w:val="20"/>
                <w:lang w:val="en-GB"/>
              </w:rPr>
            </w:pPr>
            <w:r w:rsidRPr="00FC5E18">
              <w:rPr>
                <w:rFonts w:ascii="Helvetica" w:hAnsi="Helvetica" w:cs="Helvetica"/>
                <w:bCs/>
                <w:sz w:val="20"/>
                <w:szCs w:val="20"/>
                <w:lang w:val="en-GB"/>
              </w:rPr>
              <w:t>118%</w:t>
            </w:r>
          </w:p>
        </w:tc>
        <w:tc>
          <w:tcPr>
            <w:tcW w:w="1260" w:type="dxa"/>
          </w:tcPr>
          <w:p w14:paraId="475B8A62" w14:textId="77777777" w:rsidR="002471A8" w:rsidRPr="00FC5E18" w:rsidRDefault="002471A8" w:rsidP="002471A8">
            <w:pPr>
              <w:rPr>
                <w:rFonts w:ascii="Helvetica" w:hAnsi="Helvetica" w:cs="Helvetica"/>
                <w:sz w:val="20"/>
                <w:szCs w:val="20"/>
                <w:lang w:val="en-GB"/>
              </w:rPr>
            </w:pPr>
            <w:r w:rsidRPr="00FC5E18">
              <w:rPr>
                <w:rFonts w:ascii="Helvetica" w:hAnsi="Helvetica" w:cs="Helvetica"/>
                <w:sz w:val="20"/>
                <w:szCs w:val="20"/>
                <w:lang w:val="en-GB"/>
              </w:rPr>
              <w:t>120%</w:t>
            </w:r>
          </w:p>
        </w:tc>
        <w:tc>
          <w:tcPr>
            <w:tcW w:w="1080" w:type="dxa"/>
          </w:tcPr>
          <w:p w14:paraId="1DD89F4E" w14:textId="77777777" w:rsidR="002471A8" w:rsidRPr="00FC5E18" w:rsidRDefault="002471A8" w:rsidP="002471A8">
            <w:pPr>
              <w:rPr>
                <w:rFonts w:ascii="Helvetica" w:hAnsi="Helvetica" w:cs="Helvetica"/>
                <w:sz w:val="20"/>
                <w:szCs w:val="20"/>
                <w:lang w:val="en-GB"/>
              </w:rPr>
            </w:pPr>
            <w:r w:rsidRPr="00FC5E18">
              <w:rPr>
                <w:rFonts w:ascii="Helvetica" w:hAnsi="Helvetica" w:cs="Helvetica"/>
                <w:sz w:val="20"/>
                <w:szCs w:val="20"/>
                <w:lang w:val="en-GB"/>
              </w:rPr>
              <w:t>normal</w:t>
            </w:r>
          </w:p>
        </w:tc>
        <w:tc>
          <w:tcPr>
            <w:tcW w:w="1260" w:type="dxa"/>
          </w:tcPr>
          <w:p w14:paraId="1A6434AD" w14:textId="292A882E"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FC5E18">
              <w:rPr>
                <w:rFonts w:ascii="Helvetica" w:hAnsi="Helvetica" w:cs="Helvetica"/>
                <w:b/>
                <w:bCs/>
                <w:sz w:val="16"/>
                <w:szCs w:val="20"/>
                <w:lang w:val="en-GB"/>
              </w:rPr>
              <w:instrText xml:space="preserve">ADDIN CSL_CITATION {"citationItems":[{"id":"ITEM-1","itemData":{"DOI":"10.1021/bi0355903","ISSN":"0006-2960 (Print)","PMID":"14730982","abstract":"The ND4L subunit of mitochondrial NADH:ubiquinone oxidoreductase (complex I) is an  integral membrane protein that contains two highly conserved glutamates within putative trans-membrane helices. We employed complex I from Escherichia coli (NDH-1) to study the role of these residues by site-directed mutagenesis. The conserved glutamates of the NuoK subunit, E36 and E72, were replaced by either Asp or Gln residues, and the effects of the mutations on cell growth and catalysis of electron transfer from deamino-NADH to ubiquinone analogues were examined. Additional mutants that carried acidic residues at selected positions within this domain were also prepared and analyzed. The results indicated that two closely located membrane-embedded acidic residues in NuoK are essential for high rates of ubiquinone reduction, a prerequisite for the growth of cytochrome bo-deficient E. coli cells on malate as the main carbon source. The two acidic residues do not have to be on adjacent helices, and mutual location on the same helix, either helix 2 or 3, at an interval of three amino acids (about one turn of the putative helix), resulted in high activity and good growth phenotypes. Nevertheless, shifting only one of them, either E36 or E72, toward the periplasmic side of the </w:instrText>
            </w:r>
            <w:r w:rsidR="00DC25DF" w:rsidRPr="00E97FC1">
              <w:rPr>
                <w:rFonts w:ascii="Helvetica" w:hAnsi="Helvetica" w:cs="Helvetica"/>
                <w:b/>
                <w:bCs/>
                <w:sz w:val="16"/>
                <w:szCs w:val="20"/>
                <w:lang w:val="en-GB"/>
              </w:rPr>
              <w:instrText>membrane by about one turn of the helix severely hampered activity and growth, whereas moving both acidic residues together to that deeper membrane position stimulated the ubiquinone reductase activity of the enzyme but not cell growth on malate, suggesting impaired energy conservation in this mutant.","author":[{"dropping-particle":"","family":"Kervinen","given":"Marko","non-dropping-particle":"","parse-names":false,"suffix":""},{"dropping-particle":"","family":"Pätsi","given":"Jukka","non-dropping-particle":"","parse-names":false,"suffix":""},{"dropping-particle":"","family":"Finel","given":"Moshe","non-dropping-particle":"","parse-names":false,"suffix":""},{"dropping-particle":"","family":"Hassinen","given":"Ilmo E","non-dropping-particle":"","parse-names":false,"suffix":""}],"container-title":"Biochemistry","id":"ITEM-1","issue":"3","issued":{"date-parts":[["2004","1"]]},"language":"eng","page":"773-781","publisher-place":"United States","title":"A pair of membrane-embedded acidic residues in the NuoK subunit of Escherichia coli  NDH-1, a counterpart of the ND4L subunit of the mitochondrial complex I, are required for high ubiquinone reductase activity.","type":"article-journal","volume":"43"},"uris":["http://www.mendeley.com/documents/?uuid=74eadc5f-451a-4c54-91ab-4b3df761a140"]}],"mendeley":{"formattedCitation":"(Kervinen &lt;i&gt;et al&lt;/i&gt;, 2004)","plainTextFormattedCitation":"(Kervinen et al, 2004)","previouslyFormattedCitation":"(Kervinen &lt;i&gt;et al&lt;/i&gt;, 2004)"},"properties":{"noteIndex":0},"schema":"https://github.com/citation-style-language/schema/raw/master/csl-citation.json"}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(Kervinen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2004)</w:t>
            </w:r>
            <w:r w:rsidRPr="00E97FC1">
              <w:rPr>
                <w:rFonts w:ascii="Helvetica" w:hAnsi="Helvetica" w:cs="Helvetica"/>
                <w:b/>
                <w:bCs/>
                <w:sz w:val="16"/>
                <w:szCs w:val="20"/>
                <w:lang w:val="en-GB"/>
              </w:rPr>
              <w:fldChar w:fldCharType="end"/>
            </w:r>
          </w:p>
        </w:tc>
      </w:tr>
      <w:tr w:rsidR="002471A8" w:rsidRPr="00E97FC1" w14:paraId="08DA6C10" w14:textId="77777777" w:rsidTr="00DC25DF">
        <w:trPr>
          <w:trHeight w:val="65"/>
        </w:trPr>
        <w:tc>
          <w:tcPr>
            <w:tcW w:w="1435" w:type="dxa"/>
          </w:tcPr>
          <w:p w14:paraId="35311BF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E36Q/E72Q</w:t>
            </w:r>
          </w:p>
        </w:tc>
        <w:tc>
          <w:tcPr>
            <w:tcW w:w="2430" w:type="dxa"/>
            <w:vMerge/>
          </w:tcPr>
          <w:p w14:paraId="380A732D" w14:textId="77777777" w:rsidR="002471A8" w:rsidRPr="00E97FC1" w:rsidRDefault="002471A8" w:rsidP="002471A8">
            <w:pPr>
              <w:rPr>
                <w:rFonts w:ascii="Helvetica" w:hAnsi="Helvetica" w:cs="Helvetica"/>
                <w:sz w:val="20"/>
                <w:szCs w:val="20"/>
                <w:lang w:val="en-GB"/>
              </w:rPr>
            </w:pPr>
          </w:p>
        </w:tc>
        <w:tc>
          <w:tcPr>
            <w:tcW w:w="1440" w:type="dxa"/>
          </w:tcPr>
          <w:p w14:paraId="03F151C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5BDAFD4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64%</w:t>
            </w:r>
          </w:p>
        </w:tc>
        <w:tc>
          <w:tcPr>
            <w:tcW w:w="1260" w:type="dxa"/>
          </w:tcPr>
          <w:p w14:paraId="7B32AF2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5%</w:t>
            </w:r>
          </w:p>
        </w:tc>
        <w:tc>
          <w:tcPr>
            <w:tcW w:w="1080" w:type="dxa"/>
          </w:tcPr>
          <w:p w14:paraId="6275833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impaired</w:t>
            </w:r>
          </w:p>
        </w:tc>
        <w:tc>
          <w:tcPr>
            <w:tcW w:w="1260" w:type="dxa"/>
          </w:tcPr>
          <w:p w14:paraId="5138BDE9" w14:textId="5571BA3C"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{"citationItems":[{"id":"ITEM-1","itemData":{"DOI":"10.1021/bi0355903","ISSN":"0006-2960 (Print)","PMID":"14730982","abstract":"The ND4L subunit of mitochondrial NADH:ubiquinone oxidoreductase (complex I) is an  integral membrane protein that contains two highly conserved glutamates within putative trans-membrane helices. We employed complex I from Escherichia coli (NDH-1) to study the role of these residues by site-directed mutagenesis. The conserved glutamates of the NuoK subunit, E36 and E72, were replaced by either Asp or Gln residues, and the effects of the mutations on cell growth and catalysis of electron transfer from deamino-NADH to ubiquinone analogues were examined. Additional mutants that carried acidic residues at selected positions within this domain were also prepared and analyzed. The results indicated that two closely located membrane-embedded acidic residues in NuoK are essential for high rates of ubiquinone reduction, a prerequisite for the growth of cytochrome bo-deficient E. coli cells on malate as the main carbon source. The two acidic residues do not have to be on adjacent helices, and mutual location on the same helix, either helix 2 or 3, at an interval of three amino acids (about one turn of the putative helix), resulted in high activity and good growth phenotypes. Nevertheless, shifting only one of them, either E36 or E72, toward the periplasmic side of the membrane by about one turn of the helix severely hampered activity and growth, whereas moving both acidic residues together to that deeper membrane position stimulated the ubiquinone reductase activity of the enzyme but not cell growth on malate, suggesting impaired energy conservation in this mutant.","author":[{"dropping-particle":"","family":"Kervinen","given":"Marko","non-dropping-particle":"","parse-names":false,"suffix":""},{"dropping-particle":"","family":"Pätsi","given":"Jukka","non-dropping-particle":"","parse-names":false,"suffix":""},{"dropping-particle":"","family":"Finel","given":"Moshe","non-dropping-particle":"","parse-names":false,"suffix":""},{"dropping-particle":"","family":"Hassinen","given":"Ilmo E","non-dropping-particle":"","parse-names":false,"suffix":""}],"container-title":"Biochemistry","id":"ITEM-1","issue":"3","issued":{"date-parts":[["2004","1"]]},"language":"eng","page":"773-781","publisher-place":"United States","title":"A pair of membrane-embedded acidic residues in the NuoK subunit of Escherichia coli  NDH-1, a counterpart of the ND4L subunit of the mitochondrial complex I, are required for high ubiquinone reductase activity.","type":"article-journal","volume":"43"},"uris":["http://www.mendeley.com/documents/?uuid=74eadc5f-451a-4c54-91ab-4b3df761a140"]}],"mendeley":{"formattedCitation":"(Kervinen &lt;i&gt;et al&lt;/i&gt;, 2004)","plainTextFormattedCitation":"(Kervinen et al, 2004)","previouslyFormattedCitation":"(Kervinen &lt;i&gt;et al&lt;/i&gt;, 2004)"},"properties":{"noteIndex":0},"schema":"https://github.com/citation-style-language/schema/raw/master/csl-citation.json"}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(Kervinen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2004)</w:t>
            </w:r>
            <w:r w:rsidRPr="00E97FC1">
              <w:rPr>
                <w:rFonts w:ascii="Helvetica" w:hAnsi="Helvetica" w:cs="Helvetica"/>
                <w:b/>
                <w:bCs/>
                <w:sz w:val="16"/>
                <w:szCs w:val="20"/>
                <w:lang w:val="en-GB"/>
              </w:rPr>
              <w:fldChar w:fldCharType="end"/>
            </w:r>
          </w:p>
        </w:tc>
      </w:tr>
      <w:tr w:rsidR="002471A8" w:rsidRPr="00E97FC1" w14:paraId="1AEE58E6" w14:textId="77777777" w:rsidTr="00DC25DF">
        <w:trPr>
          <w:trHeight w:val="65"/>
        </w:trPr>
        <w:tc>
          <w:tcPr>
            <w:tcW w:w="1435" w:type="dxa"/>
          </w:tcPr>
          <w:p w14:paraId="3E70622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E36Q/I39D</w:t>
            </w:r>
          </w:p>
        </w:tc>
        <w:tc>
          <w:tcPr>
            <w:tcW w:w="2430" w:type="dxa"/>
            <w:vMerge/>
          </w:tcPr>
          <w:p w14:paraId="7873334F" w14:textId="77777777" w:rsidR="002471A8" w:rsidRPr="00E97FC1" w:rsidRDefault="002471A8" w:rsidP="002471A8">
            <w:pPr>
              <w:rPr>
                <w:rFonts w:ascii="Helvetica" w:hAnsi="Helvetica" w:cs="Helvetica"/>
                <w:sz w:val="20"/>
                <w:szCs w:val="20"/>
                <w:lang w:val="en-GB"/>
              </w:rPr>
            </w:pPr>
          </w:p>
        </w:tc>
        <w:tc>
          <w:tcPr>
            <w:tcW w:w="1440" w:type="dxa"/>
          </w:tcPr>
          <w:p w14:paraId="76844B2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4C4498F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76%</w:t>
            </w:r>
          </w:p>
        </w:tc>
        <w:tc>
          <w:tcPr>
            <w:tcW w:w="1260" w:type="dxa"/>
          </w:tcPr>
          <w:p w14:paraId="7EAE498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21%</w:t>
            </w:r>
          </w:p>
        </w:tc>
        <w:tc>
          <w:tcPr>
            <w:tcW w:w="1080" w:type="dxa"/>
          </w:tcPr>
          <w:p w14:paraId="7F47802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impaired</w:t>
            </w:r>
          </w:p>
        </w:tc>
        <w:tc>
          <w:tcPr>
            <w:tcW w:w="1260" w:type="dxa"/>
          </w:tcPr>
          <w:p w14:paraId="750D5121" w14:textId="252818DA"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{"citationItems":[{"id":"ITEM-1","itemData":{"DOI":"10.1021/bi0355903","ISSN":"0006-2960 (Print)","PMID":"14730982","abstract":"The ND4L subunit of mitochondrial NADH:ubiquinone oxidoreductase (complex I) is an  integral membrane protein that contains two highly conserved glutamates within putative trans-membrane helices. We employed complex I from Escherichia coli (NDH-1) to study the role of these residues by site-directed mutagenesis. The conserved glutamates of the NuoK subunit, E36 and E72, were replaced by either Asp or Gln residues, and the effects of the mutations on cell growth and catalysis of electron transfer from deamino-NADH to ubiquinone analogues were examined. Additional mutants that carried acidic residues at selected positions within this domain were also prepared and analyzed. The results indicated that two closely located membrane-embedded acidic residues in NuoK are essential for high rates of ubiquinone reduction, a prerequisite for the growth of cytochrome bo-deficient E. coli cells on malate as the main carbon source. The two acidic residues do not have to be on adjacent helices, and mutual location on the same helix, either helix 2 or 3, at an interval of three amino acids (about one turn of the putative helix), resulted in high activity and good growth phenotypes. Nevertheless, shifting only one of them, either E36 or E72, toward the periplasmic side of the membrane by about one turn of the helix severely hampered activity and growth, whereas moving both acidic residues together to that deeper membrane position stimulated the ubiquinone reductase activity of the enzyme but not cell growth on malate, suggesting impaired energy conservation in this mutant.","author":[{"dropping-particle":"","family":"Kervinen","given":"Marko","non-dropping-particle":"","parse-names":false,"suffix":""},{"dropping-particle":"","family":"Pätsi","given":"Jukka","non-dropping-particle":"","parse-names":false,"suffix":""},{"dropping-particle":"","family":"Finel","given":"Moshe","non-dropping-particle":"","parse-names":false,"suffix":""},{"dropping-particle":"","family":"Hassinen","given":"Ilmo E","non-dropping-particle":"","parse-names":false,"suffix":""}],"container-title":"Biochemistry","id":"ITEM-1","issue":"3","issued":{"date-parts":[["2004","1"]]},"language":"eng","page":"773-781","publisher-place":"United States","title":"A pair of membrane-embedded acidic residues in the NuoK subunit of Escherichia coli  NDH-1, a counterpart of the ND4L subunit of the mitochondrial complex I, are required for high ubiquinone reductase activity.","type":"article-journal","volume":"43"},"uris":["http://www.mendeley.com/documents/?uuid=74eadc5f-451a-4c54-91ab-4b3df761a140"]}],"mendeley":{"formattedCitation":"(Kervinen &lt;i&gt;et al&lt;/i&gt;, 2004)","plainTextFormattedCitation":"(Kervinen et al, 2004)","previouslyFormattedCitation":"(Kervinen &lt;i&gt;et al&lt;/i&gt;, 2004)"},"properties":{"noteIndex":0},"schema":"https://github.com/citation-style-language/schema/raw/master/csl-citation.json"}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(Kervinen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2004)</w:t>
            </w:r>
            <w:r w:rsidRPr="00E97FC1">
              <w:rPr>
                <w:rFonts w:ascii="Helvetica" w:hAnsi="Helvetica" w:cs="Helvetica"/>
                <w:b/>
                <w:bCs/>
                <w:sz w:val="16"/>
                <w:szCs w:val="20"/>
                <w:lang w:val="en-GB"/>
              </w:rPr>
              <w:fldChar w:fldCharType="end"/>
            </w:r>
          </w:p>
        </w:tc>
      </w:tr>
      <w:tr w:rsidR="002471A8" w:rsidRPr="00E97FC1" w14:paraId="4029AA0A" w14:textId="77777777" w:rsidTr="00DC25DF">
        <w:trPr>
          <w:trHeight w:val="65"/>
        </w:trPr>
        <w:tc>
          <w:tcPr>
            <w:tcW w:w="1435" w:type="dxa"/>
          </w:tcPr>
          <w:p w14:paraId="44D5376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lastRenderedPageBreak/>
              <w:t>E36Q/A69D</w:t>
            </w:r>
          </w:p>
        </w:tc>
        <w:tc>
          <w:tcPr>
            <w:tcW w:w="2430" w:type="dxa"/>
            <w:vMerge/>
          </w:tcPr>
          <w:p w14:paraId="42BB9867" w14:textId="77777777" w:rsidR="002471A8" w:rsidRPr="00E97FC1" w:rsidRDefault="002471A8" w:rsidP="002471A8">
            <w:pPr>
              <w:rPr>
                <w:rFonts w:ascii="Helvetica" w:hAnsi="Helvetica" w:cs="Helvetica"/>
                <w:sz w:val="20"/>
                <w:szCs w:val="20"/>
                <w:lang w:val="en-GB"/>
              </w:rPr>
            </w:pPr>
          </w:p>
        </w:tc>
        <w:tc>
          <w:tcPr>
            <w:tcW w:w="1440" w:type="dxa"/>
          </w:tcPr>
          <w:p w14:paraId="31D2786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726261E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52%</w:t>
            </w:r>
          </w:p>
        </w:tc>
        <w:tc>
          <w:tcPr>
            <w:tcW w:w="1260" w:type="dxa"/>
          </w:tcPr>
          <w:p w14:paraId="4352F49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91%</w:t>
            </w:r>
          </w:p>
        </w:tc>
        <w:tc>
          <w:tcPr>
            <w:tcW w:w="1080" w:type="dxa"/>
          </w:tcPr>
          <w:p w14:paraId="607E5A0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260" w:type="dxa"/>
          </w:tcPr>
          <w:p w14:paraId="6A50FDE8" w14:textId="6D55E7FF"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{"citationItems":[{"id":"ITEM-1","itemData":{"DOI":"10.1021/bi0355903","ISSN":"0006-2960 (Print)","PMID":"14730982","abstract":"The ND4L subunit of mitochondrial NADH:ubiquinone oxidoreductase (complex I) is an  integral membrane protein that contains two highly conserved glutamates within putative trans-membrane helices. We employed complex I from Escherichia coli (NDH-1) to study the role of these residues by site-directed mutagenesis. The conserved glutamates of the NuoK subunit, E36 and E72, were replaced by either Asp or Gln residues, and the effects of the mutations on cell growth and catalysis of electron transfer from deamino-NADH to ubiquinone analogues were examined. Additional mutants that carried acidic residues at selected positions within this domain were also prepared and analyzed. The results indicated that two closely located membrane-embedded acidic residues in NuoK are essential for high rates of ubiquinone reduction, a prerequisite for the growth of cytochrome bo-deficient E. coli cells on malate as the main carbon source. The two acidic residues do not have to be on adjacent helices, and mutual location on the same helix, either helix 2 or 3, at an interval of three amino acids (about one turn of the putative helix), resulted in high activity and good growth phenotypes. Nevertheless, shifting only one of them, either E36 or E72, toward the periplasmic side of the membrane by about one turn of the helix severely hampered activity and growth, whereas moving both acidic residues together to that deeper membrane position stimulated the ubiquinone reductase activity of the enzyme but not cell growth on malate, suggesting impaired energy conservation in this mutant.","author":[{"dropping-particle":"","family":"Kervinen","given":"Marko","non-dropping-particle":"","parse-names":false,"suffix":""},{"dropping-particle":"","family":"Pätsi","given":"Jukka","non-dropping-particle":"","parse-names":false,"suffix":""},{"dropping-particle":"","family":"Finel","given":"Moshe","non-dropping-particle":"","parse-names":false,"suffix":""},{"dropping-particle":"","family":"Hassinen","given":"Ilmo E","non-dropping-particle":"","parse-names":false,"suffix":""}],"container-title":"Biochemistry","id":"ITEM-1","issue":"3","issued":{"date-parts":[["2004","1"]]},"language":"eng","page":"773-781","publisher-place":"United States","title":"A pair of membrane-embedded acidic residues in the NuoK subunit of Escherichia coli  NDH-1, a counterpart of the ND4L subunit of the mitochondrial complex I, are required for high ubiquinone reductase activity.","type":"article-journal","volume":"43"},"uris":["http://www.mendeley.com/documents/?uuid=74eadc5f-451a-4c54-91ab-4b3df761a140"]}],"mendeley":{"formattedCitation":"(Kervinen &lt;i&gt;et al&lt;/i&gt;, 2004)","plainTextFormattedCitation":"(Kervinen et al, 2004)","previouslyFormattedCitation":"(Kervinen &lt;i&gt;et al&lt;/i&gt;, 2004)"},"properties":{"noteIndex":0},"schema":"https://github.com/citation-style-language/schema/raw/master/csl-citation.json"}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(Kervinen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2004)</w:t>
            </w:r>
            <w:r w:rsidRPr="00E97FC1">
              <w:rPr>
                <w:rFonts w:ascii="Helvetica" w:hAnsi="Helvetica" w:cs="Helvetica"/>
                <w:b/>
                <w:bCs/>
                <w:sz w:val="16"/>
                <w:szCs w:val="20"/>
                <w:lang w:val="en-GB"/>
              </w:rPr>
              <w:fldChar w:fldCharType="end"/>
            </w:r>
          </w:p>
        </w:tc>
      </w:tr>
    </w:tbl>
    <w:p w14:paraId="067F4844" w14:textId="77777777" w:rsidR="002471A8" w:rsidRPr="00E97FC1" w:rsidRDefault="002471A8" w:rsidP="002471A8">
      <w:pPr>
        <w:ind w:left="720"/>
        <w:rPr>
          <w:rFonts w:ascii="Helvetica" w:hAnsi="Helvetica" w:cs="Helvetica"/>
          <w:b/>
          <w:lang w:val="en-GB"/>
        </w:rPr>
      </w:pPr>
    </w:p>
    <w:p w14:paraId="5C0415B2" w14:textId="77777777" w:rsidR="002471A8" w:rsidRPr="00E97FC1" w:rsidRDefault="002471A8" w:rsidP="002471A8">
      <w:pPr>
        <w:ind w:left="720"/>
        <w:rPr>
          <w:rFonts w:ascii="Helvetica" w:hAnsi="Helvetica" w:cs="Helvetica"/>
          <w:b/>
          <w:lang w:val="en-GB"/>
        </w:rPr>
      </w:pPr>
      <w:r w:rsidRPr="00E97FC1">
        <w:rPr>
          <w:rFonts w:ascii="Helvetica" w:hAnsi="Helvetica" w:cs="Helvetica"/>
          <w:b/>
          <w:lang w:val="en-GB"/>
        </w:rPr>
        <w:t>b) Mutations in the membrane arm, continuation</w:t>
      </w:r>
    </w:p>
    <w:p w14:paraId="23C121F6" w14:textId="77777777" w:rsidR="002471A8" w:rsidRPr="00E97FC1" w:rsidRDefault="002471A8" w:rsidP="002471A8">
      <w:pPr>
        <w:rPr>
          <w:rFonts w:ascii="Helvetica" w:hAnsi="Helvetica" w:cs="Helvetica"/>
          <w:lang w:val="en-GB"/>
        </w:rPr>
      </w:pPr>
    </w:p>
    <w:tbl>
      <w:tblPr>
        <w:tblW w:w="10075" w:type="dxa"/>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0A0" w:firstRow="1" w:lastRow="0" w:firstColumn="1" w:lastColumn="0" w:noHBand="0" w:noVBand="0"/>
      </w:tblPr>
      <w:tblGrid>
        <w:gridCol w:w="1525"/>
        <w:gridCol w:w="2340"/>
        <w:gridCol w:w="1440"/>
        <w:gridCol w:w="1170"/>
        <w:gridCol w:w="1260"/>
        <w:gridCol w:w="1080"/>
        <w:gridCol w:w="1260"/>
      </w:tblGrid>
      <w:tr w:rsidR="002471A8" w:rsidRPr="00E97FC1" w14:paraId="57CE286A" w14:textId="77777777" w:rsidTr="002471A8">
        <w:tc>
          <w:tcPr>
            <w:tcW w:w="1525" w:type="dxa"/>
            <w:vMerge w:val="restart"/>
          </w:tcPr>
          <w:p w14:paraId="43409B1B" w14:textId="77777777" w:rsidR="002471A8" w:rsidRPr="00E97FC1" w:rsidRDefault="002471A8" w:rsidP="002471A8">
            <w:pPr>
              <w:rPr>
                <w:rFonts w:ascii="Helvetica" w:hAnsi="Helvetica" w:cs="Helvetica"/>
                <w:sz w:val="22"/>
                <w:lang w:val="en-GB"/>
              </w:rPr>
            </w:pPr>
            <w:r w:rsidRPr="00E97FC1">
              <w:rPr>
                <w:rFonts w:ascii="Helvetica" w:hAnsi="Helvetica" w:cs="Helvetica"/>
                <w:sz w:val="22"/>
                <w:lang w:val="en-GB"/>
              </w:rPr>
              <w:t>Mutation</w:t>
            </w:r>
          </w:p>
        </w:tc>
        <w:tc>
          <w:tcPr>
            <w:tcW w:w="2340" w:type="dxa"/>
            <w:vMerge w:val="restart"/>
          </w:tcPr>
          <w:p w14:paraId="208B3241"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Amino acid location</w:t>
            </w:r>
          </w:p>
        </w:tc>
        <w:tc>
          <w:tcPr>
            <w:tcW w:w="1440" w:type="dxa"/>
            <w:vMerge w:val="restart"/>
          </w:tcPr>
          <w:p w14:paraId="17139A1E"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 xml:space="preserve">Expression/assembly </w:t>
            </w:r>
          </w:p>
        </w:tc>
        <w:tc>
          <w:tcPr>
            <w:tcW w:w="3510" w:type="dxa"/>
            <w:gridSpan w:val="3"/>
          </w:tcPr>
          <w:p w14:paraId="660C34B5"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Effect</w:t>
            </w:r>
          </w:p>
        </w:tc>
        <w:tc>
          <w:tcPr>
            <w:tcW w:w="1260" w:type="dxa"/>
            <w:vMerge w:val="restart"/>
          </w:tcPr>
          <w:p w14:paraId="7D4EEC5A"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Reference and comments</w:t>
            </w:r>
          </w:p>
        </w:tc>
      </w:tr>
      <w:tr w:rsidR="002471A8" w:rsidRPr="00E97FC1" w14:paraId="7800AE1E" w14:textId="77777777" w:rsidTr="002471A8">
        <w:tc>
          <w:tcPr>
            <w:tcW w:w="1525" w:type="dxa"/>
            <w:vMerge/>
          </w:tcPr>
          <w:p w14:paraId="1AF13DC1" w14:textId="77777777" w:rsidR="002471A8" w:rsidRPr="00E97FC1" w:rsidRDefault="002471A8" w:rsidP="002471A8">
            <w:pPr>
              <w:jc w:val="center"/>
              <w:rPr>
                <w:rFonts w:ascii="Helvetica" w:hAnsi="Helvetica" w:cs="Helvetica"/>
                <w:sz w:val="22"/>
                <w:lang w:val="en-GB"/>
              </w:rPr>
            </w:pPr>
          </w:p>
        </w:tc>
        <w:tc>
          <w:tcPr>
            <w:tcW w:w="2340" w:type="dxa"/>
            <w:vMerge/>
          </w:tcPr>
          <w:p w14:paraId="33DAE763" w14:textId="77777777" w:rsidR="002471A8" w:rsidRPr="00E97FC1" w:rsidRDefault="002471A8" w:rsidP="002471A8">
            <w:pPr>
              <w:jc w:val="center"/>
              <w:rPr>
                <w:rFonts w:ascii="Helvetica" w:hAnsi="Helvetica" w:cs="Helvetica"/>
                <w:sz w:val="22"/>
                <w:lang w:val="en-GB"/>
              </w:rPr>
            </w:pPr>
          </w:p>
        </w:tc>
        <w:tc>
          <w:tcPr>
            <w:tcW w:w="1440" w:type="dxa"/>
            <w:vMerge/>
          </w:tcPr>
          <w:p w14:paraId="6FEB855F" w14:textId="77777777" w:rsidR="002471A8" w:rsidRPr="00E97FC1" w:rsidRDefault="002471A8" w:rsidP="002471A8">
            <w:pPr>
              <w:jc w:val="center"/>
              <w:rPr>
                <w:rFonts w:ascii="Helvetica" w:hAnsi="Helvetica" w:cs="Helvetica"/>
                <w:sz w:val="22"/>
                <w:lang w:val="en-GB"/>
              </w:rPr>
            </w:pPr>
          </w:p>
        </w:tc>
        <w:tc>
          <w:tcPr>
            <w:tcW w:w="1170" w:type="dxa"/>
          </w:tcPr>
          <w:p w14:paraId="3968877F"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FMN-site</w:t>
            </w:r>
          </w:p>
          <w:p w14:paraId="7A22E1E2"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activity</w:t>
            </w:r>
          </w:p>
        </w:tc>
        <w:tc>
          <w:tcPr>
            <w:tcW w:w="1260" w:type="dxa"/>
          </w:tcPr>
          <w:p w14:paraId="274097A2"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Oxido-reductase activity</w:t>
            </w:r>
          </w:p>
        </w:tc>
        <w:tc>
          <w:tcPr>
            <w:tcW w:w="1080" w:type="dxa"/>
          </w:tcPr>
          <w:p w14:paraId="7405F77E"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Proton pumping activity</w:t>
            </w:r>
          </w:p>
        </w:tc>
        <w:tc>
          <w:tcPr>
            <w:tcW w:w="1260" w:type="dxa"/>
            <w:vMerge/>
          </w:tcPr>
          <w:p w14:paraId="23F48E38" w14:textId="77777777" w:rsidR="002471A8" w:rsidRPr="00E97FC1" w:rsidRDefault="002471A8" w:rsidP="002471A8">
            <w:pPr>
              <w:jc w:val="center"/>
              <w:rPr>
                <w:rFonts w:ascii="Helvetica" w:hAnsi="Helvetica" w:cs="Helvetica"/>
                <w:sz w:val="22"/>
                <w:lang w:val="en-GB"/>
              </w:rPr>
            </w:pPr>
          </w:p>
        </w:tc>
      </w:tr>
      <w:tr w:rsidR="002471A8" w:rsidRPr="00E97FC1" w14:paraId="1178B879" w14:textId="77777777" w:rsidTr="002471A8">
        <w:trPr>
          <w:trHeight w:val="65"/>
        </w:trPr>
        <w:tc>
          <w:tcPr>
            <w:tcW w:w="10075" w:type="dxa"/>
            <w:gridSpan w:val="7"/>
          </w:tcPr>
          <w:p w14:paraId="4D24A271" w14:textId="77777777" w:rsidR="002471A8" w:rsidRPr="00E97FC1" w:rsidRDefault="002471A8" w:rsidP="002471A8">
            <w:pPr>
              <w:rPr>
                <w:rFonts w:ascii="Helvetica" w:hAnsi="Helvetica" w:cs="Helvetica"/>
                <w:b/>
                <w:bCs/>
                <w:sz w:val="22"/>
                <w:lang w:val="en-GB"/>
              </w:rPr>
            </w:pPr>
            <w:r w:rsidRPr="00E97FC1">
              <w:rPr>
                <w:rFonts w:ascii="Helvetica" w:hAnsi="Helvetica" w:cs="Helvetica"/>
                <w:b/>
                <w:bCs/>
                <w:sz w:val="28"/>
                <w:lang w:val="en-GB"/>
              </w:rPr>
              <w:t>NuoK</w:t>
            </w:r>
          </w:p>
        </w:tc>
      </w:tr>
      <w:tr w:rsidR="002471A8" w:rsidRPr="00E97FC1" w14:paraId="5A201B97" w14:textId="77777777" w:rsidTr="002471A8">
        <w:trPr>
          <w:trHeight w:val="65"/>
        </w:trPr>
        <w:tc>
          <w:tcPr>
            <w:tcW w:w="1525" w:type="dxa"/>
          </w:tcPr>
          <w:p w14:paraId="5F49B14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I39D</w:t>
            </w:r>
          </w:p>
        </w:tc>
        <w:tc>
          <w:tcPr>
            <w:tcW w:w="2340" w:type="dxa"/>
          </w:tcPr>
          <w:p w14:paraId="2921E667"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interface with NuoN</w:t>
            </w:r>
          </w:p>
        </w:tc>
        <w:tc>
          <w:tcPr>
            <w:tcW w:w="1440" w:type="dxa"/>
          </w:tcPr>
          <w:p w14:paraId="1490C47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10CD511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84%</w:t>
            </w:r>
          </w:p>
        </w:tc>
        <w:tc>
          <w:tcPr>
            <w:tcW w:w="1260" w:type="dxa"/>
          </w:tcPr>
          <w:p w14:paraId="2FAD772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140%</w:t>
            </w:r>
          </w:p>
        </w:tc>
        <w:tc>
          <w:tcPr>
            <w:tcW w:w="1080" w:type="dxa"/>
          </w:tcPr>
          <w:p w14:paraId="2CC05CF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260" w:type="dxa"/>
          </w:tcPr>
          <w:p w14:paraId="6ABC6FF6" w14:textId="259E1C23"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{"citationItems":[{"id":"ITEM-1","itemData":{"DOI":"10.1021/bi0355903","ISSN":"0006-2960 (Print)","PMID":"14730982","abstract":"The ND4L subunit of mitochondrial NADH:ubiquinone oxidoreductase (complex I) is an  integral membrane protein that contains two highly conserved glutamates within putative trans-membrane helices. We employed complex I from Escherichia coli (NDH-1) to study the role of these residues by site-directed mutagenesis. The conserved glutamates of the NuoK subunit, E36 and E72, were replaced by either Asp or Gln residues, and the effects of the mutations on cell growth and catalysis of electron transfer from deamino-NADH to ubiquinone analogues were examined. Additional mutants that carried acidic residues at selected positions within this domain were also prepared and analyzed. The results indicated that two closely located membrane-embedded acidic residues in NuoK are essential for high rates of ubiquinone reduction, a prerequisite for the growth of cytochrome bo-deficient E. coli cells on malate as the main carbon source. The two acidic residues do not have to be on adjacent helices, and mutual location on the same helix, either helix 2 or 3, at an interval of three amino acids (about one turn of the putative helix), resulted in high activity and good growth phenotypes. Nevertheless, shifting only one of them, either E36 or E72, toward the periplasmic side of the membrane by about one turn of the helix severely hampered activity and growth, whereas moving both acidic residues together to that deeper membrane position stimulated the ubiquinone reductase activity of the enzyme but not cell growth on malate, suggesting impaired energy conservation in this mutant.","author":[{"dropping-particle":"","family":"Kervinen","given":"Marko","non-dropping-particle":"","parse-names":false,"suffix":""},{"dropping-particle":"","family":"Pätsi","given":"Jukka","non-dropping-particle":"","parse-names":false,"suffix":""},{"dropping-particle":"","family":"Finel","given":"Moshe","non-dropping-particle":"","parse-names":false,"suffix":""},{"dropping-particle":"","family":"Hassinen","given":"Ilmo E","non-dropping-particle":"","parse-names":false,"suffix":""}],"container-title":"Biochemistry","id":"ITEM-1","issue":"3","issued":{"date-parts":[["2004","1"]]},"language":"eng","page":"773-781","publisher-place":"United States","title":"A pair of membrane-embedded acidic residues in the NuoK subunit of Escherichia coli  NDH-1, a counterpart of the ND4L subunit of the mitochondrial complex I, are required for high ubiquinone reductase activity.","type":"article-journal","volume":"43"},"uris":["http://www.mendeley.com/documents/?uuid=74eadc5f-451a-4c54-91ab-4b3df761a140"]}],"mendeley":{"formattedCitation":"(Kervinen &lt;i&gt;et al&lt;/i&gt;, 2004)","plainTextFormattedCitation":"(Kervinen et al, 2004)","previouslyFormattedCitation":"(Kervinen &lt;i&gt;et al&lt;/i&gt;, 2004)"},"properties":{"noteIndex":0},"schema":"https://github.com/citation-style-language/schema/raw/master/csl-citation.json"}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(Kervinen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2004)</w:t>
            </w:r>
            <w:r w:rsidRPr="00E97FC1">
              <w:rPr>
                <w:rFonts w:ascii="Helvetica" w:hAnsi="Helvetica" w:cs="Helvetica"/>
                <w:b/>
                <w:bCs/>
                <w:sz w:val="16"/>
                <w:szCs w:val="20"/>
                <w:lang w:val="en-GB"/>
              </w:rPr>
              <w:fldChar w:fldCharType="end"/>
            </w:r>
          </w:p>
        </w:tc>
      </w:tr>
      <w:tr w:rsidR="002471A8" w:rsidRPr="00E97FC1" w14:paraId="0CF7FCA3" w14:textId="77777777" w:rsidTr="002471A8">
        <w:trPr>
          <w:trHeight w:val="65"/>
        </w:trPr>
        <w:tc>
          <w:tcPr>
            <w:tcW w:w="1525" w:type="dxa"/>
          </w:tcPr>
          <w:p w14:paraId="1CCF46E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A69D</w:t>
            </w:r>
          </w:p>
        </w:tc>
        <w:tc>
          <w:tcPr>
            <w:tcW w:w="2340" w:type="dxa"/>
          </w:tcPr>
          <w:p w14:paraId="56E0A81F"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opposite E36</w:t>
            </w:r>
          </w:p>
        </w:tc>
        <w:tc>
          <w:tcPr>
            <w:tcW w:w="1440" w:type="dxa"/>
          </w:tcPr>
          <w:p w14:paraId="039E85A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737B249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60%</w:t>
            </w:r>
          </w:p>
        </w:tc>
        <w:tc>
          <w:tcPr>
            <w:tcW w:w="1260" w:type="dxa"/>
          </w:tcPr>
          <w:p w14:paraId="5636F65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119%</w:t>
            </w:r>
          </w:p>
        </w:tc>
        <w:tc>
          <w:tcPr>
            <w:tcW w:w="1080" w:type="dxa"/>
          </w:tcPr>
          <w:p w14:paraId="15963B6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260" w:type="dxa"/>
          </w:tcPr>
          <w:p w14:paraId="3F71D4A8" w14:textId="107BE2DB"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{"citationItems":[{"id":"ITEM-1","itemData":{"DOI":"10.1021/bi0355903","ISSN":"0006-2960 (Print)","PMID":"14730982","abstract":"The ND4L subunit of mitochondrial NADH:ubiquinone oxidoreductase (complex I) is an  integral membrane protein that contains two highly conserved glutamates within putative trans-membrane helices. We employed complex I from Escherichia coli (NDH-1) to study the role of these residues by site-directed mutagenesis. The conserved glutamates of the NuoK subunit, E36 and E72, were replaced by either Asp or Gln residues, and the effects of the mutations on cell growth and catalysis of electron transfer from deamino-NADH to ubiquinone analogues were examined. Additional mutants that carried acidic residues at selected positions within this domain were also prepared and analyzed. The results indicated that two closely located membrane-embedded acidic residues in NuoK are essential for high rates of ubiquinone reduction, a prerequisite for the growth of cytochrome bo-deficient E. coli cells on malate as the main carbon source. The two acidic residues do not have to be on adjacent helices, and mutual location on the same helix, either helix 2 or 3, at an interval of three amino acids (about one turn of the putative helix), resulted in high activity and good growth phenotypes. Nevertheless, shifting only one of them, either E36 or E72, toward the periplasmic side of the membrane by about one turn of the helix severely hampered activity and growth, whereas moving both acidic residues together to that deeper membrane position stimulated the ubiquinone reductase activity of the enzyme but not cell growth on malate, suggesting impaired energy conservation in this mutant.","author":[{"dropping-particle":"","family":"Kervinen","given":"Marko","non-dropping-particle":"","parse-names":false,"suffix":""},{"dropping-particle":"","family":"Pätsi","given":"Jukka","non-dropping-particle":"","parse-names":false,"suffix":""},{"dropping-particle":"","family":"Finel","given":"Moshe","non-dropping-particle":"","parse-names":false,"suffix":""},{"dropping-particle":"","family":"Hassinen","given":"Ilmo E","non-dropping-particle":"","parse-names":false,"suffix":""}],"container-title":"Biochemistry","id":"ITEM-1","issue":"3","issued":{"date-parts":[["2004","1"]]},"language":"eng","page":"773-781","publisher-place":"United States","title":"A pair of membrane-embedded acidic residues in the NuoK subunit of Escherichia coli  NDH-1, a counterpart of the ND4L subunit of the mitochondrial complex I, are required for high ubiquinone reductase activity.","type":"article-journal","volume":"43"},"uris":["http://www.mendeley.com/documents/?uuid=74eadc5f-451a-4c54-91ab-4b3df761a140"]}],"mendeley":{"formattedCitation":"(Kervinen &lt;i&gt;et al&lt;/i&gt;, 2004)","plainTextFormattedCitation":"(Kervinen et al, 2004)","previouslyFormattedCitation":"(Kervinen &lt;i&gt;et al&lt;/i&gt;, 2004)"},"properties":{"noteIndex":0},"schema":"https://github.com/citation-style-language/schema/raw/master/csl-citation.json"}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(Kervinen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2004)</w:t>
            </w:r>
            <w:r w:rsidRPr="00E97FC1">
              <w:rPr>
                <w:rFonts w:ascii="Helvetica" w:hAnsi="Helvetica" w:cs="Helvetica"/>
                <w:b/>
                <w:bCs/>
                <w:sz w:val="16"/>
                <w:szCs w:val="20"/>
                <w:lang w:val="en-GB"/>
              </w:rPr>
              <w:fldChar w:fldCharType="end"/>
            </w:r>
          </w:p>
        </w:tc>
      </w:tr>
      <w:tr w:rsidR="002471A8" w:rsidRPr="00E97FC1" w14:paraId="12CA353C" w14:textId="77777777" w:rsidTr="002471A8">
        <w:trPr>
          <w:trHeight w:val="65"/>
        </w:trPr>
        <w:tc>
          <w:tcPr>
            <w:tcW w:w="1525" w:type="dxa"/>
          </w:tcPr>
          <w:p w14:paraId="20A3B74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E72A</w:t>
            </w:r>
          </w:p>
        </w:tc>
        <w:tc>
          <w:tcPr>
            <w:tcW w:w="2340" w:type="dxa"/>
            <w:vMerge w:val="restart"/>
          </w:tcPr>
          <w:p w14:paraId="43BA21B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lang w:val="en-GB"/>
              </w:rPr>
              <w:t>E-channel, central axe, interface with NuoN</w:t>
            </w:r>
          </w:p>
        </w:tc>
        <w:tc>
          <w:tcPr>
            <w:tcW w:w="1440" w:type="dxa"/>
          </w:tcPr>
          <w:p w14:paraId="56AD236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4B350FA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103%</w:t>
            </w:r>
          </w:p>
        </w:tc>
        <w:tc>
          <w:tcPr>
            <w:tcW w:w="1260" w:type="dxa"/>
          </w:tcPr>
          <w:p w14:paraId="4DA6213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43-48%</w:t>
            </w:r>
          </w:p>
        </w:tc>
        <w:tc>
          <w:tcPr>
            <w:tcW w:w="1080" w:type="dxa"/>
          </w:tcPr>
          <w:p w14:paraId="7955AAA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~50%</w:t>
            </w:r>
          </w:p>
        </w:tc>
        <w:tc>
          <w:tcPr>
            <w:tcW w:w="1260" w:type="dxa"/>
          </w:tcPr>
          <w:p w14:paraId="66818B4F" w14:textId="61F045AF"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{"citationItems":[{"id":"ITEM-1","itemData":{"DOI":"10.1021/bi050708w","ISSN":"0006-2960 (Print)","PMID":"15996109","abstract":"The ND4L subunit is the smallest mitochondrial DNA-encoded subunit of the  proton-translocating NADH-quinone oxidoreductase (complex I). In an attempt to study the functional and structural roles of the NuoK subunit (the Escherichia coli homologue of ND4L) of the bacterial NADH-quinone oxidoreductase (NDH-1), we have performed a series of site-specific mutations on the nuoK gene of the NDH-1 operon by using the homologous recombination technique. The amino acid residues we targeted included two highly conserved glutamic acids that are presumably located in the middle of the membrane and several arginine residues that are predicted to be on the cytosolic side. All point mutants examined had fully assembled NDH-1 as detected by blue-native gel electrophoresis and immunostaining. Mutations of nearly perfectly conserved Glu-36 lead to almost null activities of coupled electron transfer with a concomitant loss of generation of electrochemical gradient. A significant diminution of the coupled activities was also observed with mutations of another highly conserved residue, Glu-72. These results may suggest that both membrane-embedded acidic residues are important for the coupling mechanism of NDH-1. Furthermore, a severe impairment of the coupled activities occurred when two vicinal arginine residues on a cytosolic loop were simultaneously mutated. Possible roles of these arginine residues and other conserved residues in the NuoK subunit for NDH-1 function were discussed.","author":[{"dropping-particle":"","family":"Kao","given":"Mou-Chieh","non-dropping-particle":"","parse-names":false,"suffix":""},{"dropping-particle":"","family":"Nakamaru-Ogiso","given":"Eiko","non-dropping-particle":"","parse-names":false,"suffix":""},{"dropping-particle":"","family":"Matsuno-Yagi","given":"Akemi","non-dropping-particle":"","parse-names":false,"suffix":""},{"dropping-particle":"","family":"Yagi","given":"Takao","non-dropping-particle":"","parse-names":false,"suffix":""}],"container-title":"Biochemistry","id":"ITEM-1","issue":"27","issued":{"date-parts":[["2005","7"]]},"language":"eng","page":"9545-9554","publisher-place":"United States","title":"Characterization of the membrane domain subunit NuoK (ND4L) of the NADH-quinone  oxidoreductase from Escherichia coli.","type":"article-journal","volume":"44"},"uris":["http://www.mendeley.com/documents/?uuid=57d558af-5785-42e6-ad7a-f43c2be5b276"]}],"mendeley":{"formattedCitation":"(Kao &lt;i&gt;et al&lt;/i&gt;, 2005b)","plainTextFormattedCitation":"(Kao et al, 2005b)","previouslyFormattedCitation":"(Kao &lt;i&gt;et al&lt;/i&gt;, 2005b)"},"properties":{"noteIndex":0},"schema":"https://github.com/citation-style-language/schema/raw/master/csl-citation.json"}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(Kao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2005b)</w:t>
            </w:r>
            <w:r w:rsidRPr="00E97FC1">
              <w:rPr>
                <w:rFonts w:ascii="Helvetica" w:hAnsi="Helvetica" w:cs="Helvetica"/>
                <w:b/>
                <w:bCs/>
                <w:sz w:val="16"/>
                <w:szCs w:val="20"/>
                <w:lang w:val="en-GB"/>
              </w:rPr>
              <w:fldChar w:fldCharType="end"/>
            </w:r>
          </w:p>
        </w:tc>
      </w:tr>
      <w:tr w:rsidR="002471A8" w:rsidRPr="000F12F2" w14:paraId="0689FFA7" w14:textId="77777777" w:rsidTr="002471A8">
        <w:trPr>
          <w:trHeight w:val="65"/>
        </w:trPr>
        <w:tc>
          <w:tcPr>
            <w:tcW w:w="1525" w:type="dxa"/>
          </w:tcPr>
          <w:p w14:paraId="726908F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E72Q</w:t>
            </w:r>
          </w:p>
        </w:tc>
        <w:tc>
          <w:tcPr>
            <w:tcW w:w="2340" w:type="dxa"/>
            <w:vMerge/>
          </w:tcPr>
          <w:p w14:paraId="428A31EA" w14:textId="77777777" w:rsidR="002471A8" w:rsidRPr="00E97FC1" w:rsidRDefault="002471A8" w:rsidP="002471A8">
            <w:pPr>
              <w:rPr>
                <w:rFonts w:ascii="Helvetica" w:hAnsi="Helvetica" w:cs="Helvetica"/>
                <w:sz w:val="20"/>
                <w:szCs w:val="20"/>
                <w:lang w:val="en-GB"/>
              </w:rPr>
            </w:pPr>
          </w:p>
        </w:tc>
        <w:tc>
          <w:tcPr>
            <w:tcW w:w="1440" w:type="dxa"/>
          </w:tcPr>
          <w:p w14:paraId="4AA9C8C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6E88744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99%</w:t>
            </w:r>
          </w:p>
        </w:tc>
        <w:tc>
          <w:tcPr>
            <w:tcW w:w="1260" w:type="dxa"/>
          </w:tcPr>
          <w:p w14:paraId="03E1968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22-77%</w:t>
            </w:r>
          </w:p>
        </w:tc>
        <w:tc>
          <w:tcPr>
            <w:tcW w:w="1080" w:type="dxa"/>
          </w:tcPr>
          <w:p w14:paraId="005928B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~20%</w:t>
            </w:r>
          </w:p>
        </w:tc>
        <w:tc>
          <w:tcPr>
            <w:tcW w:w="1260" w:type="dxa"/>
          </w:tcPr>
          <w:p w14:paraId="777CB71E" w14:textId="01C64826" w:rsidR="002471A8" w:rsidRPr="00FC5E18"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{"citationItems":[{"id":"ITEM-1","itemData":{"DOI":"10.1021/bi050708w","ISSN":"0006-2960 (Print)","PMID":"15996109","abstract":"The ND4L subunit is the smallest mitochondrial DNA-encoded subunit of the  proton-translocating NADH-quinone oxidoreductase (complex I). In an attempt to study the functional and structural roles of the NuoK subunit (the Escherichia coli homologue of ND4L) of the bacterial NADH-quinone oxidoreductase (NDH-1), we have performed a series of site-specific mutations on the nuoK gene of the NDH-1 operon by using the homologous recombination technique. The amino acid residues we targeted included two highly conserved glutamic acids that are presumably located in the middle of the membrane and several arginine residues that are predicted to be on the cytosolic side. All point mutants examined had fully assembled NDH-1 as detected by blue-native gel electrophoresis and immunostaining. Mutations of nearly perfectly conserved Glu-36 lead to almost null activities of coupled electron transfer with a concomitant loss of generation of electrochemical gradient. A significant diminution of the coupled activities was also observed with mutations of another highly conserved residue, Glu-72. These results may suggest that both membrane-embedded acidic residues are important for the coupling mechanism of NDH-1. Furthermore, a severe impairment of the coupled activities occurred when two vicinal arginine residues on a cytosolic loop were simultaneously mutated. Possible roles of these arginine residues and other conserved residues in the NuoK subunit for NDH-1 function were discussed.","author":[{"dropping-particle":"","family":"Kao","given":"Mou-Chieh","non-dropping-particle":"","parse-names":false,"suffix":""},{"dropping-particle":"","family":"Nakamaru-Ogiso","given":"Eiko","non-dropping-particle":"","parse-names":false,"suffix":""},{"dropping-particle":"","family":"Matsuno-Yagi","given":"Akemi","non-dropping-particle":"","parse-names":false,"suffix":""},{"dropping-particle":"","family":"Yagi","given":"Takao","non-dropping-particle":"","parse-names":false,"suffix":""}],"container-title":"Biochemistry","id":"ITEM-1","issue":"27","issued":{"date-parts":[["2005","7"]]},"language":"eng","page":"9545-9554","publisher-place":"United States","title":"Characterization of the membrane domain subunit NuoK (ND4L) of the NADH-quinone  oxidoreductase from Escherichia coli.","type":"article-journal","volume":"44"},"uris":["http://www.mendeley.com/documents/?uuid=57d558af-5785-42e6-ad7a-f43c2be5b276"]},{"id":"ITEM-2","itemData":{"DOI":"10.1021/bi0355903","ISSN":"0006-2960 (Print)","PMID":"14730982","abstract":"The ND4L subunit of mitochondrial NADH:ubiquinone oxidoreductase (complex I) is an  integral membrane protein that contains two highly conserved glutamates within putative trans-membrane helices. We employed complex I from Escherichia coli (NDH-1) to study the role of these residues by site-directed mutagenesis. The conserved glutamates of the NuoK subunit, E36 and E72, were replaced by either Asp or Gln residues, and the effects of the mutations on cell growth and catalysis of electron transfer from deamino-NADH to ubiquinone analogues were examined. Additional mutants that carried acidic residues at selected positions within this domain were also prepared and analyzed. The results indicated that two closely located membrane-embedded acidic residues in NuoK are essential for high rates of ubiquinone reduction, a prerequisite for the growth of cytochrome bo-deficient E. coli cells on malate as the main carbon source. The two acidic residues do not have to be on adjacent helices, and mutual location on the same helix, either helix 2 or 3, at an interval of three amino acids (about one turn of the putative helix), resulted in high activity and good growth phenotypes. Nevertheless, shifting only one of them, either E36 or E72, toward the periplasmic side of the membrane by about one turn of the helix severely hampered activity and growth, whereas moving both acidic residues together to that deeper membrane position stimulated the ubiq</w:instrText>
            </w:r>
            <w:r w:rsidR="00DC25DF" w:rsidRPr="00FC5E18">
              <w:rPr>
                <w:rFonts w:ascii="Helvetica" w:hAnsi="Helvetica" w:cs="Helvetica"/>
                <w:b/>
                <w:bCs/>
                <w:sz w:val="16"/>
                <w:szCs w:val="20"/>
                <w:lang w:val="en-GB"/>
              </w:rPr>
              <w:instrText>uinone reductase activity of the enzyme but not cell growth on malate, suggesting impaired energy conservation in this mutant.","author":[{"dropping-particle":"","family":"Kervinen","given":"Marko","non-dropping-particle":"","parse-names":false,"suffix":""},{"dropping-particle":"","family":"Pätsi","given":"Jukka","non-dropping-particle":"","parse-names":false,"suffix":""},{"dropping-particle":"","family":"Finel","given":"Moshe","non-dropping-particle":"","parse-names":false,"suffix":""},{"dropping-particle":"","family":"Hassinen","given":"Ilmo E","non-dropping-particle":"","parse-names":false,"suffix":""}],"container-title":"Biochemistry","id":"ITEM-2","issue":"3","issued":{"date-parts":[["2004","1"]]},"language":"eng","page":"773-781","publisher-place":"United States","title":"A pair of membrane-embedded acidic residues in the NuoK subunit of Escherichia coli  NDH-1, a counterpart of the ND4L subunit of the mitochondrial complex I, are required for high ubiquinone reductase activity.","type":"article-journal","volume":"43"},"uris":["http://www.mendeley.com/documents/?uuid=74eadc5f-451a-4c54-91ab-4b3df761a140"]}],"mendeley":{"formattedCitation":"(Kao &lt;i&gt;et al&lt;/i&gt;, 2005b; Kervinen &lt;i&gt;et al&lt;/i&gt;, 2004)","plainTextFormattedCitation":"(Kao et al, 2005b; Kervinen et al, 2004)","previouslyFormattedCitation":"(Kao &lt;i&gt;et al&lt;/i&gt;, 2005b; Kervinen &lt;i&gt;et al&lt;/i&gt;, 2004)"},"properties":{"noteIndex":0},"schema":"https://github.com/citation-style-language/schema/raw/master/csl-citation.json"}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FC5E18">
              <w:rPr>
                <w:rFonts w:ascii="Helvetica" w:hAnsi="Helvetica" w:cs="Helvetica"/>
                <w:bCs/>
                <w:noProof/>
                <w:sz w:val="16"/>
                <w:szCs w:val="20"/>
                <w:lang w:val="en-GB"/>
              </w:rPr>
              <w:t xml:space="preserve">(Kao </w:t>
            </w:r>
            <w:r w:rsidRPr="00FC5E18">
              <w:rPr>
                <w:rFonts w:ascii="Helvetica" w:hAnsi="Helvetica" w:cs="Helvetica"/>
                <w:bCs/>
                <w:i/>
                <w:noProof/>
                <w:sz w:val="16"/>
                <w:szCs w:val="20"/>
                <w:lang w:val="en-GB"/>
              </w:rPr>
              <w:t>et al</w:t>
            </w:r>
            <w:r w:rsidRPr="00FC5E18">
              <w:rPr>
                <w:rFonts w:ascii="Helvetica" w:hAnsi="Helvetica" w:cs="Helvetica"/>
                <w:bCs/>
                <w:noProof/>
                <w:sz w:val="16"/>
                <w:szCs w:val="20"/>
                <w:lang w:val="en-GB"/>
              </w:rPr>
              <w:t xml:space="preserve">, 2005b; Kervinen </w:t>
            </w:r>
            <w:r w:rsidRPr="00FC5E18">
              <w:rPr>
                <w:rFonts w:ascii="Helvetica" w:hAnsi="Helvetica" w:cs="Helvetica"/>
                <w:bCs/>
                <w:i/>
                <w:noProof/>
                <w:sz w:val="16"/>
                <w:szCs w:val="20"/>
                <w:lang w:val="en-GB"/>
              </w:rPr>
              <w:t>et al</w:t>
            </w:r>
            <w:r w:rsidRPr="00FC5E18">
              <w:rPr>
                <w:rFonts w:ascii="Helvetica" w:hAnsi="Helvetica" w:cs="Helvetica"/>
                <w:bCs/>
                <w:noProof/>
                <w:sz w:val="16"/>
                <w:szCs w:val="20"/>
                <w:lang w:val="en-GB"/>
              </w:rPr>
              <w:t>, 2004)</w:t>
            </w:r>
            <w:r w:rsidRPr="00E97FC1">
              <w:rPr>
                <w:rFonts w:ascii="Helvetica" w:hAnsi="Helvetica" w:cs="Helvetica"/>
                <w:b/>
                <w:bCs/>
                <w:sz w:val="16"/>
                <w:szCs w:val="20"/>
                <w:lang w:val="en-GB"/>
              </w:rPr>
              <w:fldChar w:fldCharType="end"/>
            </w:r>
          </w:p>
        </w:tc>
      </w:tr>
      <w:tr w:rsidR="002471A8" w:rsidRPr="00E97FC1" w14:paraId="51839145" w14:textId="77777777" w:rsidTr="002471A8">
        <w:trPr>
          <w:trHeight w:val="65"/>
        </w:trPr>
        <w:tc>
          <w:tcPr>
            <w:tcW w:w="1525" w:type="dxa"/>
          </w:tcPr>
          <w:p w14:paraId="242D3D8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E72Q/I39D</w:t>
            </w:r>
          </w:p>
        </w:tc>
        <w:tc>
          <w:tcPr>
            <w:tcW w:w="2340" w:type="dxa"/>
            <w:vMerge/>
          </w:tcPr>
          <w:p w14:paraId="769E6FB5" w14:textId="77777777" w:rsidR="002471A8" w:rsidRPr="00E97FC1" w:rsidRDefault="002471A8" w:rsidP="002471A8">
            <w:pPr>
              <w:rPr>
                <w:rFonts w:ascii="Helvetica" w:hAnsi="Helvetica" w:cs="Helvetica"/>
                <w:sz w:val="20"/>
                <w:szCs w:val="20"/>
                <w:lang w:val="en-GB"/>
              </w:rPr>
            </w:pPr>
          </w:p>
        </w:tc>
        <w:tc>
          <w:tcPr>
            <w:tcW w:w="1440" w:type="dxa"/>
          </w:tcPr>
          <w:p w14:paraId="373062C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564A0EA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54%</w:t>
            </w:r>
          </w:p>
        </w:tc>
        <w:tc>
          <w:tcPr>
            <w:tcW w:w="1260" w:type="dxa"/>
          </w:tcPr>
          <w:p w14:paraId="722237B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180%</w:t>
            </w:r>
          </w:p>
        </w:tc>
        <w:tc>
          <w:tcPr>
            <w:tcW w:w="1080" w:type="dxa"/>
          </w:tcPr>
          <w:p w14:paraId="25C0A07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260" w:type="dxa"/>
          </w:tcPr>
          <w:p w14:paraId="69D9544A" w14:textId="6CCAE867"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{"citationItems":[{"id":"ITEM-1","itemData":{"DOI":"10.1021/bi0355903","ISSN":"0006-2960 (Print)","PMID":"14730982","abstract":"The ND4L subunit of mitochondrial NADH:ubiquinone oxidoreductase (complex I) is an  integral membrane protein that contains two highly conserved glutamates within putative trans-membrane helices. We employed complex I from Escherichia coli (NDH-1) to study the role of these residues by site-directed mutagenesis. The conserved glutamates of the NuoK subunit, E36 and E72, were replaced by either Asp or Gln residues, and the effects of the mutations on cell growth and catalysis of electron transfer from deamino-NADH to ubiquinone analogues were examined. Additional mutants that carried acidic residues at selected positions within this domain were also prepared and analyzed. The results indicated that two closely located membrane-embedded acidic residues in NuoK are essential for high rates of ubiquinone reduction, a prerequisite for the growth of cytochrome bo-deficient E. coli cells on malate as the main carbon source. The two acidic residues do not have to be on adjacent helices, and mutual location on the same helix, either helix 2 or 3, at an interval of three amino acids (about one turn of the putative helix), resulted in high activity and good growth phenotypes. Nevertheless, shifting only one of them, either E36 or E72, toward the periplasmic side of the membrane by about one turn of the helix severely hampered activity and growth, whereas moving both acidic residues together to that deeper membrane position stimulated the ubiquinone reductase activity of the enzyme but not cell growth on malate, suggesting impaired energy conservation in this mutant.","author":[{"dropping-particle":"","family":"Kervinen","given":"Marko","non-dropping-particle":"","parse-names":false,"suffix":""},{"dropping-particle":"","family":"Pätsi","given":"Jukka","non-dropping-particle":"","parse-names":false,"suffix":""},{"dropping-particle":"","family":"Finel","given":"Moshe","non-dropping-particle":"","parse-names":false,"suffix":""},{"dropping-particle":"","family":"Hassinen","given":"Ilmo E","non-dropping-particle":"","parse-names":false,"suffix":""}],"container-title":"Biochemistry","id":"ITEM-1","issue":"3","issued":{"date-parts":[["2004","1"]]},"language":"eng","page":"773-781","publisher-place":"United States","title":"A pair of membrane-embedded acidic residues in the NuoK subunit of Escherichia coli  NDH-1, a counterpart of the ND4L subunit of the mitochondrial complex I, are required for high ubiquinone reductase activity.","type":"article-journal","volume":"43"},"uris":["http://www.mendeley.com/documents/?uuid=74eadc5f-451a-4c54-91ab-4b3df761a140"]}],"mendeley":{"formattedCitation":"(Kervinen &lt;i&gt;et al&lt;/i&gt;, 2004)","plainTextFormattedCitation":"(Kervinen et al, 2004)","previouslyFormattedCitation":"(Kervinen &lt;i&gt;et al&lt;/i&gt;, 2004)"},"properties":{"noteIndex":0},"schema":"https://github.com/citation-style-language/schema/raw/master/csl-citation.json"}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(Kervinen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2004)</w:t>
            </w:r>
            <w:r w:rsidRPr="00E97FC1">
              <w:rPr>
                <w:rFonts w:ascii="Helvetica" w:hAnsi="Helvetica" w:cs="Helvetica"/>
                <w:b/>
                <w:bCs/>
                <w:sz w:val="16"/>
                <w:szCs w:val="20"/>
                <w:lang w:val="en-GB"/>
              </w:rPr>
              <w:fldChar w:fldCharType="end"/>
            </w:r>
          </w:p>
        </w:tc>
      </w:tr>
      <w:tr w:rsidR="002471A8" w:rsidRPr="00E97FC1" w14:paraId="59CC057C" w14:textId="77777777" w:rsidTr="002471A8">
        <w:trPr>
          <w:trHeight w:val="65"/>
        </w:trPr>
        <w:tc>
          <w:tcPr>
            <w:tcW w:w="1525" w:type="dxa"/>
          </w:tcPr>
          <w:p w14:paraId="3F68DD9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E72Q/A69D</w:t>
            </w:r>
          </w:p>
        </w:tc>
        <w:tc>
          <w:tcPr>
            <w:tcW w:w="2340" w:type="dxa"/>
            <w:vMerge/>
          </w:tcPr>
          <w:p w14:paraId="350A5F79" w14:textId="77777777" w:rsidR="002471A8" w:rsidRPr="00E97FC1" w:rsidRDefault="002471A8" w:rsidP="002471A8">
            <w:pPr>
              <w:rPr>
                <w:rFonts w:ascii="Helvetica" w:hAnsi="Helvetica" w:cs="Helvetica"/>
                <w:sz w:val="20"/>
                <w:szCs w:val="20"/>
                <w:lang w:val="en-GB"/>
              </w:rPr>
            </w:pPr>
          </w:p>
        </w:tc>
        <w:tc>
          <w:tcPr>
            <w:tcW w:w="1440" w:type="dxa"/>
          </w:tcPr>
          <w:p w14:paraId="69FD687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399D905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92%</w:t>
            </w:r>
          </w:p>
        </w:tc>
        <w:tc>
          <w:tcPr>
            <w:tcW w:w="1260" w:type="dxa"/>
          </w:tcPr>
          <w:p w14:paraId="6CB673A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77%</w:t>
            </w:r>
          </w:p>
        </w:tc>
        <w:tc>
          <w:tcPr>
            <w:tcW w:w="1080" w:type="dxa"/>
          </w:tcPr>
          <w:p w14:paraId="2E7EB92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impaired</w:t>
            </w:r>
          </w:p>
        </w:tc>
        <w:tc>
          <w:tcPr>
            <w:tcW w:w="1260" w:type="dxa"/>
          </w:tcPr>
          <w:p w14:paraId="4E92336F" w14:textId="3FE491A7"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{"citationItems":[{"id":"ITEM-1","itemData":{"DOI":"10.1021/bi0355903","ISSN":"0006-2960 (Print)","PMID":"14730982","abstract":"The ND4L subunit of mitochondrial NADH:ubiquinone oxidoreductase (complex I) is an  integral membrane protein that contains two highly conserved glutamates within putative trans-membrane helices. We employed complex I from Escherichia coli (NDH-1) to study the role of these residues by site-directed mutagenesis. The conserved glutamates of the NuoK subunit, E36 and E72, were replaced by either Asp or Gln residues, and the effects of the mutations on cell growth and catalysis of electron transfer from deamino-NADH to ubiquinone analogues were examined. Additional mutants that carried acidic residues at selected positions within this domain were also prepared and analyzed. The results indicated that two closely located membrane-embedded acidic residues in NuoK are essential for high rates of ubiquinone reduction, a prerequisite for the growth of cytochrome bo-deficient E. coli cells on malate as the main carbon source. The two acidic residues do not have to be on adjacent helices, and mutual location on the same helix, either helix 2 or 3, at an interval of three amino acids (about one turn of the putative helix), resulted in high activity and good growth phenotypes. Nevertheless, shifting only one of them, either E36 or E72, toward the periplasmic side of the membrane by about one turn of the helix severely hampered activity and growth, whereas moving both acidic residues together to that deeper membrane position stimulated the ubiquinone reductase activity of the enzyme but not cell growth on malate, suggesting impaired energy conservation in this mutant.","author":[{"dropping-particle":"","family":"Kervinen","given":"Marko","non-dropping-particle":"","parse-names":false,"suffix":""},{"dropping-particle":"","family":"Pätsi","given":"Jukka","non-dropping-particle":"","parse-names":false,"suffix":""},{"dropping-particle":"","family":"Finel","given":"Moshe","non-dropping-particle":"","parse-names":false,"suffix":""},{"dropping-particle":"","family":"Hassinen","given":"Ilmo E","non-dropping-particle":"","parse-names":false,"suffix":""}],"container-title":"Biochemistry","id":"ITEM-1","issue":"3","issued":{"date-parts":[["2004","1"]]},"language":"eng","page":"773-781","publisher-place":"United States","title":"A pair of membrane-embedded acidic residues in the NuoK subunit of Escherichia coli  NDH-1, a counterpart of the ND4L subunit of the mitochondrial complex I, are required for high ubiquinone reductase activity.","type":"article-journal","volume":"43"},"uris":["http://www.mendeley.com/documents/?uuid=74eadc5f-451a-4c54-91ab-4b3df761a140"]}],"mendeley":{"formattedCitation":"(Kervinen &lt;i&gt;et al&lt;/i&gt;, 2004)","plainTextFormattedCitation":"(Kervinen et al, 2004)","previouslyFormattedCitation":"(Kervinen &lt;i&gt;et al&lt;/i&gt;, 2004)"},"properties":{"noteIndex":0},"schema":"https://github.com/citation-style-language/schema/raw/master/csl-citation.json"}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(Kervinen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2004)</w:t>
            </w:r>
            <w:r w:rsidRPr="00E97FC1">
              <w:rPr>
                <w:rFonts w:ascii="Helvetica" w:hAnsi="Helvetica" w:cs="Helvetica"/>
                <w:b/>
                <w:bCs/>
                <w:sz w:val="16"/>
                <w:szCs w:val="20"/>
                <w:lang w:val="en-GB"/>
              </w:rPr>
              <w:fldChar w:fldCharType="end"/>
            </w:r>
          </w:p>
        </w:tc>
      </w:tr>
      <w:tr w:rsidR="002471A8" w:rsidRPr="00E97FC1" w14:paraId="230C9C22" w14:textId="77777777" w:rsidTr="002471A8">
        <w:trPr>
          <w:trHeight w:val="65"/>
        </w:trPr>
        <w:tc>
          <w:tcPr>
            <w:tcW w:w="1525" w:type="dxa"/>
          </w:tcPr>
          <w:p w14:paraId="02FB4FE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E72Q/G34D</w:t>
            </w:r>
          </w:p>
        </w:tc>
        <w:tc>
          <w:tcPr>
            <w:tcW w:w="2340" w:type="dxa"/>
            <w:vMerge/>
          </w:tcPr>
          <w:p w14:paraId="7E35DD75" w14:textId="77777777" w:rsidR="002471A8" w:rsidRPr="00E97FC1" w:rsidRDefault="002471A8" w:rsidP="002471A8">
            <w:pPr>
              <w:rPr>
                <w:rFonts w:ascii="Helvetica" w:hAnsi="Helvetica" w:cs="Helvetica"/>
                <w:sz w:val="20"/>
                <w:szCs w:val="20"/>
                <w:lang w:val="en-GB"/>
              </w:rPr>
            </w:pPr>
          </w:p>
        </w:tc>
        <w:tc>
          <w:tcPr>
            <w:tcW w:w="1440" w:type="dxa"/>
          </w:tcPr>
          <w:p w14:paraId="737DD1B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3CE2F56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60%</w:t>
            </w:r>
          </w:p>
        </w:tc>
        <w:tc>
          <w:tcPr>
            <w:tcW w:w="1260" w:type="dxa"/>
          </w:tcPr>
          <w:p w14:paraId="69EE4D5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77%</w:t>
            </w:r>
          </w:p>
        </w:tc>
        <w:tc>
          <w:tcPr>
            <w:tcW w:w="1080" w:type="dxa"/>
          </w:tcPr>
          <w:p w14:paraId="761A987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impaired</w:t>
            </w:r>
          </w:p>
        </w:tc>
        <w:tc>
          <w:tcPr>
            <w:tcW w:w="1260" w:type="dxa"/>
          </w:tcPr>
          <w:p w14:paraId="7556EE9B" w14:textId="0C894E7C"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{"citationItems":[{"id":"ITEM-1","itemData":{"DOI":"10.1021/bi0355903","ISSN":"0006-2960 (Print)","PMID":"14730982","abstract":"The ND4L subunit of mitochondrial NADH:ubiquinone oxidoreductase (complex I) is an  integral membrane protein that contains two highly conserved glutamates within putative trans-membrane helices. We employed complex I from Escherichia coli (NDH-1) to study the role of these residues by site-directed mutagenesis. The conserved glutamates of the NuoK subunit, E36 and E72, were replaced by either Asp or Gln residues, and the effects of the mutations on cell growth and catalysis of electron transfer from deamino-NADH to ubiquinone analogues were examined. Additional mutants that carried acidic residues at selected positions within this domain were also prepared and analyzed. The results indicated that two closely located membrane-embedded acidic residues in NuoK are essential for high rates of ubiquinone reduction, a prerequisite for the growth of cytochrome bo-deficient E. coli cells on malate as the main carbon source. The two acidic residues do not have to be on adjacent helices, and mutual location on the same helix, either helix 2 or 3, at an interval of three amino acids (about one turn of the putative helix), resulted in high activity and good growth phenotypes. Nevertheless, shifting only one of them, either E36 or E72, toward the periplasmic side of the membrane by about one turn of the helix severely hampered activity and growth, whereas moving both acidic residues together to that deeper membrane position stimulated the ubiquinone reductase activity of the enzyme but not cell growth on malate, suggesting impaired energy conservation in this mutant.","author":[{"dropping-particle":"","family":"Kervinen","given":"Marko","non-dropping-particle":"","parse-names":false,"suffix":""},{"dropping-particle":"","family":"Pätsi","given":"Jukka","non-dropping-particle":"","parse-names":false,"suffix":""},{"dropping-particle":"","family":"Finel","given":"Moshe","non-dropping-particle":"","parse-names":false,"suffix":""},{"dropping-particle":"","family":"Hassinen","given":"Ilmo E","non-dropping-particle":"","parse-names":false,"suffix":""}],"container-title":"Biochemistry","id":"ITEM-1","issue":"3","issued":{"date-parts":[["2004","1"]]},"language":"eng","page":"773-781","publisher-place":"United States","title":"A pair of membrane-embedded acidic residues in the NuoK subunit of Escherichia coli  NDH-1, a counterpart of the ND4L subunit of the mitochondrial complex I, are required for high ubiquinone reductase activity.","type":"article-journal","volume":"43"},"uris":["http://www.mendeley.com/documents/?uuid=74eadc5f-451a-4c54-91ab-4b3df761a140"]}],"mendeley":{"formattedCitation":"(Kervinen &lt;i&gt;et al&lt;/i&gt;, 2004)","plainTextFormattedCitation":"(Kervinen et al, 2004)","previouslyFormattedCitation":"(Kervinen &lt;i&gt;et al&lt;/i&gt;, 2004)"},"properties":{"noteIndex":0},"schema":"https://github.com/citation-style-language/schema/raw/master/csl-citation.json"}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(Kervinen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2004)</w:t>
            </w:r>
            <w:r w:rsidRPr="00E97FC1">
              <w:rPr>
                <w:rFonts w:ascii="Helvetica" w:hAnsi="Helvetica" w:cs="Helvetica"/>
                <w:b/>
                <w:bCs/>
                <w:sz w:val="16"/>
                <w:szCs w:val="20"/>
                <w:lang w:val="en-GB"/>
              </w:rPr>
              <w:fldChar w:fldCharType="end"/>
            </w:r>
          </w:p>
        </w:tc>
      </w:tr>
      <w:tr w:rsidR="002471A8" w:rsidRPr="00E97FC1" w14:paraId="45D8E43E" w14:textId="77777777" w:rsidTr="002471A8">
        <w:trPr>
          <w:trHeight w:val="65"/>
        </w:trPr>
        <w:tc>
          <w:tcPr>
            <w:tcW w:w="1525" w:type="dxa"/>
          </w:tcPr>
          <w:p w14:paraId="35CE868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E36Q/I39D</w:t>
            </w:r>
          </w:p>
          <w:p w14:paraId="4F0B385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A69D/E72Q</w:t>
            </w:r>
          </w:p>
        </w:tc>
        <w:tc>
          <w:tcPr>
            <w:tcW w:w="2340" w:type="dxa"/>
            <w:vMerge/>
          </w:tcPr>
          <w:p w14:paraId="7C7D38E5" w14:textId="77777777" w:rsidR="002471A8" w:rsidRPr="00E97FC1" w:rsidRDefault="002471A8" w:rsidP="002471A8">
            <w:pPr>
              <w:rPr>
                <w:rFonts w:ascii="Helvetica" w:hAnsi="Helvetica" w:cs="Helvetica"/>
                <w:sz w:val="20"/>
                <w:szCs w:val="20"/>
                <w:lang w:val="en-GB"/>
              </w:rPr>
            </w:pPr>
          </w:p>
        </w:tc>
        <w:tc>
          <w:tcPr>
            <w:tcW w:w="1440" w:type="dxa"/>
          </w:tcPr>
          <w:p w14:paraId="6AFC9A7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77BF531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118%</w:t>
            </w:r>
          </w:p>
        </w:tc>
        <w:tc>
          <w:tcPr>
            <w:tcW w:w="1260" w:type="dxa"/>
          </w:tcPr>
          <w:p w14:paraId="01E3CE0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200%</w:t>
            </w:r>
          </w:p>
          <w:p w14:paraId="1B62FA2C" w14:textId="77777777" w:rsidR="002471A8" w:rsidRPr="00E97FC1" w:rsidRDefault="002471A8" w:rsidP="002471A8">
            <w:pPr>
              <w:rPr>
                <w:rFonts w:ascii="Helvetica" w:hAnsi="Helvetica" w:cs="Helvetica"/>
                <w:sz w:val="20"/>
                <w:szCs w:val="20"/>
                <w:lang w:val="en-GB"/>
              </w:rPr>
            </w:pPr>
          </w:p>
        </w:tc>
        <w:tc>
          <w:tcPr>
            <w:tcW w:w="1080" w:type="dxa"/>
          </w:tcPr>
          <w:p w14:paraId="3F241C7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impaired</w:t>
            </w:r>
          </w:p>
        </w:tc>
        <w:tc>
          <w:tcPr>
            <w:tcW w:w="1260" w:type="dxa"/>
          </w:tcPr>
          <w:p w14:paraId="6765C239" w14:textId="1D7AECBC"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{"citationItems":[{"id":"ITEM-1","itemData":{"DOI":"10.1021/bi0355903","ISSN":"0006-2960 (Print)","PMID":"14730982","abstract":"The ND4L subunit of mitochondrial NADH:ubiquinone oxidoreductase (complex I) is an  integral membrane protein that contains two highly conserved glutamates within putative trans-membrane helices. We employed complex I from Escherichia coli (NDH-1) to study the role of these residues by site-directed mutagenesis. The conserved glutamates of the NuoK subunit, E36 and E72, were replaced by either Asp or Gln residues, and the effects of the mutations on cell growth and catalysis of electron transfer from deamino-NADH to ubiquinone analogues were examined. Additional mutants that carried acidic residues at selected positions within this domain were also prepared and analyzed. The results indicated that two closely located membrane-embedded acidic residues in NuoK are essential for high rates of ubiquinone reduction, a prerequisite for the growth of cytochrome bo-deficient E. coli cells on malate as the main carbon source. The two acidic residues do not have to be on adjacent helices, and mutual location on the same helix, either helix 2 or 3, at an interval of three amino acids (about one turn of the putative helix), resulted in high activity and good growth phenotypes. Nevertheless, shifting only one of them, either E36 or E72, toward the periplasmic side of the membrane by about one turn of the helix severely hampered activity and growth, whereas moving both acidic residues together to that deeper membrane position stimulated the ubiquinone reductase activity of the enzyme but not cell growth on malate, suggesting impaired energy conservation in this mutant.","author":[{"dropping-particle":"","family":"Kervinen","given":"Marko","non-dropping-particle":"","parse-names":false,"suffix":""},{"dropping-particle":"","family":"Pätsi","given":"Jukka","non-dropping-particle":"","parse-names":false,"suffix":""},{"dropping-particle":"","family":"Finel","given":"Moshe","non-dropping-particle":"","parse-names":false,"suffix":""},{"dropping-particle":"","family":"Hassinen","given":"Ilmo E","non-dropping-particle":"","parse-names":false,"suffix":""}],"container-title":"Biochemistry","id":"ITEM-1","issue":"3","issued":{"date-parts":[["2004","1"]]},"language":"eng","page":"773-781","publisher-place":"United States","title":"A pair of membrane-embedded acidic residues in the NuoK subunit of Escherichia coli  NDH-1, a counterpart of the ND4L subunit of the mitochondrial complex I, are required for high ubiquinone reductase activity.","type":"article-journal","volume":"43"},"uris":["http://www.mendeley.com/documents/?uuid=74eadc5f-451a-4c54-91ab-4b3df761a140"]}],"mendeley":{"formattedCitation":"(Kervinen &lt;i&gt;et al&lt;/i&gt;, 2004)","plainTextFormattedCitation":"(Kervinen et al, 2004)","previouslyFormattedCitation":"(Kervinen &lt;i&gt;et al&lt;/i&gt;, 2004)"},"properties":{"noteIndex":0},"schema":"https://github.com/citation-style-language/schema/raw/master/csl-citation.json"}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(Kervinen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2004)</w:t>
            </w:r>
            <w:r w:rsidRPr="00E97FC1">
              <w:rPr>
                <w:rFonts w:ascii="Helvetica" w:hAnsi="Helvetica" w:cs="Helvetica"/>
                <w:b/>
                <w:bCs/>
                <w:sz w:val="16"/>
                <w:szCs w:val="20"/>
                <w:lang w:val="en-GB"/>
              </w:rPr>
              <w:fldChar w:fldCharType="end"/>
            </w:r>
          </w:p>
        </w:tc>
      </w:tr>
      <w:tr w:rsidR="002471A8" w:rsidRPr="00E97FC1" w14:paraId="6575131B" w14:textId="77777777" w:rsidTr="002471A8">
        <w:trPr>
          <w:trHeight w:val="65"/>
        </w:trPr>
        <w:tc>
          <w:tcPr>
            <w:tcW w:w="1525" w:type="dxa"/>
          </w:tcPr>
          <w:p w14:paraId="2CB8E8B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E72A</w:t>
            </w:r>
          </w:p>
        </w:tc>
        <w:tc>
          <w:tcPr>
            <w:tcW w:w="2340" w:type="dxa"/>
            <w:vMerge/>
          </w:tcPr>
          <w:p w14:paraId="4CC4147C" w14:textId="77777777" w:rsidR="002471A8" w:rsidRPr="00E97FC1" w:rsidRDefault="002471A8" w:rsidP="002471A8">
            <w:pPr>
              <w:rPr>
                <w:rFonts w:ascii="Helvetica" w:hAnsi="Helvetica" w:cs="Helvetica"/>
                <w:sz w:val="20"/>
                <w:szCs w:val="20"/>
                <w:lang w:val="en-GB"/>
              </w:rPr>
            </w:pPr>
          </w:p>
        </w:tc>
        <w:tc>
          <w:tcPr>
            <w:tcW w:w="1440" w:type="dxa"/>
          </w:tcPr>
          <w:p w14:paraId="1952C3B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172C430B"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105%</w:t>
            </w:r>
          </w:p>
        </w:tc>
        <w:tc>
          <w:tcPr>
            <w:tcW w:w="1260" w:type="dxa"/>
          </w:tcPr>
          <w:p w14:paraId="1814A98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47-52%</w:t>
            </w:r>
          </w:p>
        </w:tc>
        <w:tc>
          <w:tcPr>
            <w:tcW w:w="1080" w:type="dxa"/>
          </w:tcPr>
          <w:p w14:paraId="6BB78FA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70%</w:t>
            </w:r>
          </w:p>
        </w:tc>
        <w:tc>
          <w:tcPr>
            <w:tcW w:w="1260" w:type="dxa"/>
          </w:tcPr>
          <w:p w14:paraId="7C0EF90B" w14:textId="22788281"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{"citationItems":[{"id":"ITEM-1","itemData":{"DOI":"10.1074/jbc.M112.422824","ISSN":"1083-351X (Electronic)","PMID":"23105119","abstract":"The bacterial H(+)-translocating NADH:quinone oxidoreductase (NDH-1) catalyzes  electron transfer from NADH to quinone coupled with proton pumping across the cytoplasmic membrane. The NuoK subunit (counterpart of the mitochondrial ND4L subunit) is one of the seven hydrophobic subunits in the membrane domain and bears three transmembrane segments (TM1-3). Two glutamic residues located in the adjacent transmembrane helices of NuoK are important for the energy coupled activity of NDH-1. In particular, mutation of the highly conserved carboxyl residue ((K)Glu-36 in TM2) to Ala led to a complete loss of the NDH-1 activities. Mutation of the second conserved carboxyl residue ((K)Glu-72 in TM3) moderately reduced the activities. To clarify the contribution of NuoK to the mechanism of proton translocation, we relocated these two conserved residues. When we shifted (K)Glu-36 along TM2 to positions 32, 38, 39, and 40, the mutants largely retained energy transducing NDH-1 activities. According to the recent structural information, these positions are located in the vicinity of (K)Glu-36, present in the same helix phase, in an immediately before and after helix turn. In an earlier study, a double mutation of two arginine residues located in a short cytoplasmic loop between TM1 and TM2 (loop-1) showed a drastic effect on energy transducing activities. Therefore, the importance of this cytosolic loop of NuoK ((K)Arg-25, (K)Arg-26, and (K)Asn-27) for the energy transducing activities was extensively studied. The probable roles of subunit NuoK in the energy transducing mechanism of NDH-1 are discussed.","author":[{"dropping-particle":"","family":"Torres-Bacete","given":"Jesus","non-dropping-particle":"","parse-names":false,"suffix":""},{"dropping-particle":"","family":"Sinha","given":"Prem Kumar","non-dropping-particle":"","parse-names":false,"suffix":""},{"dropping-particle":"","family":"Sato","given":"Motoaki","non-dropping-particle":"","parse-names":false,"suffix":""},{"dropping-particle":"","family":"Patki","given":"Gaurav","non-dropping-particle":"","parse-names":false,"suffix":""},{"dropping-particle":"","family":"Kao","given":"Mou-Chieh","non-dropping-particle":"","parse-names":false,"suffix":""},{"dropping-particle":"","family":"Matsuno-Yagi","given":"Akemi","non-dropping-particle":"","parse-names":false,"suffix":""},{"dropping-particle":"","family":"Yagi","given":"Takao","non-dropping-particle":"","parse-names":false,"suffix":""}],"container-title":"The Journal of biological chemistry","id":"ITEM-1","issue":"51","issued":{"date-parts":[["2012","12"]]},"language":"eng","page":"42763-42772","title":"Roles of subunit NuoK (ND4L) in the energy-transducing mechanism of Escherichia coli  NDH-1 (NADH:quinone oxidoreductase).","type":"article-journal","volume":"287"},"uris":["http://www.mendeley.com/documents/?uuid=3051479c-09ef-4956-a4ca-e14c24b489c0"]}],"mendeley":{"formattedCitation":"(Torres-Bacete &lt;i&gt;et al&lt;/i&gt;, 2012)","plainTextFormattedCitation":"(Torres-Bacete et al, 2012)","previouslyFormattedCitation":"(Torres-Bacete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(Torres-Bacete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313DA242" w14:textId="77777777" w:rsidTr="002471A8">
        <w:trPr>
          <w:trHeight w:val="65"/>
        </w:trPr>
        <w:tc>
          <w:tcPr>
            <w:tcW w:w="1525" w:type="dxa"/>
          </w:tcPr>
          <w:p w14:paraId="576AD33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E72A/S67E</w:t>
            </w:r>
          </w:p>
        </w:tc>
        <w:tc>
          <w:tcPr>
            <w:tcW w:w="2340" w:type="dxa"/>
            <w:vMerge/>
          </w:tcPr>
          <w:p w14:paraId="3836C299" w14:textId="77777777" w:rsidR="002471A8" w:rsidRPr="00E97FC1" w:rsidRDefault="002471A8" w:rsidP="002471A8">
            <w:pPr>
              <w:rPr>
                <w:rFonts w:ascii="Helvetica" w:hAnsi="Helvetica" w:cs="Helvetica"/>
                <w:sz w:val="20"/>
                <w:szCs w:val="20"/>
                <w:lang w:val="en-GB"/>
              </w:rPr>
            </w:pPr>
          </w:p>
        </w:tc>
        <w:tc>
          <w:tcPr>
            <w:tcW w:w="1440" w:type="dxa"/>
          </w:tcPr>
          <w:p w14:paraId="27D42F9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reduced</w:t>
            </w:r>
          </w:p>
        </w:tc>
        <w:tc>
          <w:tcPr>
            <w:tcW w:w="1170" w:type="dxa"/>
          </w:tcPr>
          <w:p w14:paraId="12327CB0"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94%</w:t>
            </w:r>
          </w:p>
        </w:tc>
        <w:tc>
          <w:tcPr>
            <w:tcW w:w="1260" w:type="dxa"/>
          </w:tcPr>
          <w:p w14:paraId="35E634B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11-16%</w:t>
            </w:r>
          </w:p>
        </w:tc>
        <w:tc>
          <w:tcPr>
            <w:tcW w:w="1080" w:type="dxa"/>
          </w:tcPr>
          <w:p w14:paraId="5B80527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5%</w:t>
            </w:r>
          </w:p>
        </w:tc>
        <w:tc>
          <w:tcPr>
            <w:tcW w:w="1260" w:type="dxa"/>
          </w:tcPr>
          <w:p w14:paraId="64E7F20C" w14:textId="762B0B63"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{"citationItems":[{"id":"ITEM-1","itemData":{"DOI":"10.1074/jbc.M112.422824","ISSN":"1083-351X (Electronic)","PMID":"23105119","abstract":"The bacterial H(+)-translocating NADH:quinone oxidoreductase (NDH-1) catalyzes  electron transfer from NADH to quinone coupled with proton pumping across the cytoplasmic membrane. The NuoK subunit (counterpart of the mitochondrial ND4L subunit) is one of the seven hydrophobic subunits in the membrane domain and bears three transmembrane segments (TM1-3). Two glutamic residues located in the adjacent transmembrane helices of NuoK are important for the energy coupled activity of NDH-1. In particular, mutation of the highly conserved carboxyl residue ((K)Glu-36 in TM2) to Ala led to a complete loss of the NDH-1 activities. Mutation of the second conserved carboxyl residue ((K)Glu-72 in TM3) moderately reduced the activities. To clarify the contribution of NuoK to the mechanism of proton translocation, we relocated these two conserved residues. When we shifted (K)Glu-36 along TM2 to positions 32, 38, 39, and 40, the mutants largely retained energy transducing NDH-1 activities. According to the recent structural information, these positions are located in the vicinity of (K)Glu-36, present in the same helix phase, in an immediately before and after helix turn. In an earlier study, a double mutation of two arginine residues located in a short cytoplasmic loop between TM1 and TM2 (loop-1) showed a drastic effect on energy transducing activities. Therefore, the importance of this cytosolic loop of NuoK ((K)Arg-25, (K)Arg-26, and (K)Asn-27) for the energy transducing activities was extensively studied. The probable roles of subunit NuoK in the energy transducing mechanism of NDH-1 are discussed.","author":[{"dropping-particle":"","family":"Torres-Bacete","given":"Jesus","non-dropping-particle":"","parse-names":false,"suffix":""},{"dropping-particle":"","family":"Sinha","given":"Prem Kumar","non-dropping-particle":"","parse-names":false,"suffix":""},{"dropping-particle":"","family":"Sato","given":"Motoaki","non-dropping-particle":"","parse-names":false,"suffix":""},{"dropping-particle":"","family":"Patki","given":"Gaurav","non-dropping-particle":"","parse-names":false,"suffix":""},{"dropping-particle":"","family":"Kao","given":"Mou-Chieh","non-dropping-particle":"","parse-names":false,"suffix":""},{"dropping-particle":"","family":"Matsuno-Yagi","given":"Akemi","non-dropping-particle":"","parse-names":false,"suffix":""},{"dropping-particle":"","family":"Yagi","given":"Takao","non-dropping-particle":"","parse-names":false,"suffix":""}],"container-title":"The Journal of biological chemistry","id":"ITEM-1","issue":"51","issued":{"date-parts":[["2012","12"]]},"language":"eng","page":"42763-42772","title":"Roles of subunit NuoK (ND4L) in the energy-transducing mechanism of Escherichia coli  NDH-1 (NADH:quinone oxidoreductase).","type":"article-journal","volume":"287"},"uris":["http://www.mendeley.com/documents/?uuid=3051479c-09ef-4956-a4ca-e14c24b489c0"]}],"mendeley":{"formattedCitation":"(Torres-Bacete &lt;i&gt;et al&lt;/i&gt;, 2012)","plainTextFormattedCitation":"(Torres-Bacete et al, 2012)","previouslyFormattedCitation":"(Torres-Bacete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(Torres-Bacete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159CD1DA" w14:textId="77777777" w:rsidTr="002471A8">
        <w:trPr>
          <w:trHeight w:val="65"/>
        </w:trPr>
        <w:tc>
          <w:tcPr>
            <w:tcW w:w="1525" w:type="dxa"/>
          </w:tcPr>
          <w:p w14:paraId="2486870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E72A/L68E</w:t>
            </w:r>
          </w:p>
        </w:tc>
        <w:tc>
          <w:tcPr>
            <w:tcW w:w="2340" w:type="dxa"/>
            <w:vMerge/>
          </w:tcPr>
          <w:p w14:paraId="57F71B91" w14:textId="77777777" w:rsidR="002471A8" w:rsidRPr="00E97FC1" w:rsidRDefault="002471A8" w:rsidP="002471A8">
            <w:pPr>
              <w:rPr>
                <w:rFonts w:ascii="Helvetica" w:hAnsi="Helvetica" w:cs="Helvetica"/>
                <w:sz w:val="20"/>
                <w:szCs w:val="20"/>
                <w:lang w:val="en-GB"/>
              </w:rPr>
            </w:pPr>
          </w:p>
        </w:tc>
        <w:tc>
          <w:tcPr>
            <w:tcW w:w="1440" w:type="dxa"/>
          </w:tcPr>
          <w:p w14:paraId="3DE9657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3DE64D4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84%</w:t>
            </w:r>
          </w:p>
        </w:tc>
        <w:tc>
          <w:tcPr>
            <w:tcW w:w="1260" w:type="dxa"/>
          </w:tcPr>
          <w:p w14:paraId="472EE4A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57-73%</w:t>
            </w:r>
          </w:p>
        </w:tc>
        <w:tc>
          <w:tcPr>
            <w:tcW w:w="1080" w:type="dxa"/>
          </w:tcPr>
          <w:p w14:paraId="6D07727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70%</w:t>
            </w:r>
          </w:p>
        </w:tc>
        <w:tc>
          <w:tcPr>
            <w:tcW w:w="1260" w:type="dxa"/>
          </w:tcPr>
          <w:p w14:paraId="51BE890E" w14:textId="0F8CC4C8"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{"citationItems":[{"id":"ITEM-1","itemData":{"DOI":"10.1074/jbc.M112.422824","ISSN":"1083-351X (Electronic)","PMID":"23105119","abstract":"The bacterial H(+)-translocating NADH:quinone oxidoreductase (NDH-1) catalyzes  electron transfer from NADH to quinone coupled with proton pumping across the cytoplasmic membrane. The NuoK subunit (counterpart of the mitochondrial ND4L subunit) is one of the seven hydrophobic subunits in the membrane domain and bears three transmembrane segments (TM1-3). Two glutamic residues located in the adjacent transmembrane helices of NuoK are important for the energy coupled activity of NDH-1. In particular, mutation of the highly conserved carboxyl residue ((K)Glu-36 in TM2) to Ala led to a complete loss of the NDH-1 activities. Mutation of the second conserved carboxyl residue ((K)Glu-72 in TM3) moderately reduced the activities. To clarify the contribution of NuoK to the mechanism of proton translocation, we relocated these two conserved residues. When we shifted (K)Glu-36 along TM2 to positions 32, 38, 39, and 40, the mutants largely retained energy transducing NDH-1 activities. According to the recent structural information, these positions are located in the vicinity of (K)Glu-36, present in the same helix phase, in an immediately before and after helix turn. In an earlier study, a double mutation of two arginine residues located in a short cytoplasmic loop between TM1 and TM2 (loop-1) showed a drastic effect on energy transducing activities. Therefore, the importance of this cytosolic loop of NuoK ((K)Arg-25, (K)Arg-26, and (K)Asn-27) for the energy transducing activities was extensively studied. The probable roles of subunit NuoK in the energy transducing mechanism of NDH-1 are discussed.","author":[{"dropping-particle":"","family":"Torres-Bacete","given":"Jesus","non-dropping-particle":"","parse-names":false,"suffix":""},{"dropping-particle":"","family":"Sinha","given":"Prem Kumar","non-dropping-particle":"","parse-names":false,"suffix":""},{"dropping-particle":"","family":"Sato","given":"Motoaki","non-dropping-particle":"","parse-names":false,"suffix":""},{"dropping-particle":"","family":"Patki","given":"Gaurav","non-dropping-particle":"","parse-names":false,"suffix":""},{"dropping-particle":"","family":"Kao","given":"Mou-Chieh","non-dropping-particle":"","parse-names":false,"suffix":""},{"dropping-particle":"","family":"Matsuno-Yagi","given":"Akemi","non-dropping-particle":"","parse-names":false,"suffix":""},{"dropping-particle":"","family":"Yagi","given":"Takao","non-dropping-particle":"","parse-names":false,"suffix":""}],"container-title":"The Journal of biological chemistry","id":"ITEM-1","issue":"51","issued":{"date-parts":[["2012","12"]]},"language":"eng","page":"42763-42772","title":"Roles of subunit NuoK (ND4L) in the energy-transducing mechanism of Escherichia coli  NDH-1 (NADH:quinone oxidoreductase).","type":"article-journal","volume":"287"},"uris":["http://www.mendeley.com/documents/?uuid=3051479c-09ef-4956-a4ca-e14c24b489c0"]}],"mendeley":{"formattedCitation":"(Torres-Bacete &lt;i&gt;et al&lt;/i&gt;, 2012)","plainTextFormattedCitation":"(Torres-Bacete et al, 2012)","previouslyFormattedCitation":"(Torres-Bacete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(Torres-Bacete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52BE09FD" w14:textId="77777777" w:rsidTr="002471A8">
        <w:trPr>
          <w:trHeight w:val="65"/>
        </w:trPr>
        <w:tc>
          <w:tcPr>
            <w:tcW w:w="1525" w:type="dxa"/>
          </w:tcPr>
          <w:p w14:paraId="3C2B640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E72A/A69E</w:t>
            </w:r>
          </w:p>
        </w:tc>
        <w:tc>
          <w:tcPr>
            <w:tcW w:w="2340" w:type="dxa"/>
            <w:vMerge/>
          </w:tcPr>
          <w:p w14:paraId="67A90D20" w14:textId="77777777" w:rsidR="002471A8" w:rsidRPr="00E97FC1" w:rsidRDefault="002471A8" w:rsidP="002471A8">
            <w:pPr>
              <w:rPr>
                <w:rFonts w:ascii="Helvetica" w:hAnsi="Helvetica" w:cs="Helvetica"/>
                <w:iCs/>
                <w:sz w:val="20"/>
                <w:szCs w:val="20"/>
                <w:lang w:val="en-GB"/>
              </w:rPr>
            </w:pPr>
          </w:p>
        </w:tc>
        <w:tc>
          <w:tcPr>
            <w:tcW w:w="1440" w:type="dxa"/>
          </w:tcPr>
          <w:p w14:paraId="5B696163"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normal</w:t>
            </w:r>
          </w:p>
        </w:tc>
        <w:tc>
          <w:tcPr>
            <w:tcW w:w="1170" w:type="dxa"/>
          </w:tcPr>
          <w:p w14:paraId="74C9E7DB"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114%</w:t>
            </w:r>
          </w:p>
        </w:tc>
        <w:tc>
          <w:tcPr>
            <w:tcW w:w="1260" w:type="dxa"/>
          </w:tcPr>
          <w:p w14:paraId="00D0B50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63-74%</w:t>
            </w:r>
          </w:p>
        </w:tc>
        <w:tc>
          <w:tcPr>
            <w:tcW w:w="1080" w:type="dxa"/>
          </w:tcPr>
          <w:p w14:paraId="61BE43D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90%</w:t>
            </w:r>
          </w:p>
        </w:tc>
        <w:tc>
          <w:tcPr>
            <w:tcW w:w="1260" w:type="dxa"/>
          </w:tcPr>
          <w:p w14:paraId="5B3D1E3E" w14:textId="688BF528"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{"citationItems":[{"id":"ITEM-1","itemData":{"DOI":"10.1074/jbc.M112.422824","ISSN":"1083-351X (Electronic)","PMID":"23105119","abstract":"The bacterial H(+)-translocating NADH:quinone oxidoreductase (NDH-1) catalyzes  electron transfer from NADH to quinone coupled with proton pumping across the cytoplasmic membrane. The NuoK subunit (counterpart of the mitochondrial ND4L subunit) is one of the seven hydrophobic subunits in the membrane domain and bears three transmembrane segments (TM1-3). Two glutamic residues located in the adjacent transmembrane helices of NuoK are important for the energy coupled activity of NDH-1. In particular, mutation of the highly conserved carboxyl residue ((K)Glu-36 in TM2) to Ala led to a complete loss of the NDH-1 activities. Mutation of the second conserved carboxyl residue ((K)Glu-72 in TM3) moderately reduced the activities. To clarify the contribution of NuoK to the mechanism of proton translocation, we relocated these two conserved residues. When we shifted (K)Glu-36 along TM2 to positions 32, 38, 39, and 40, the mutants largely retained energy transducing NDH-1 activities. According to the recent structural information, these positions are located in the vicinity of (K)Glu-36, present in the same helix phase, in an immediately before and after helix turn. In an earlier study, a double mutation of two arginine residues located in a short cytoplasmic loop between TM1 and TM2 (loop-1) showed a drastic effect on energy transducing activities. Therefore, the importance of this cytosolic loop of NuoK ((K)Arg-25, (K)Arg-26, and (K)Asn-27) for the energy transducing activities was extensively studied. The probable roles of subunit NuoK in the energy transducing mechanism of NDH-1 are discussed.","author":[{"dropping-particle":"","family":"Torres-Bacete","given":"Jesus","non-dropping-particle":"","parse-names":false,"suffix":""},{"dropping-particle":"","family":"Sinha","given":"Prem Kumar","non-dropping-particle":"","parse-names":false,"suffix":""},{"dropping-particle":"","family":"Sato","given":"Motoaki","non-dropping-particle":"","parse-names":false,"suffix":""},{"dropping-particle":"","family":"Patki","given":"Gaurav","non-dropping-particle":"","parse-names":false,"suffix":""},{"dropping-particle":"","family":"Kao","given":"Mou-Chieh","non-dropping-particle":"","parse-names":false,"suffix":""},{"dropping-particle":"","family":"Matsuno-Yagi","given":"Akemi","non-dropping-particle":"","parse-names":false,"suffix":""},{"dropping-particle":"","family":"Yagi","given":"Takao","non-dropping-particle":"","parse-names":false,"suffix":""}],"container-title":"The Journal of biological chemistry","id":"ITEM-1","issue":"51","issued":{"date-parts":[["2012","12"]]},"language":"eng","page":"42763-42772","title":"Roles of subunit NuoK (ND4L) in the energy-transducing mechanism of Escherichia coli  NDH-1 (NADH:quinone oxidoreductase).","type":"article-journal","volume":"287"},"uris":["http://www.mendeley.com/documents/?uuid=3051479c-09ef-4956-a4ca-e14c24b489c0"]}],"mendeley":{"formattedCitation":"(Torres-Bacete &lt;i&gt;et al&lt;/i&gt;, 2012)","plainTextFormattedCitation":"(Torres-Bacete et al, 2012)","previouslyFormattedCitation":"(Torres-Bacete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(Torres-Bacete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3A731B4B" w14:textId="77777777" w:rsidTr="002471A8">
        <w:trPr>
          <w:trHeight w:val="65"/>
        </w:trPr>
        <w:tc>
          <w:tcPr>
            <w:tcW w:w="1525" w:type="dxa"/>
          </w:tcPr>
          <w:p w14:paraId="5F92041A"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E72A/A71E</w:t>
            </w:r>
          </w:p>
        </w:tc>
        <w:tc>
          <w:tcPr>
            <w:tcW w:w="2340" w:type="dxa"/>
            <w:vMerge/>
          </w:tcPr>
          <w:p w14:paraId="7FB44770" w14:textId="77777777" w:rsidR="002471A8" w:rsidRPr="00E97FC1" w:rsidRDefault="002471A8" w:rsidP="002471A8">
            <w:pPr>
              <w:rPr>
                <w:rFonts w:ascii="Helvetica" w:hAnsi="Helvetica" w:cs="Helvetica"/>
                <w:sz w:val="20"/>
                <w:szCs w:val="20"/>
                <w:lang w:val="en-GB"/>
              </w:rPr>
            </w:pPr>
          </w:p>
        </w:tc>
        <w:tc>
          <w:tcPr>
            <w:tcW w:w="1440" w:type="dxa"/>
          </w:tcPr>
          <w:p w14:paraId="4225866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34A1FADB"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94%</w:t>
            </w:r>
          </w:p>
        </w:tc>
        <w:tc>
          <w:tcPr>
            <w:tcW w:w="1260" w:type="dxa"/>
          </w:tcPr>
          <w:p w14:paraId="45216A7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23-30%</w:t>
            </w:r>
          </w:p>
        </w:tc>
        <w:tc>
          <w:tcPr>
            <w:tcW w:w="1080" w:type="dxa"/>
          </w:tcPr>
          <w:p w14:paraId="2DFD447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30%</w:t>
            </w:r>
          </w:p>
        </w:tc>
        <w:tc>
          <w:tcPr>
            <w:tcW w:w="1260" w:type="dxa"/>
          </w:tcPr>
          <w:p w14:paraId="6837A99F" w14:textId="7D347F75"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{"citationItems":[{"id":"ITEM-1","itemData":{"DOI":"10.1074/jbc.M112.422824","ISSN":"1083-351X (Electronic)","PMID":"23105119","abstract":"The bacterial H(+)-translocating NADH:quinone oxidoreductase (NDH-1) catalyzes  electron transfer from NADH to quinone coupled with proton pumping across the cytoplasmic membrane. The NuoK subunit (counterpart of the mitochondrial ND4L subunit) is one of the seven hydrophobic subunits in the membrane domain and bears three transmembrane segments (TM1-3). Two glutamic residues located in the adjacent transmembrane helices of NuoK are important for the energy coupled activity of NDH-1. In particular, mutation of the highly conserved carboxyl residue ((K)Glu-36 in TM2) to Ala led to a complete loss of the NDH-1 activities. Mutation of the second conserved carboxyl residue ((K)Glu-72 in TM3) moderately reduced the activities. To clarify the contribution of NuoK to the mechanism of proton translocation, we relocated these two conserved residues. When we shifted (K)Glu-36 along TM2 to positions 32, 38, 39, and 40, the mutants largely retained energy transducing NDH-1 activities. According to the recent structural information, these positions are located in the vicinity of (K)Glu-36, present in the same helix phase, in an immediately before and after helix turn. In an earlier study, a double mutation of two arginine residues located in a short cytoplasmic loop between TM1 and TM2 (loop-1) showed a drastic effect on energy transducing activities. Therefore, the importance of this cytosolic loop of NuoK ((K)Arg-25, (K)Arg-26, and (K)Asn-27) for the energy transducing activities was extensively studied. The probable roles of subunit NuoK in the energy transducing mechanism of NDH-1 are discussed.","author":[{"dropping-particle":"","family":"Torres-Bacete","given":"Jesus","non-dropping-particle":"","parse-names":false,"suffix":""},{"dropping-particle":"","family":"Sinha","given":"Prem Kumar","non-dropping-particle":"","parse-names":false,"suffix":""},{"dropping-particle":"","family":"Sato","given":"Motoaki","non-dropping-particle":"","parse-names":false,"suffix":""},{"dropping-particle":"","family":"Patki","given":"Gaurav","non-dropping-particle":"","parse-names":false,"suffix":""},{"dropping-particle":"","family":"Kao","given":"Mou-Chieh","non-dropping-particle":"","parse-names":false,"suffix":""},{"dropping-particle":"","family":"Matsuno-Yagi","given":"Akemi","non-dropping-particle":"","parse-names":false,"suffix":""},{"dropping-particle":"","family":"Yagi","given":"Takao","non-dropping-particle":"","parse-names":false,"suffix":""}],"container-title":"The Journal of biological chemistry","id":"ITEM-1","issue":"51","issued":{"date-parts":[["2012","12"]]},"language":"eng","page":"42763-42772","title":"Roles of subunit NuoK (ND4L) in the energy-transducing mechanism of Escherichia coli  NDH-1 (NADH:quinone oxidoreductase).","type":"article-journal","volume":"287"},"uris":["http://www.mendeley.com/documents/?uuid=3051479c-09ef-4956-a4ca-e14c24b489c0"]}],"mendeley":{"formattedCitation":"(Torres-Bacete &lt;i&gt;et al&lt;/i&gt;, 2012)","plainTextFormattedCitation":"(Torres-Bacete et al, 2012)","previouslyFormattedCitation":"(Torres-Bacete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(Torres-Bacete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38298A79" w14:textId="77777777" w:rsidTr="002471A8">
        <w:trPr>
          <w:trHeight w:val="65"/>
        </w:trPr>
        <w:tc>
          <w:tcPr>
            <w:tcW w:w="1525" w:type="dxa"/>
          </w:tcPr>
          <w:p w14:paraId="6CEAE09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lastRenderedPageBreak/>
              <w:t>E72A/A73E</w:t>
            </w:r>
          </w:p>
        </w:tc>
        <w:tc>
          <w:tcPr>
            <w:tcW w:w="2340" w:type="dxa"/>
            <w:vMerge/>
          </w:tcPr>
          <w:p w14:paraId="09B7D51C" w14:textId="77777777" w:rsidR="002471A8" w:rsidRPr="00E97FC1" w:rsidRDefault="002471A8" w:rsidP="002471A8">
            <w:pPr>
              <w:rPr>
                <w:rFonts w:ascii="Helvetica" w:hAnsi="Helvetica" w:cs="Helvetica"/>
                <w:iCs/>
                <w:sz w:val="20"/>
                <w:szCs w:val="20"/>
                <w:lang w:val="en-GB"/>
              </w:rPr>
            </w:pPr>
          </w:p>
        </w:tc>
        <w:tc>
          <w:tcPr>
            <w:tcW w:w="1440" w:type="dxa"/>
          </w:tcPr>
          <w:p w14:paraId="6C774034"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normal</w:t>
            </w:r>
          </w:p>
        </w:tc>
        <w:tc>
          <w:tcPr>
            <w:tcW w:w="1170" w:type="dxa"/>
          </w:tcPr>
          <w:p w14:paraId="35E6EB1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77%</w:t>
            </w:r>
          </w:p>
        </w:tc>
        <w:tc>
          <w:tcPr>
            <w:tcW w:w="1260" w:type="dxa"/>
          </w:tcPr>
          <w:p w14:paraId="76D6009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28-39%</w:t>
            </w:r>
          </w:p>
        </w:tc>
        <w:tc>
          <w:tcPr>
            <w:tcW w:w="1080" w:type="dxa"/>
          </w:tcPr>
          <w:p w14:paraId="0AE25B6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60%</w:t>
            </w:r>
          </w:p>
        </w:tc>
        <w:tc>
          <w:tcPr>
            <w:tcW w:w="1260" w:type="dxa"/>
          </w:tcPr>
          <w:p w14:paraId="28D96CA4" w14:textId="7B21759D"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{"citationItems":[{"id":"ITEM-1","itemData":{"DOI":"10.1074/jbc.M112.422824","ISSN":"1083-351X (Electronic)","PMID":"23105119","abstract":"The bacterial H(+)-translocating NADH:quinone oxidoreductase (NDH-1) catalyzes  electron transfer from NADH to quinone coupled with proton pumping across the cytoplasmic membrane. The NuoK subunit (counterpart of the mitochondrial ND4L subunit) is one of the seven hydrophobic subunits in the membrane domain and bears three transmembrane segments (TM1-3). Two glutamic residues located in the adjacent transmembrane helices of NuoK are important for the energy coupled activity of NDH-1. In particular, mutation of the highly conserved carboxyl residue ((K)Glu-36 in TM2) to Ala led to a complete loss of the NDH-1 activities. Mutation of the second conserved carboxyl residue ((K)Glu-72 in TM3) moderately reduced the activities. To clarify the contribution of NuoK to the mechanism of proton translocation, we relocated these two conserved residues. When we shifted (K)Glu-36 along TM2 to positions 32, 38, 39, and 40, the mutants largely retained energy transducing NDH-1 activities. According to the recent structural information, these positions are located in the vicinity of (K)Glu-36, present in the same helix phase, in an immediately before and after helix turn. In an earlier study, a double mutation of two arginine residues located in a short cytoplasmic loop between TM1 and TM2 (loop-1) showed a drastic effect on energy transducing activities. Therefore, the importance of this cytosolic loop of NuoK ((K)Arg-25, (K)Arg-26, and (K)Asn-27) for the energy transducing activities was extensively studied. The probable roles of subunit NuoK in the energy transducing mechanism of NDH-1 are discussed.","author":[{"dropping-particle":"","family":"Torres-Bacete","given":"Jesus","non-dropping-particle":"","parse-names":false,"suffix":""},{"dropping-particle":"","family":"Sinha","given":"Prem Kumar","non-dropping-particle":"","parse-names":false,"suffix":""},{"dropping-particle":"","family":"Sato","given":"Motoaki","non-dropping-particle":"","parse-names":false,"suffix":""},{"dropping-particle":"","family":"Patki","given":"Gaurav","non-dropping-particle":"","parse-names":false,"suffix":""},{"dropping-particle":"","family":"Kao","given":"Mou-Chieh","non-dropping-particle":"","parse-names":false,"suffix":""},{"dropping-particle":"","family":"Matsuno-Yagi","given":"Akemi","non-dropping-particle":"","parse-names":false,"suffix":""},{"dropping-particle":"","family":"Yagi","given":"Takao","non-dropping-particle":"","parse-names":false,"suffix":""}],"container-title":"The Journal of biological chemistry","id":"ITEM-1","issue":"51","issued":{"date-parts":[["2012","12"]]},"language":"eng","page":"42763-42772","title":"Roles of subunit NuoK (ND4L) in the energy-transducing mechanism of Escherichia coli  NDH-1 (NADH:quinone oxidoreductase).","type":"article-journal","volume":"287"},"uris":["http://www.mendeley.com/documents/?uuid=3051479c-09ef-4956-a4ca-e14c24b489c0"]}],"mendeley":{"formattedCitation":"(Torres-Bacete &lt;i&gt;et al&lt;/i&gt;, 2012)","plainTextFormattedCitation":"(Torres-Bacete et al, 2012)","previouslyFormattedCitation":"(Torres-Bacete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(Torres-Bacete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62CE27F9" w14:textId="77777777" w:rsidTr="002471A8">
        <w:trPr>
          <w:trHeight w:val="65"/>
        </w:trPr>
        <w:tc>
          <w:tcPr>
            <w:tcW w:w="1525" w:type="dxa"/>
          </w:tcPr>
          <w:p w14:paraId="2CB214F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lastRenderedPageBreak/>
              <w:t>E72A/I75E</w:t>
            </w:r>
          </w:p>
        </w:tc>
        <w:tc>
          <w:tcPr>
            <w:tcW w:w="2340" w:type="dxa"/>
            <w:vMerge/>
          </w:tcPr>
          <w:p w14:paraId="46DABC0B" w14:textId="77777777" w:rsidR="002471A8" w:rsidRPr="00E97FC1" w:rsidRDefault="002471A8" w:rsidP="002471A8">
            <w:pPr>
              <w:rPr>
                <w:rFonts w:ascii="Helvetica" w:hAnsi="Helvetica" w:cs="Helvetica"/>
                <w:sz w:val="20"/>
                <w:szCs w:val="20"/>
                <w:lang w:val="en-GB"/>
              </w:rPr>
            </w:pPr>
          </w:p>
        </w:tc>
        <w:tc>
          <w:tcPr>
            <w:tcW w:w="1440" w:type="dxa"/>
          </w:tcPr>
          <w:p w14:paraId="506CBEF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reduced</w:t>
            </w:r>
          </w:p>
        </w:tc>
        <w:tc>
          <w:tcPr>
            <w:tcW w:w="1170" w:type="dxa"/>
          </w:tcPr>
          <w:p w14:paraId="76E638A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99%</w:t>
            </w:r>
          </w:p>
        </w:tc>
        <w:tc>
          <w:tcPr>
            <w:tcW w:w="1260" w:type="dxa"/>
          </w:tcPr>
          <w:p w14:paraId="791870B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54-62%</w:t>
            </w:r>
          </w:p>
        </w:tc>
        <w:tc>
          <w:tcPr>
            <w:tcW w:w="1080" w:type="dxa"/>
          </w:tcPr>
          <w:p w14:paraId="39A883F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70%</w:t>
            </w:r>
          </w:p>
        </w:tc>
        <w:tc>
          <w:tcPr>
            <w:tcW w:w="1260" w:type="dxa"/>
          </w:tcPr>
          <w:p w14:paraId="10DBFEE4" w14:textId="63C9598C"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{"citationItems":[{"id":"ITEM-1","itemData":{"DOI":"10.1074/jbc.M112.422824","ISSN":"1083-351X (Electronic)","PMID":"23105119","abstract":"The bacterial H(+)-translocating NADH:quinone oxidoreductase (NDH-1) catalyzes  electron transfer from NADH to quinone coupled with proton pumping across the cytoplasmic membrane. The NuoK subunit (counterpart of the mitochondrial ND4L subunit) is one of the seven hydrophobic subunits in the membrane domain and bears three transmembrane segments (TM1-3). Two glutamic residues located in the adjacent transmembrane helices of NuoK are important for the energy coupled activity of NDH-1. In particular, mutation of the highly conserved carboxyl residue ((K)Glu-36 in TM2) to Ala led to a complete loss of the NDH-1 activities. Mutation of the second conserved carboxyl residue ((K)Glu-72 in TM3) moderately reduced the activities. To clarify the contribution of NuoK to the mechanism of proton translocation, we relocated these two conserved residues. When we shifted (K)Glu-36 along TM2 to positions 32, 38, 39, and 40, the mutants largely retained energy transducing NDH-1 activities. According to the recent structural information, these positions are located in the vicinity of (K)Glu-36, present in the same helix phase, in an immediately before and after helix turn. In an earlier study, a double mutation of two arginine residues located in a short cytoplasmic loop between TM1 and TM2 (loop-1) showed a drastic effect on energy transducing activities. Therefore, the importance of this cytosolic loop of NuoK ((K)Arg-25, (K)Arg-26, and (K)Asn-27) for the energy transducing activities was extensively studied. The probable roles of subunit NuoK in the energy transducing mechanism of NDH-1 are discussed.","author":[{"dropping-particle":"","family":"Torres-Bacete","given":"Jesus","non-dropping-particle":"","parse-names":false,"suffix":""},{"dropping-particle":"","family":"Sinha","given":"Prem Kumar","non-dropping-particle":"","parse-names":false,"suffix":""},{"dropping-particle":"","family":"Sato","given":"Motoaki","non-dropping-particle":"","parse-names":false,"suffix":""},{"dropping-particle":"","family":"Patki","given":"Gaurav","non-dropping-particle":"","parse-names":false,"suffix":""},{"dropping-particle":"","family":"Kao","given":"Mou-Chieh","non-dropping-particle":"","parse-names":false,"suffix":""},{"dropping-particle":"","family":"Matsuno-Yagi","given":"Akemi","non-dropping-particle":"","parse-names":false,"suffix":""},{"dropping-particle":"","family":"Yagi","given":"Takao","non-dropping-particle":"","parse-names":false,"suffix":""}],"container-title":"The Journal of biological chemistry","id":"ITEM-1","issue":"51","issued":{"date-parts":[["2012","12"]]},"language":"eng","page":"42763-42772","title":"Roles of subunit NuoK (ND4L) in the energy-transducing mechanism of Escherichia coli  NDH-1 (NADH:quinone oxidoreductase).","type":"article-journal","volume":"287"},"uris":["http://www.mendeley.com/documents/?uuid=3051479c-09ef-4956-a4ca-e14c24b489c0"]}],"mendeley":{"formattedCitation":"(Torres-Bacete &lt;i&gt;et al&lt;/i&gt;, 2012)","plainTextFormattedCitation":"(Torres-Bacete et al, 2012)","previouslyFormattedCitation":"(Torres-Bacete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(Torres-Bacete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3CF0A1C2" w14:textId="77777777" w:rsidTr="002471A8">
        <w:trPr>
          <w:trHeight w:val="65"/>
        </w:trPr>
        <w:tc>
          <w:tcPr>
            <w:tcW w:w="1525" w:type="dxa"/>
          </w:tcPr>
          <w:p w14:paraId="19E06FA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E72A/G75E</w:t>
            </w:r>
          </w:p>
        </w:tc>
        <w:tc>
          <w:tcPr>
            <w:tcW w:w="2340" w:type="dxa"/>
            <w:vMerge/>
          </w:tcPr>
          <w:p w14:paraId="5228E8C2" w14:textId="77777777" w:rsidR="002471A8" w:rsidRPr="00E97FC1" w:rsidRDefault="002471A8" w:rsidP="002471A8">
            <w:pPr>
              <w:rPr>
                <w:rFonts w:ascii="Helvetica" w:hAnsi="Helvetica" w:cs="Helvetica"/>
                <w:sz w:val="20"/>
                <w:szCs w:val="20"/>
                <w:lang w:val="en-GB"/>
              </w:rPr>
            </w:pPr>
          </w:p>
        </w:tc>
        <w:tc>
          <w:tcPr>
            <w:tcW w:w="1440" w:type="dxa"/>
          </w:tcPr>
          <w:p w14:paraId="06763B1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00C48D7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106%</w:t>
            </w:r>
          </w:p>
        </w:tc>
        <w:tc>
          <w:tcPr>
            <w:tcW w:w="1260" w:type="dxa"/>
          </w:tcPr>
          <w:p w14:paraId="0F73A7A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68-84%</w:t>
            </w:r>
          </w:p>
        </w:tc>
        <w:tc>
          <w:tcPr>
            <w:tcW w:w="1080" w:type="dxa"/>
          </w:tcPr>
          <w:p w14:paraId="62F2BB6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100%</w:t>
            </w:r>
          </w:p>
        </w:tc>
        <w:tc>
          <w:tcPr>
            <w:tcW w:w="1260" w:type="dxa"/>
          </w:tcPr>
          <w:p w14:paraId="150D5E8A" w14:textId="39E903AE"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{"citationItems":[{"id":"ITEM-1","itemData":{"DOI":"10.1074/jbc.M112.422824","ISSN":"1083-351X (Electronic)","PMID":"23105119","abstract":"The bacterial H(+)-translocating NADH:quinone oxidoreductase (NDH-1) catalyzes  electron transfer from NADH to quinone coupled with proton pumping across the cytoplasmic membrane. The NuoK subunit (counterpart of the mitochondrial ND4L subunit) is one of the seven hydrophobic subunits in the membrane domain and bears three transmembrane segments (TM1-3). Two glutamic residues located in the adjacent transmembrane helices of NuoK are important for the energy coupled activity of NDH-1. In particular, mutation of the highly conserved carboxyl residue ((K)Glu-36 in TM2) to Ala led to a complete loss of the NDH-1 activities. Mutation of the second conserved carboxyl residue ((K)Glu-72 in TM3) moderately reduced the activities. To clarify the contribution of NuoK to the mechanism of proton translocation, we relocated these two conserved residues. When we shifted (K)Glu-36 along TM2 to positions 32, 38, 39, and 40, the mutants largely retained energy transducing NDH-1 activities. According to the recent structural information, these positions are located in the vicinity of (K)Glu-36, present in the same helix phase, in an immediately before and after helix turn. In an earlier study, a double mutation of two arginine residues located in a short cytoplasmic loop between TM1 and TM2 (loop-1) showed a drastic effect on energy transducing activities. Therefore, the importance of this cytosolic loop of NuoK ((K)Arg-25, (K)Arg-26, and (K)Asn-27) for the energy transducing activities was extensively studied. The probable roles of subunit NuoK in the energy transducing mechanism of NDH-1 are discussed.","author":[{"dropping-particle":"","family":"Torres-Bacete","given":"Jesus","non-dropping-particle":"","parse-names":false,"suffix":""},{"dropping-particle":"","family":"Sinha","given":"Prem Kumar","non-dropping-particle":"","parse-names":false,"suffix":""},{"dropping-particle":"","family":"Sato","given":"Motoaki","non-dropping-particle":"","parse-names":false,"suffix":""},{"dropping-particle":"","family":"Patki","given":"Gaurav","non-dropping-particle":"","parse-names":false,"suffix":""},{"dropping-particle":"","family":"Kao","given":"Mou-Chieh","non-dropping-particle":"","parse-names":false,"suffix":""},{"dropping-particle":"","family":"Matsuno-Yagi","given":"Akemi","non-dropping-particle":"","parse-names":false,"suffix":""},{"dropping-particle":"","family":"Yagi","given":"Takao","non-dropping-particle":"","parse-names":false,"suffix":""}],"container-title":"The Journal of biological chemistry","id":"ITEM-1","issue":"51","issued":{"date-parts":[["2012","12"]]},"language":"eng","page":"42763-42772","title":"Roles of subunit NuoK (ND4L) in the energy-transducing mechanism of Escherichia coli  NDH-1 (NADH:quinone oxidoreductase).","type":"article-journal","volume":"287"},"uris":["http://www.mendeley.com/documents/?uuid=3051479c-09ef-4956-a4ca-e14c24b489c0"]}],"mendeley":{"formattedCitation":"(Torres-Bacete &lt;i&gt;et al&lt;/i&gt;, 2012)","plainTextFormattedCitation":"(Torres-Bacete et al, 2012)","previouslyFormattedCitation":"(Torres-Bacete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(Torres-Bacete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04697ACB" w14:textId="77777777" w:rsidTr="002471A8">
        <w:trPr>
          <w:trHeight w:val="65"/>
        </w:trPr>
        <w:tc>
          <w:tcPr>
            <w:tcW w:w="1525" w:type="dxa"/>
          </w:tcPr>
          <w:p w14:paraId="767A703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E72A/L77E</w:t>
            </w:r>
          </w:p>
        </w:tc>
        <w:tc>
          <w:tcPr>
            <w:tcW w:w="2340" w:type="dxa"/>
            <w:vMerge/>
          </w:tcPr>
          <w:p w14:paraId="522F8E33" w14:textId="77777777" w:rsidR="002471A8" w:rsidRPr="00E97FC1" w:rsidRDefault="002471A8" w:rsidP="002471A8">
            <w:pPr>
              <w:rPr>
                <w:rFonts w:ascii="Helvetica" w:hAnsi="Helvetica" w:cs="Helvetica"/>
                <w:iCs/>
                <w:sz w:val="20"/>
                <w:szCs w:val="20"/>
                <w:lang w:val="en-GB"/>
              </w:rPr>
            </w:pPr>
          </w:p>
        </w:tc>
        <w:tc>
          <w:tcPr>
            <w:tcW w:w="1440" w:type="dxa"/>
          </w:tcPr>
          <w:p w14:paraId="056F1891"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normal</w:t>
            </w:r>
          </w:p>
        </w:tc>
        <w:tc>
          <w:tcPr>
            <w:tcW w:w="1170" w:type="dxa"/>
          </w:tcPr>
          <w:p w14:paraId="120E249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93%</w:t>
            </w:r>
          </w:p>
        </w:tc>
        <w:tc>
          <w:tcPr>
            <w:tcW w:w="1260" w:type="dxa"/>
          </w:tcPr>
          <w:p w14:paraId="439E1A8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45-55%</w:t>
            </w:r>
          </w:p>
        </w:tc>
        <w:tc>
          <w:tcPr>
            <w:tcW w:w="1080" w:type="dxa"/>
          </w:tcPr>
          <w:p w14:paraId="236D9CC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50%</w:t>
            </w:r>
          </w:p>
        </w:tc>
        <w:tc>
          <w:tcPr>
            <w:tcW w:w="1260" w:type="dxa"/>
          </w:tcPr>
          <w:p w14:paraId="3F24DE1B" w14:textId="4DA20E71"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{"citationItems":[{"id":"ITEM-1","itemData":{"DOI":"10.1074/jbc.M112.422824","ISSN":"1083-351X (Electronic)","PMID":"23105119","abstract":"The bacterial H(+)-translocating NADH:quinone oxidoreductase (NDH-1) catalyzes  electron transfer from NADH to quinone coupled with proton pumping across the cytoplasmic membrane. The NuoK subunit (counterpart of the mitochondrial ND4L subunit) is one of the seven hydrophobic subunits in the membrane domain and bears three transmembrane segments (TM1-3). Two glutamic residues located in the adjacent transmembrane helices of NuoK are important for the energy coupled activity of NDH-1. In particular, mutation of the highly conserved carboxyl residue ((K)Glu-36 in TM2) to Ala led to a complete loss of the NDH-1 activities. Mutation of the second conserved carboxyl residue ((K)Glu-72 in TM3) moderately reduced the activities. To clarify the contribution of NuoK to the mechanism of proton translocation, we relocated these two conserved residues. When we shifted (K)Glu-36 along TM2 to positions 32, 38, 39, and 40, the mutants largely retained energy transducing NDH-1 activities. According to the recent structural information, these positions are located in the vicinity of (K)Glu-36, present in the same helix phase, in an immediately before and after helix turn. In an earlier study, a double mutation of two arginine residues located in a short cytoplasmic loop between TM1 and TM2 (loop-1) showed a drastic effect on energy transducing activities. Therefore, the importance of this cytosolic loop of NuoK ((K)Arg-25, (K)Arg-26, and (K)Asn-27) for the energy transducing activities was extensively studied. The probable roles of subunit NuoK in the energy transducing mechanism of NDH-1 are discussed.","author":[{"dropping-particle":"","family":"Torres-Bacete","given":"Jesus","non-dropping-particle":"","parse-names":false,"suffix":""},{"dropping-particle":"","family":"Sinha","given":"Prem Kumar","non-dropping-particle":"","parse-names":false,"suffix":""},{"dropping-particle":"","family":"Sato","given":"Motoaki","non-dropping-particle":"","parse-names":false,"suffix":""},{"dropping-particle":"","family":"Patki","given":"Gaurav","non-dropping-particle":"","parse-names":false,"suffix":""},{"dropping-particle":"","family":"Kao","given":"Mou-Chieh","non-dropping-particle":"","parse-names":false,"suffix":""},{"dropping-particle":"","family":"Matsuno-Yagi","given":"Akemi","non-dropping-particle":"","parse-names":false,"suffix":""},{"dropping-particle":"","family":"Yagi","given":"Takao","non-dropping-particle":"","parse-names":false,"suffix":""}],"container-title":"The Journal of biological chemistry","id":"ITEM-1","issue":"51","issued":{"date-parts":[["2012","12"]]},"language":"eng","page":"42763-42772","title":"Roles of subunit NuoK (ND4L) in the energy-transducing mechanism of Escherichia coli  NDH-1 (NADH:quinone oxidoreductase).","type":"article-journal","volume":"287"},"uris":["http://www.mendeley.com/documents/?uuid=3051479c-09ef-4956-a4ca-e14c24b489c0"]}],"mendeley":{"formattedCitation":"(Torres-Bacete &lt;i&gt;et al&lt;/i&gt;, 2012)","plainTextFormattedCitation":"(Torres-Bacete et al, 2012)","previouslyFormattedCitation":"(Torres-Bacete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(Torres-Bacete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7F4FAF4F" w14:textId="77777777" w:rsidTr="002471A8">
        <w:trPr>
          <w:trHeight w:val="65"/>
        </w:trPr>
        <w:tc>
          <w:tcPr>
            <w:tcW w:w="1525" w:type="dxa"/>
          </w:tcPr>
          <w:p w14:paraId="5D986E1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R85A</w:t>
            </w:r>
          </w:p>
        </w:tc>
        <w:tc>
          <w:tcPr>
            <w:tcW w:w="2340" w:type="dxa"/>
            <w:vMerge w:val="restart"/>
          </w:tcPr>
          <w:p w14:paraId="3BC3AED0"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 xml:space="preserve">surface </w:t>
            </w:r>
          </w:p>
        </w:tc>
        <w:tc>
          <w:tcPr>
            <w:tcW w:w="1440" w:type="dxa"/>
          </w:tcPr>
          <w:p w14:paraId="5D16283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3611D13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104%</w:t>
            </w:r>
          </w:p>
        </w:tc>
        <w:tc>
          <w:tcPr>
            <w:tcW w:w="1260" w:type="dxa"/>
          </w:tcPr>
          <w:p w14:paraId="649357B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100%</w:t>
            </w:r>
          </w:p>
        </w:tc>
        <w:tc>
          <w:tcPr>
            <w:tcW w:w="1080" w:type="dxa"/>
          </w:tcPr>
          <w:p w14:paraId="0399A8B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38E9E053" w14:textId="0A2A038C"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{"citationItems":[{"id":"ITEM-1","itemData":{"DOI":"10.1021/bi050708w","ISSN":"0006-2960 (Print)","PMID":"15996109","abstract":"The ND4L subunit is the smallest mitochondrial DNA-encoded subunit of the  proton-translocating NADH-quinone oxidoreductase (complex I). In an attempt to study the functional and structural roles of the NuoK subunit (the Escherichia coli homologue of ND4L) of the bacterial NADH-quinone oxidoreductase (NDH-1), we have performed a series of site-specific mutations on the nuoK gene of the NDH-1 operon by using the homologous recombination technique. The amino acid residues we targeted included two highly conserved glutamic acids that are presumably located in the middle of the membrane and several arginine residues that are predicted to be on the cytosolic side. All point mutants examined had fully assembled NDH-1 as detected by blue-native gel electrophoresis and immunostaining. Mutations of nearly perfectly conserved Glu-36 lead to almost null activities of coupled electron transfer with a concomitant loss of generation of electrochemical gradient. A significant diminution of the coupled activities was also observed with mutations of another highly conserved residue, Glu-72. These results may suggest that both membrane-embedded acidic residues are important for the coupling mechanism of NDH-1. Furthermore, a severe impairment of the coupled activities occurred when two vicinal arginine residues on a cytosolic loop were simultaneously mutated. Possible roles of these arginine residues and other conserved residues in the NuoK subunit for NDH-1 function were discussed.","author":[{"dropping-particle":"","family":"Kao","given":"Mou-Chieh","non-dropping-particle":"","parse-names":false,"suffix":""},{"dropping-particle":"","family":"Nakamaru-Ogiso","given":"Eiko","non-dropping-particle":"","parse-names":false,"suffix":""},{"dropping-particle":"","family":"Matsuno-Yagi","given":"Akemi","non-dropping-particle":"","parse-names":false,"suffix":""},{"dropping-particle":"","family":"Yagi","given":"Takao","non-dropping-particle":"","parse-names":false,"suffix":""}],"container-title":"Biochemistry","id":"ITEM-1","issue":"27","issued":{"date-parts":[["2005","7"]]},"language":"eng","page":"9545-9554","publisher-place":"United States","title":"Characterization of the membrane domain subunit NuoK (ND4L) of the NADH-quinone  oxidoreductase from Escherichia coli.","type":"article-journal","volume":"44"},"uris":["http://www.mendeley.com/documents/?uuid=57d558af-5785-42e6-ad7a-f43c2be5b276"]}],"mendeley":{"formattedCitation":"(Kao &lt;i&gt;et al&lt;/i&gt;, 2005b)","plainTextFormattedCitation":"(Kao et al, 2005b)","previouslyFormattedCitation":"(Kao &lt;i&gt;et al&lt;/i&gt;, 2005b)"},"properties":{"noteIndex":0},"schema":"https://github.com/citation-style-language/schema/raw/master/csl-citation.json"}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(Kao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2005b)</w:t>
            </w:r>
            <w:r w:rsidRPr="00E97FC1">
              <w:rPr>
                <w:rFonts w:ascii="Helvetica" w:hAnsi="Helvetica" w:cs="Helvetica"/>
                <w:b/>
                <w:bCs/>
                <w:sz w:val="16"/>
                <w:szCs w:val="20"/>
                <w:lang w:val="en-GB"/>
              </w:rPr>
              <w:fldChar w:fldCharType="end"/>
            </w:r>
          </w:p>
        </w:tc>
      </w:tr>
      <w:tr w:rsidR="002471A8" w:rsidRPr="00E97FC1" w14:paraId="404C330F" w14:textId="77777777" w:rsidTr="002471A8">
        <w:trPr>
          <w:trHeight w:val="65"/>
        </w:trPr>
        <w:tc>
          <w:tcPr>
            <w:tcW w:w="1525" w:type="dxa"/>
          </w:tcPr>
          <w:p w14:paraId="2F055DC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R85K</w:t>
            </w:r>
          </w:p>
        </w:tc>
        <w:tc>
          <w:tcPr>
            <w:tcW w:w="2340" w:type="dxa"/>
            <w:vMerge/>
          </w:tcPr>
          <w:p w14:paraId="7BEAE99D" w14:textId="77777777" w:rsidR="002471A8" w:rsidRPr="00E97FC1" w:rsidRDefault="002471A8" w:rsidP="002471A8">
            <w:pPr>
              <w:rPr>
                <w:rFonts w:ascii="Helvetica" w:hAnsi="Helvetica" w:cs="Helvetica"/>
                <w:iCs/>
                <w:sz w:val="20"/>
                <w:szCs w:val="20"/>
                <w:lang w:val="en-GB"/>
              </w:rPr>
            </w:pPr>
          </w:p>
        </w:tc>
        <w:tc>
          <w:tcPr>
            <w:tcW w:w="1440" w:type="dxa"/>
          </w:tcPr>
          <w:p w14:paraId="7E111BD3"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normal</w:t>
            </w:r>
          </w:p>
        </w:tc>
        <w:tc>
          <w:tcPr>
            <w:tcW w:w="1170" w:type="dxa"/>
          </w:tcPr>
          <w:p w14:paraId="71656E27"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103%</w:t>
            </w:r>
          </w:p>
        </w:tc>
        <w:tc>
          <w:tcPr>
            <w:tcW w:w="1260" w:type="dxa"/>
          </w:tcPr>
          <w:p w14:paraId="5B3FBBC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98%</w:t>
            </w:r>
          </w:p>
        </w:tc>
        <w:tc>
          <w:tcPr>
            <w:tcW w:w="1080" w:type="dxa"/>
          </w:tcPr>
          <w:p w14:paraId="3714045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15F70374" w14:textId="42710C42"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{"citationItems":[{"id":"ITEM-1","itemData":{"DOI":"10.1021/bi050708w","ISSN":"0006-2960 (Print)","PMID":"15996109","abstract":"The ND4L subunit is the smallest mitochondrial DNA-encoded subunit of the  proton-translocating NADH-quinone oxidoreductase (complex I). In an attempt to study the functional and structural roles of the NuoK subunit (the Escherichia coli homologue of ND4L) of the bacterial NADH-quinone oxidoreductase (NDH-1), we have performed a series of site-specific mutations on the nuoK gene of the NDH-1 operon by using the homologous recombination technique. The amino acid residues we targeted included two highly conserved glutamic acids that are presumably located in the middle of the membrane and several arginine residues that are predicted to be on the cytosolic side. All point mutants examined had fully assembled NDH-1 as detected by blue-native gel electrophoresis and immunostaining. Mutations of nearly perfectly conserved Glu-36 lead to almost null activities of coupled electron transfer with a concomitant loss of generation of electrochemical gradient. A significant diminution of the coupled activities was also observed with mutations of another highly conserved residue, Glu-72. These results may suggest that both membrane-embedded acidic residues are important for the coupling mechanism of NDH-1. Furthermore, a severe impairment of the coupled activities occurred when two vicinal arginine residues on a cytosolic loop were simultaneously mutated. Possible roles of these arginine residues and other conserved residues in the NuoK subunit for NDH-1 function were discussed.","author":[{"dropping-particle":"","family":"Kao","given":"Mou-Chieh","non-dropping-particle":"","parse-names":false,"suffix":""},{"dropping-particle":"","family":"Nakamaru-Ogiso","given":"Eiko","non-dropping-particle":"","parse-names":false,"suffix":""},{"dropping-particle":"","family":"Matsuno-Yagi","given":"Akemi","non-dropping-particle":"","parse-names":false,"suffix":""},{"dropping-particle":"","family":"Yagi","given":"Takao","non-dropping-particle":"","parse-names":false,"suffix":""}],"container-title":"Biochemistry","id":"ITEM-1","issue":"27","issued":{"date-parts":[["2005","7"]]},"language":"eng","page":"9545-9554","publisher-place":"United States","title":"Characterization of the membrane domain subunit NuoK (ND4L) of the NADH-quinone  oxidoreductase from Escherichia coli.","type":"article-journal","volume":"44"},"uris":["http://www.mendeley.com/documents/?uuid=57d558af-5785-42e6-ad7a-f43c2be5b276"]}],"mendeley":{"formattedCitation":"(Kao &lt;i&gt;et al&lt;/i&gt;, 2005b)","plainTextFormattedCitation":"(Kao et al, 2005b)","previouslyFormattedCitation":"(Kao &lt;i&gt;et al&lt;/i&gt;, 2005b)"},"properties":{"noteIndex":0},"schema":"https://github.com/citation-style-language/schema/raw/master/csl-citation.json"}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(Kao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2005b)</w:t>
            </w:r>
            <w:r w:rsidRPr="00E97FC1">
              <w:rPr>
                <w:rFonts w:ascii="Helvetica" w:hAnsi="Helvetica" w:cs="Helvetica"/>
                <w:b/>
                <w:bCs/>
                <w:sz w:val="16"/>
                <w:szCs w:val="20"/>
                <w:lang w:val="en-GB"/>
              </w:rPr>
              <w:fldChar w:fldCharType="end"/>
            </w:r>
          </w:p>
        </w:tc>
      </w:tr>
      <w:tr w:rsidR="002471A8" w:rsidRPr="00E97FC1" w14:paraId="04FD0526" w14:textId="77777777" w:rsidTr="002471A8">
        <w:trPr>
          <w:trHeight w:val="65"/>
        </w:trPr>
        <w:tc>
          <w:tcPr>
            <w:tcW w:w="1525" w:type="dxa"/>
          </w:tcPr>
          <w:p w14:paraId="464FAFF3"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R87A</w:t>
            </w:r>
          </w:p>
        </w:tc>
        <w:tc>
          <w:tcPr>
            <w:tcW w:w="2340" w:type="dxa"/>
            <w:vMerge w:val="restart"/>
          </w:tcPr>
          <w:p w14:paraId="7A1DCD86" w14:textId="77777777" w:rsidR="002471A8" w:rsidRPr="00E97FC1" w:rsidRDefault="002471A8" w:rsidP="002471A8">
            <w:pPr>
              <w:rPr>
                <w:rFonts w:ascii="Helvetica" w:hAnsi="Helvetica" w:cs="Helvetica"/>
                <w:iCs/>
                <w:sz w:val="20"/>
                <w:lang w:val="en-GB"/>
              </w:rPr>
            </w:pPr>
            <w:r w:rsidRPr="00E97FC1">
              <w:rPr>
                <w:rFonts w:ascii="Helvetica" w:hAnsi="Helvetica" w:cs="Helvetica"/>
                <w:iCs/>
                <w:sz w:val="20"/>
                <w:lang w:val="en-GB"/>
              </w:rPr>
              <w:t>surface</w:t>
            </w:r>
          </w:p>
        </w:tc>
        <w:tc>
          <w:tcPr>
            <w:tcW w:w="1440" w:type="dxa"/>
          </w:tcPr>
          <w:p w14:paraId="64627C1F"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normal</w:t>
            </w:r>
          </w:p>
        </w:tc>
        <w:tc>
          <w:tcPr>
            <w:tcW w:w="1170" w:type="dxa"/>
          </w:tcPr>
          <w:p w14:paraId="3140A79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103%</w:t>
            </w:r>
          </w:p>
        </w:tc>
        <w:tc>
          <w:tcPr>
            <w:tcW w:w="1260" w:type="dxa"/>
          </w:tcPr>
          <w:p w14:paraId="186984FA"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99%</w:t>
            </w:r>
          </w:p>
        </w:tc>
        <w:tc>
          <w:tcPr>
            <w:tcW w:w="1080" w:type="dxa"/>
          </w:tcPr>
          <w:p w14:paraId="231F24BE"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NA</w:t>
            </w:r>
          </w:p>
        </w:tc>
        <w:tc>
          <w:tcPr>
            <w:tcW w:w="1260" w:type="dxa"/>
          </w:tcPr>
          <w:p w14:paraId="7CD15028" w14:textId="264AEB83"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{"citationItems":[{"id":"ITEM-1","itemData":{"DOI":"10.1021/bi050708w","ISSN":"0006-2960 (Print)","PMID":"15996109","abstract":"The ND4L subunit is the smallest mitochondrial DNA-encoded subunit of the  proton-translocating NADH-quinone oxidoreductase (complex I). In an attempt to study the functional and structural roles of the NuoK subunit (the Escherichia coli homologue of ND4L) of the bacterial NADH-quinone oxidoreductase (NDH-1), we have performed a series of site-specific mutations on the nuoK gene of the NDH-1 operon by using the homologous recombination technique. The amino acid residues we targeted included two highly conserved glutamic acids that are presumably located in the middle of the membrane and several arginine residues that are predicted to be on the cytosolic side. All point mutants examined had fully assembled NDH-1 as detected by blue-native gel electrophoresis and immunostaining. Mutations of nearly perfectly conserved Glu-36 lead to almost null activities of coupled electron transfer with a concomitant loss of generation of electrochemical gradient. A significant diminution of the coupled activities was also observed with mutations of another highly conserved residue, Glu-72. These results may suggest that both membrane-embedded acidic residues are important for the coupling mechanism of NDH-1. Furthermore, a severe impairment of the coupled activities occurred when two vicinal arginine residues on a cytosolic loop were simultaneously mutated. Possible roles of these arginine residues and other conserved residues in the NuoK subunit for NDH-1 function were discussed.","author":[{"dropping-particle":"","family":"Kao","given":"Mou-Chieh","non-dropping-particle":"","parse-names":false,"suffix":""},{"dropping-particle":"","family":"Nakamaru-Ogiso","given":"Eiko","non-dropping-particle":"","parse-names":false,"suffix":""},{"dropping-particle":"","family":"Matsuno-Yagi","given":"Akemi","non-dropping-particle":"","parse-names":false,"suffix":""},{"dropping-particle":"","family":"Yagi","given":"Takao","non-dropping-particle":"","parse-names":false,"suffix":""}],"container-title":"Biochemistry","id":"ITEM-1","issue":"27","issued":{"date-parts":[["2005","7"]]},"language":"eng","page":"9545-9554","publisher-place":"United States","title":"Characterization of the membrane domain subunit NuoK (ND4L) of the NADH-quinone  oxidoreductase from Escherichia coli.","type":"article-journal","volume":"44"},"uris":["http://www.mendeley.com/documents/?uuid=57d558af-5785-42e6-ad7a-f43c2be5b276"]}],"mendeley":{"formattedCitation":"(Kao &lt;i&gt;et al&lt;/i&gt;, 2005b)","plainTextFormattedCitation":"(Kao et al, 2005b)","previouslyFormattedCitation":"(Kao &lt;i&gt;et al&lt;/i&gt;, 2005b)"},"properties":{"noteIndex":0},"schema":"https://github.com/citation-style-language/schema/raw/master/csl-citation.json"}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(Kao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2005b)</w:t>
            </w:r>
            <w:r w:rsidRPr="00E97FC1">
              <w:rPr>
                <w:rFonts w:ascii="Helvetica" w:hAnsi="Helvetica" w:cs="Helvetica"/>
                <w:b/>
                <w:bCs/>
                <w:sz w:val="16"/>
                <w:szCs w:val="20"/>
                <w:lang w:val="en-GB"/>
              </w:rPr>
              <w:fldChar w:fldCharType="end"/>
            </w:r>
          </w:p>
        </w:tc>
      </w:tr>
      <w:tr w:rsidR="002471A8" w:rsidRPr="00E97FC1" w14:paraId="2664F547" w14:textId="77777777" w:rsidTr="002471A8">
        <w:trPr>
          <w:trHeight w:val="65"/>
        </w:trPr>
        <w:tc>
          <w:tcPr>
            <w:tcW w:w="1525" w:type="dxa"/>
          </w:tcPr>
          <w:p w14:paraId="79BB2498"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R87K</w:t>
            </w:r>
          </w:p>
        </w:tc>
        <w:tc>
          <w:tcPr>
            <w:tcW w:w="2340" w:type="dxa"/>
            <w:vMerge/>
          </w:tcPr>
          <w:p w14:paraId="1B77D85A" w14:textId="77777777" w:rsidR="002471A8" w:rsidRPr="00E97FC1" w:rsidRDefault="002471A8" w:rsidP="002471A8">
            <w:pPr>
              <w:rPr>
                <w:rFonts w:ascii="Helvetica" w:hAnsi="Helvetica" w:cs="Helvetica"/>
                <w:sz w:val="20"/>
                <w:szCs w:val="20"/>
                <w:lang w:val="en-GB"/>
              </w:rPr>
            </w:pPr>
          </w:p>
        </w:tc>
        <w:tc>
          <w:tcPr>
            <w:tcW w:w="1440" w:type="dxa"/>
          </w:tcPr>
          <w:p w14:paraId="5FB3B55B"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sz w:val="20"/>
                <w:szCs w:val="20"/>
                <w:lang w:val="en-GB"/>
              </w:rPr>
              <w:t>normal</w:t>
            </w:r>
          </w:p>
        </w:tc>
        <w:tc>
          <w:tcPr>
            <w:tcW w:w="1170" w:type="dxa"/>
          </w:tcPr>
          <w:p w14:paraId="0C415AE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106%</w:t>
            </w:r>
          </w:p>
        </w:tc>
        <w:tc>
          <w:tcPr>
            <w:tcW w:w="1260" w:type="dxa"/>
          </w:tcPr>
          <w:p w14:paraId="4248E02D"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100%</w:t>
            </w:r>
          </w:p>
        </w:tc>
        <w:tc>
          <w:tcPr>
            <w:tcW w:w="1080" w:type="dxa"/>
          </w:tcPr>
          <w:p w14:paraId="00CD0827"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NA</w:t>
            </w:r>
          </w:p>
        </w:tc>
        <w:tc>
          <w:tcPr>
            <w:tcW w:w="1260" w:type="dxa"/>
          </w:tcPr>
          <w:p w14:paraId="54BE5F90" w14:textId="0E442451"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{"citationItems":[{"id":"ITEM-1","itemData":{"DOI":"10.1021/bi050708w","ISSN":"0006-2960 (Print)","PMID":"15996109","abstract":"The ND4L subunit is the smallest mitochondrial DNA-encoded subunit of the  proton-translocating NADH-quinone oxidoreductase (complex I). In an attempt to study the functional and structural roles of the NuoK subunit (the Escherichia coli homologue of ND4L) of the bacterial NADH-quinone oxidoreductase (NDH-1), we have performed a series of site-specific mutations on the nuoK gene of the NDH-1 operon by using the homologous recombination technique. The amino acid residues we targeted included two highly conserved glutamic acids that are presumably located in the middle of the membrane and several arginine residues that are predicted to be on the cytosolic side. All point mutants examined had fully assembled NDH-1 as detected by blue-native gel electrophoresis and immunostaining. Mutations of nearly perfectly conserved Glu-36 lead to almost null activities of coupled electron transfer with a concomitant loss of generation of electrochemical gradient. A significant diminution of the coupled activities was also observed with mutations of another highly conserved residue, Glu-72. These results may suggest that both membrane-embedded acidic residues are important for the coupling mechanism of NDH-1. Furthermore, a severe impairment of the coupled activities occurred when two vicinal arginine residues on a cytosolic loop were simultaneously mutated. Possible roles of these arginine residues and other conserved residues in the NuoK subunit for NDH-1 function were discussed.","author":[{"dropping-particle":"","family":"Kao","given":"Mou-Chieh","non-dropping-particle":"","parse-names":false,"suffix":""},{"dropping-particle":"","family":"Nakamaru-Ogiso","given":"Eiko","non-dropping-particle":"","parse-names":false,"suffix":""},{"dropping-particle":"","family":"Matsuno-Yagi","given":"Akemi","non-dropping-particle":"","parse-names":false,"suffix":""},{"dropping-particle":"","family":"Yagi","given":"Takao","non-dropping-particle":"","parse-names":false,"suffix":""}],"container-title":"Biochemistry","id":"ITEM-1","issue":"27","issued":{"date-parts":[["2005","7"]]},"language":"eng","page":"9545-9554","publisher-place":"United States","title":"Characterization of the membrane domain subunit NuoK (ND4L) of the NADH-quinone  oxidoreductase from Escherichia coli.","type":"article-journal","volume":"44"},"uris":["http://www.mendeley.com/documents/?uuid=57d558af-5785-42e6-ad7a-f43c2be5b276"]}],"mendeley":{"formattedCitation":"(Kao &lt;i&gt;et al&lt;/i&gt;, 2005b)","plainTextFormattedCitation":"(Kao et al, 2005b)","previouslyFormattedCitation":"(Kao &lt;i&gt;et al&lt;/i&gt;, 2005b)"},"properties":{"noteIndex":0},"schema":"https://github.com/citation-style-language/schema/raw/master/csl-citation.json"}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(Kao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2005b)</w:t>
            </w:r>
            <w:r w:rsidRPr="00E97FC1">
              <w:rPr>
                <w:rFonts w:ascii="Helvetica" w:hAnsi="Helvetica" w:cs="Helvetica"/>
                <w:b/>
                <w:bCs/>
                <w:sz w:val="16"/>
                <w:szCs w:val="20"/>
                <w:lang w:val="en-GB"/>
              </w:rPr>
              <w:fldChar w:fldCharType="end"/>
            </w:r>
          </w:p>
        </w:tc>
      </w:tr>
      <w:tr w:rsidR="002471A8" w:rsidRPr="00E97FC1" w14:paraId="63113BB1" w14:textId="77777777" w:rsidTr="002471A8">
        <w:trPr>
          <w:trHeight w:val="65"/>
        </w:trPr>
        <w:tc>
          <w:tcPr>
            <w:tcW w:w="10075" w:type="dxa"/>
            <w:gridSpan w:val="7"/>
          </w:tcPr>
          <w:p w14:paraId="0A225B32" w14:textId="77777777" w:rsidR="002471A8" w:rsidRPr="00E97FC1" w:rsidRDefault="002471A8" w:rsidP="002471A8">
            <w:pPr>
              <w:rPr>
                <w:rFonts w:ascii="Helvetica" w:hAnsi="Helvetica" w:cs="Helvetica"/>
                <w:b/>
                <w:bCs/>
                <w:sz w:val="22"/>
                <w:lang w:val="en-GB"/>
              </w:rPr>
            </w:pPr>
            <w:r w:rsidRPr="00E97FC1">
              <w:rPr>
                <w:rFonts w:ascii="Helvetica" w:hAnsi="Helvetica" w:cs="Helvetica"/>
                <w:b/>
                <w:iCs/>
                <w:sz w:val="28"/>
                <w:lang w:val="en-GB"/>
              </w:rPr>
              <w:t>NuoA</w:t>
            </w:r>
          </w:p>
        </w:tc>
      </w:tr>
      <w:tr w:rsidR="002471A8" w:rsidRPr="00E97FC1" w14:paraId="577F8CE8" w14:textId="77777777" w:rsidTr="002471A8">
        <w:trPr>
          <w:trHeight w:val="65"/>
        </w:trPr>
        <w:tc>
          <w:tcPr>
            <w:tcW w:w="1525" w:type="dxa"/>
          </w:tcPr>
          <w:p w14:paraId="272BEDCA"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K46A</w:t>
            </w:r>
          </w:p>
        </w:tc>
        <w:tc>
          <w:tcPr>
            <w:tcW w:w="2340" w:type="dxa"/>
          </w:tcPr>
          <w:p w14:paraId="5B4E14DB"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TM1-TM2 loop, not in the structure</w:t>
            </w:r>
          </w:p>
        </w:tc>
        <w:tc>
          <w:tcPr>
            <w:tcW w:w="1440" w:type="dxa"/>
          </w:tcPr>
          <w:p w14:paraId="5D82F16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03748A3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100%</w:t>
            </w:r>
          </w:p>
        </w:tc>
        <w:tc>
          <w:tcPr>
            <w:tcW w:w="1260" w:type="dxa"/>
          </w:tcPr>
          <w:p w14:paraId="28E7FD02" w14:textId="77777777" w:rsidR="002471A8" w:rsidRPr="00E97FC1" w:rsidRDefault="002471A8" w:rsidP="002471A8">
            <w:pPr>
              <w:tabs>
                <w:tab w:val="left" w:pos="640"/>
              </w:tabs>
              <w:rPr>
                <w:rFonts w:ascii="Helvetica" w:hAnsi="Helvetica" w:cs="Helvetica"/>
                <w:sz w:val="20"/>
                <w:szCs w:val="20"/>
                <w:lang w:val="en-GB"/>
              </w:rPr>
            </w:pPr>
            <w:r w:rsidRPr="00E97FC1">
              <w:rPr>
                <w:rFonts w:ascii="Helvetica" w:hAnsi="Helvetica" w:cs="Helvetica"/>
                <w:sz w:val="20"/>
                <w:szCs w:val="20"/>
                <w:lang w:val="en-GB"/>
              </w:rPr>
              <w:t>94-100%</w:t>
            </w:r>
          </w:p>
        </w:tc>
        <w:tc>
          <w:tcPr>
            <w:tcW w:w="1080" w:type="dxa"/>
          </w:tcPr>
          <w:p w14:paraId="66E20E1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094281F0" w14:textId="0B68C927"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{"citationItems":[{"id":"ITEM-1","itemData":{"DOI":"10.1074/jbc.M403885200","ISSN":"0021-9258 (Print)","PMID":"15175326","abstract":"The H(+)(Na(+))-translocating NADH-quinone (Q) oxidoreductase (NDH-1) of Escherichia  coli is composed of 13 different subunits (NuoA-N). Subunit NuoA (ND3, Nqo7) is one of the seven membrane domain subunits that are considered to be involved in H(+)(Na(+)) translocation. We demonstrated that in the Paracoccus denitrificans NDH-1 subunit, Nqo7 (ND3) directly interacts with peripheral subunits Nqo6 (PSST) and Nqo4 (49 kDa) by using cross-linkers (Di Bernardo, S., and Yagi, T. (2001) FEBS Lett. 508, 385-388 and Kao, M.-C., Matsuno-Yagi, A., and Yagi, T. (2004) Biochemistry 43, 3750-3755). To investigate the structural and functional roles of conserved charged amino acid residues, a nuoA knock-out mutant and site-specific mutants K46A, E51A, D79N, D79A, E81Q, E81A, and D79N/E81Q were constructed by utilizing chromosomal DNA manipulation. In terms of immunochemical and NADH dehydrogenase activity-staining analyses, all site-specific mutants are similar to the wild type, suggesting that those NuoA site-specific mutations do not significantly affect the assembly of peripheral subunits in situ. In addition, site-specific mutants showed similar deamino-NADH-K(3)Fe(CN)(6) reductase activity to the wild type. The K46A mutation scarcely inhibited deamino-NADH-Q reductase activity. In contrast, E51A, D79A, D79N, E81A, and E81Q mutation partially suppressed deamino-NADH-Q reductase activity to 30, 90, 40, 40, and 50%, respectively. The double mutant D79N/E81Q almost completely lost the energy-transducing NDH-1 activities but did not display any loss of deamino-NADH-K(3)Fe(CN)(6) reductase activity. The possible functional roles of residues Asp-79 and Glu-81 were discussed.","author":[{"dropping-particle":"","family":"Kao","given":"Mou-Chieh","non-dropping-particle":"","parse-names":false,"suffix":""},{"dropping-particle":"","family":"Bernardo","given":"Salvatore","non-dropping-particle":"Di","parse-names":false,"suffix":""},{"dropping-particle":"","family":"Perego","given":"Marta","non-dropping-particle":"","parse-names":false,"suffix":""},{"dropping-particle":"","family":"Nakamaru-Ogiso","given":"Eiko","non-dropping-particle":"","parse-names":false,"suffix":""},{"dropping-particle":"","family":"Matsuno-Yagi","given":"Akemi","non-dropping-particle":"","parse-names":false,"suffix":""},{"dropping-particle":"","family":"Yagi","given":"Takao","non-dropping-particle":"","parse-names":false,"suffix":""}],"container-title":"The Journal of biological chemistry","id":"ITEM-1","issue":"31","issued":{"date-parts":[["2004","7"]]},"language":"eng","page":"32360-32366","publisher-place":"United States","title":"Functional roles of four conserved charged residues in the membrane domain subunit  NuoA of the proton-translocating NADH-quinone oxidoreductase from Escherichia coli.","type":"article-journal","volume":"279"},"uris":["http://www.mendeley.com/documents/?uuid=5096c8f7-f745-4602-bb17-ba2ffc9e9c0b"]}],"mendeley":{"formattedCitation":"(Kao &lt;i&gt;et al&lt;/i&gt;, 2004)","plainTextFormattedCitation":"(Kao et al, 2004)","previouslyFormattedCitation":"(Kao &lt;i&gt;et al&lt;/i&gt;, 2004)"},"properties":{"noteIndex":0},"schema":"https://github.com/citation-style-language/schema/raw/master/csl-citation.json"}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(Kao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2004)</w:t>
            </w:r>
            <w:r w:rsidRPr="00E97FC1">
              <w:rPr>
                <w:rFonts w:ascii="Helvetica" w:hAnsi="Helvetica" w:cs="Helvetica"/>
                <w:b/>
                <w:bCs/>
                <w:sz w:val="16"/>
                <w:szCs w:val="20"/>
                <w:lang w:val="en-GB"/>
              </w:rPr>
              <w:fldChar w:fldCharType="end"/>
            </w:r>
          </w:p>
        </w:tc>
      </w:tr>
      <w:tr w:rsidR="002471A8" w:rsidRPr="00E97FC1" w14:paraId="79375C55" w14:textId="77777777" w:rsidTr="002471A8">
        <w:trPr>
          <w:trHeight w:val="65"/>
        </w:trPr>
        <w:tc>
          <w:tcPr>
            <w:tcW w:w="1525" w:type="dxa"/>
          </w:tcPr>
          <w:p w14:paraId="534D8D6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E51A</w:t>
            </w:r>
          </w:p>
        </w:tc>
        <w:tc>
          <w:tcPr>
            <w:tcW w:w="2340" w:type="dxa"/>
          </w:tcPr>
          <w:p w14:paraId="613587B2"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TM1-TM2 loop, not in the structure</w:t>
            </w:r>
          </w:p>
        </w:tc>
        <w:tc>
          <w:tcPr>
            <w:tcW w:w="1440" w:type="dxa"/>
          </w:tcPr>
          <w:p w14:paraId="5DA3A01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69425A50"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97%</w:t>
            </w:r>
          </w:p>
        </w:tc>
        <w:tc>
          <w:tcPr>
            <w:tcW w:w="1260" w:type="dxa"/>
          </w:tcPr>
          <w:p w14:paraId="318FB0D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30%</w:t>
            </w:r>
          </w:p>
        </w:tc>
        <w:tc>
          <w:tcPr>
            <w:tcW w:w="1080" w:type="dxa"/>
          </w:tcPr>
          <w:p w14:paraId="707FF2A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778D0CF7" w14:textId="0FB5313C"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{"citationItems":[{"id":"ITEM-1","itemData":{"DOI":"10.1074/jbc.M403885200","ISSN":"0021-9258 (Print)","PMID":"15175326","abstract":"The H(+)(Na(+))-translocating NADH-quinone (Q) oxidoreductase (NDH-1) of Escherichia  coli is composed of 13 different subunits (NuoA-N). Subunit NuoA (ND3, Nqo7) is one of the seven membrane domain subunits that are considered to be involved in H(+)(Na(+)) translocation. We demonstrated that in the Paracoccus denitrificans NDH-1 subunit, Nqo7 (ND3) directly interacts with peripheral subunits Nqo6 (PSST) and Nqo4 (49 kDa) by using cross-linkers (Di Bernardo, S., and Yagi, T. (2001) FEBS Lett. 508, 385-388 and Kao, M.-C., Matsuno-Yagi, A., and Yagi, T. (2004) Biochemistry 43, 3750-3755). To investigate the structural and functional roles of conserved charged amino acid residues, a nuoA knock-out mutant and site-specific mutants K46A, E51A, D79N, D79A, E81Q, E81A, and D79N/E81Q were constructed by utilizing chromosomal DNA manipulation. In terms of immunochemical and NADH dehydrogenase activity-staining analyses, all site-specific mutants are similar to the wild type, suggesting that those NuoA site-specific mutations do not significantly affect the assembly of peripheral subunits in situ. In addition, site-specific mutants showed similar deamino-NADH-K(3)Fe(CN)(6) reductase activity to the wild type. The K46A mutation scarcely inhibited deamino-NADH-Q reductase activity. In contrast, E51A, D79A, D79N, E81A, and E81Q mutation partially suppressed deamino-NADH-Q reductase activity to 30, 90, 40, 40, and 50%, respectively. The double mutant D79N/E81Q almost completely lost the energy-transducing NDH-1 activities but did not display any loss of deamino-NADH-K(3)Fe(CN)(6) reductase activity. The possible functional roles of residues Asp-79 and Glu-81 were discussed.","author":[{"dropping-particle":"","family":"Kao","given":"Mou-Chieh","non-dropping-particle":"","parse-names":false,"suffix":""},{"dropping-particle":"","family":"Bernardo","given":"Salvatore","non-dropping-particle":"Di","parse-names":false,"suffix":""},{"dropping-particle":"","family":"Perego","given":"Marta","non-dropping-particle":"","parse-names":false,"suffix":""},{"dropping-particle":"","family":"Nakamaru-Ogiso","given":"Eiko","non-dropping-particle":"","parse-names":false,"suffix":""},{"dropping-particle":"","family":"Matsuno-Yagi","given":"Akemi","non-dropping-particle":"","parse-names":false,"suffix":""},{"dropping-particle":"","family":"Yagi","given":"Takao","non-dropping-particle":"","parse-names":false,"suffix":""}],"container-title":"The Journal of biological chemistry","id":"ITEM-1","issue":"31","issued":{"date-parts":[["2004","7"]]},"language":"eng","page":"32360-32366","publisher-place":"United States","title":"Functional roles of four conserved charged residues in the membrane domain subunit  NuoA of the proton-translocating NADH-quinone oxidoreductase from Escherichia coli.","type":"article-journal","volume":"279"},"uris":["http://www.mendeley.com/documents/?uuid=5096c8f7-f745-4602-bb17-ba2ffc9e9c0b"]}],"mendeley":{"formattedCitation":"(Kao &lt;i&gt;et al&lt;/i&gt;, 2004)","plainTextFormattedCitation":"(Kao et al, 2004)","previouslyFormattedCitation":"(Kao &lt;i&gt;et al&lt;/i&gt;, 2004)"},"properties":{"noteIndex":0},"schema":"https://github.com/citation-style-language/schema/raw/master/csl-citation.json"}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(Kao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2004)</w:t>
            </w:r>
            <w:r w:rsidRPr="00E97FC1">
              <w:rPr>
                <w:rFonts w:ascii="Helvetica" w:hAnsi="Helvetica" w:cs="Helvetica"/>
                <w:b/>
                <w:bCs/>
                <w:sz w:val="16"/>
                <w:szCs w:val="20"/>
                <w:lang w:val="en-GB"/>
              </w:rPr>
              <w:fldChar w:fldCharType="end"/>
            </w:r>
          </w:p>
        </w:tc>
      </w:tr>
      <w:tr w:rsidR="002471A8" w:rsidRPr="00E97FC1" w14:paraId="4C6E9B09" w14:textId="77777777" w:rsidTr="002471A8">
        <w:trPr>
          <w:trHeight w:val="65"/>
        </w:trPr>
        <w:tc>
          <w:tcPr>
            <w:tcW w:w="1525" w:type="dxa"/>
          </w:tcPr>
          <w:p w14:paraId="5BDE2BC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D79A</w:t>
            </w:r>
          </w:p>
        </w:tc>
        <w:tc>
          <w:tcPr>
            <w:tcW w:w="2340" w:type="dxa"/>
            <w:vMerge w:val="restart"/>
          </w:tcPr>
          <w:p w14:paraId="754257B8"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 xml:space="preserve">interface between </w:t>
            </w:r>
            <w:r w:rsidRPr="00E97FC1">
              <w:rPr>
                <w:rFonts w:ascii="Helvetica" w:hAnsi="Helvetica" w:cs="Helvetica"/>
                <w:sz w:val="20"/>
                <w:vertAlign w:val="subscript"/>
                <w:lang w:val="en-GB"/>
              </w:rPr>
              <w:t>J</w:t>
            </w:r>
            <w:r w:rsidRPr="00E97FC1">
              <w:rPr>
                <w:rFonts w:ascii="Helvetica" w:hAnsi="Helvetica" w:cs="Helvetica"/>
                <w:sz w:val="20"/>
                <w:lang w:val="en-GB"/>
              </w:rPr>
              <w:t>TM3 and NuoH, central axe</w:t>
            </w:r>
          </w:p>
        </w:tc>
        <w:tc>
          <w:tcPr>
            <w:tcW w:w="1440" w:type="dxa"/>
          </w:tcPr>
          <w:p w14:paraId="0D2C134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6EED225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102%</w:t>
            </w:r>
          </w:p>
        </w:tc>
        <w:tc>
          <w:tcPr>
            <w:tcW w:w="1260" w:type="dxa"/>
          </w:tcPr>
          <w:p w14:paraId="1A4BA51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86-95%</w:t>
            </w:r>
          </w:p>
        </w:tc>
        <w:tc>
          <w:tcPr>
            <w:tcW w:w="1080" w:type="dxa"/>
          </w:tcPr>
          <w:p w14:paraId="63087D6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57BEC3E9" w14:textId="52B2DDB6"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{"citationItems":[{"id":"ITEM-1","itemData":{"DOI":"10.1074/jbc.M403885200","ISSN":"0021-9258 (Print)","PMID":"15175326","abstract":"The H(+)(Na(+))-translocating NADH-quinone (Q) oxidoreductase (NDH-1) of Escherichia  coli is composed of 13 different subunits (NuoA-N). Subunit NuoA (ND3, Nqo7) is one of the seven membrane domain subunits that are considered to be involved in H(+)(Na(+)) translocation. We demonstrated that in the Paracoccus denitrificans NDH-1 subunit, Nqo7 (ND3) directly interacts with peripheral subunits Nqo6 (PSST) and Nqo4 (49 kDa) by using cross-linkers (Di Bernardo, S., and Yagi, T. (2001) FEBS Lett. 508, 385-388 and Kao, M.-C., Matsuno-Yagi, A., and Yagi, T. (2004) Biochemistry 43, 3750-3755). To investigate the structural and functional roles of conserved charged amino acid residues, a nuoA knock-out mutant and site-specific mutants K46A, E51A, D79N, D79A, E81Q, E81A, and D79N/E81Q were constructed by utilizing chromosomal DNA manipulation. In terms of immunochemical and NADH dehydrogenase activity-staining analyses, all site-specific mutants are similar to the wild type, suggesting that those NuoA site-specific mutations do not significantly affect the assembly of peripheral subunits in situ. In addition, site-specific mutants showed similar deamino-NADH-K(3)Fe(CN)(6) reductase activity to the wild type. The K46A mutation scarcely inhibited deamino-NADH-Q reductase activity. In contrast, E51A, D79A, D79N, E81A, and E81Q mutation partially suppressed deamino-NADH-Q reductase activity to 30, 90, 40, 40, and 50%, respectively. The double mutant D79N/E81Q almost completely lost the energy-transducing NDH-1 activities but did not display any loss of deamino-NADH-K(3)Fe(CN)(6) reductase activity. The possible functional roles of residues Asp-79 and Glu-81 were discussed.","author":[{"dropping-particle":"","family":"Kao","given":"Mou-Chieh","non-dropping-particle":"","parse-names":false,"suffix":""},{"dropping-particle":"","family":"Bernardo","given":"Salvatore","non-dropping-particle":"Di","parse-names":false,"suffix":""},{"dropping-particle":"","family":"Perego","given":"Marta","non-dropping-particle":"","parse-names":false,"suffix":""},{"dropping-particle":"","family":"Nakamaru-Ogiso","given":"Eiko","non-dropping-particle":"","parse-names":false,"suffix":""},{"dropping-particle":"","family":"Matsuno-Yagi","given":"Akemi","non-dropping-particle":"","parse-names":false,"suffix":""},{"dropping-particle":"","family":"Yagi","given":"Takao","non-dropping-particle":"","parse-names":false,"suffix":""}],"container-title":"The Journal of biological chemistry","id":"ITEM-1","issue":"31","issued":{"date-parts":[["2004","7"]]},"language":"eng","page":"32360-32366","publisher-place":"United States","title":"Functional roles of four conserved charged residues in the membrane domain subunit  NuoA of the proton-translocating NADH-quinone oxidoreductase from Escherichia coli.","type":"article-journal","volume":"279"},"uris":["http://www.mendeley.com/documents/?uuid=5096c8f7-f745-4602-bb17-ba2ffc9e9c0b"]}],"mendeley":{"formattedCitation":"(Kao &lt;i&gt;et al&lt;/i&gt;, 2004)","plainTextFormattedCitation":"(Kao et al, 2004)","previouslyFormattedCitation":"(Kao &lt;i&gt;et al&lt;/i&gt;, 2004)"},"properties":{"noteIndex":0},"schema":"https://github.com/citation-style-language/schema/raw/master/csl-citation.json"}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(Kao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2004)</w:t>
            </w:r>
            <w:r w:rsidRPr="00E97FC1">
              <w:rPr>
                <w:rFonts w:ascii="Helvetica" w:hAnsi="Helvetica" w:cs="Helvetica"/>
                <w:b/>
                <w:bCs/>
                <w:sz w:val="16"/>
                <w:szCs w:val="20"/>
                <w:lang w:val="en-GB"/>
              </w:rPr>
              <w:fldChar w:fldCharType="end"/>
            </w:r>
          </w:p>
        </w:tc>
      </w:tr>
      <w:tr w:rsidR="002471A8" w:rsidRPr="00E97FC1" w14:paraId="52B9CA9F" w14:textId="77777777" w:rsidTr="002471A8">
        <w:trPr>
          <w:trHeight w:val="65"/>
        </w:trPr>
        <w:tc>
          <w:tcPr>
            <w:tcW w:w="1525" w:type="dxa"/>
          </w:tcPr>
          <w:p w14:paraId="4A3E767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D79N</w:t>
            </w:r>
          </w:p>
        </w:tc>
        <w:tc>
          <w:tcPr>
            <w:tcW w:w="2340" w:type="dxa"/>
            <w:vMerge/>
          </w:tcPr>
          <w:p w14:paraId="5954B1E3" w14:textId="77777777" w:rsidR="002471A8" w:rsidRPr="00E97FC1" w:rsidRDefault="002471A8" w:rsidP="002471A8">
            <w:pPr>
              <w:rPr>
                <w:rFonts w:ascii="Helvetica" w:hAnsi="Helvetica" w:cs="Helvetica"/>
                <w:sz w:val="20"/>
                <w:szCs w:val="20"/>
                <w:lang w:val="en-GB"/>
              </w:rPr>
            </w:pPr>
          </w:p>
        </w:tc>
        <w:tc>
          <w:tcPr>
            <w:tcW w:w="1440" w:type="dxa"/>
          </w:tcPr>
          <w:p w14:paraId="213943C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2CEB16B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99%</w:t>
            </w:r>
          </w:p>
        </w:tc>
        <w:tc>
          <w:tcPr>
            <w:tcW w:w="1260" w:type="dxa"/>
          </w:tcPr>
          <w:p w14:paraId="51D3655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37-44%</w:t>
            </w:r>
          </w:p>
        </w:tc>
        <w:tc>
          <w:tcPr>
            <w:tcW w:w="1080" w:type="dxa"/>
          </w:tcPr>
          <w:p w14:paraId="35E4766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18A0250B" w14:textId="783E1A86"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{"citationItems":[{"id":"ITEM-1","itemData":{"DOI":"10.1074/jbc.M403885200","ISSN":"0021-9258 (Print)","PMID":"15175326","abstract":"The H(+)(Na(+))-translocating NADH-quinone (Q) oxidoreductase (NDH-1) of Escherichia  coli is composed of 13 different subunits (NuoA-N). Subunit NuoA (ND3, Nqo7) is one of the seven membrane domain subunits that are considered to be involved in H(+)(Na(+)) translocation. We demonstrated that in the Paracoccus denitrificans NDH-1 subunit, Nqo7 (ND3) directly interacts with peripheral subunits Nqo6 (PSST) and Nqo4 (49 kDa) by using cross-linkers (Di Bernardo, S., and Yagi, T. (2001) FEBS Lett. 508, 385-388 and Kao, M.-C., Matsuno-Yagi, A., and Yagi, T. (2004) Biochemistry 43, 3750-3755). To investigate the structural and functional roles of conserved charged amino acid residues, a nuoA knock-out mutant and site-specific mutants K46A, E51A, D79N, D79A, E81Q, E81A, and D79N/E81Q were constructed by utilizing chromosomal DNA manipulation. In terms of immunochemical and NADH dehydrogenase activity-staining analyses, all site-specific mutants are similar to the wild type, suggesting that those NuoA site-specific mutations do not significantly affect the assembly of peripheral subunits in situ. In addition, site-specific mutants showed similar deamino-NADH-K(3)Fe(CN)(6) reductase activity to the wild type. The K46A mutation scarcely inhibited deamino-NADH-Q reductase activity. In contrast, E51A, D79A, D79N, E81A, and E81Q mutation partially suppressed deamino-NADH-Q reductase activity to 30, 90, 40, 40, and 50%, respectively. The double mutant D79N/E81Q almost completely lost the energy-transducing NDH-1 activities but did not display any loss of deamino-NADH-K(3)Fe(CN)(6) reductase activity. The possible functional roles of residues Asp-79 and Glu-81 were discussed.","author":[{"dropping-particle":"","family":"Kao","given":"Mou-Chieh","non-dropping-particle":"","parse-names":false,"suffix":""},{"dropping-particle":"","family":"Bernardo","given":"Salvatore","non-dropping-particle":"Di","parse-names":false,"suffix":""},{"dropping-particle":"","family":"Perego","given":"Marta","non-dropping-particle":"","parse-names":false,"suffix":""},{"dropping-particle":"","family":"Nakamaru-Ogiso","given":"Eiko","non-dropping-particle":"","parse-names":false,"suffix":""},{"dropping-particle":"","family":"Matsuno-Yagi","given":"Akemi","non-dropping-particle":"","parse-names":false,"suffix":""},{"dropping-particle":"","family":"Yagi","given":"Takao","non-dropping-particle":"","parse-names":false,"suffix":""}],"container-title":"The Journal of biological chemistry","id":"ITEM-1","issue":"31","issued":{"date-parts":[["2004","7"]]},"language":"eng","page":"32360-32366","publisher-place":"United States","title":"Functional roles of four conserved charged residues in the membrane domain subunit  NuoA of the proton-translocating NADH-quinone oxidoreductase from Escherichia coli.","type":"article-journal","volume":"279"},"uris":["http://www.mendeley.com/documents/?uuid=5096c8f7-f745-4602-bb17-ba2ffc9e9c0b"]}],"mendeley":{"formattedCitation":"(Kao &lt;i&gt;et al&lt;/i&gt;, 2004)","plainTextFormattedCitation":"(Kao et al, 2004)","previouslyFormattedCitation":"(Kao &lt;i&gt;et al&lt;/i&gt;, 2004)"},"properties":{"noteIndex":0},"schema":"https://github.com/citation-style-language/schema/raw/master/csl-citation.json"}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(Kao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2004)</w:t>
            </w:r>
            <w:r w:rsidRPr="00E97FC1">
              <w:rPr>
                <w:rFonts w:ascii="Helvetica" w:hAnsi="Helvetica" w:cs="Helvetica"/>
                <w:b/>
                <w:bCs/>
                <w:sz w:val="16"/>
                <w:szCs w:val="20"/>
                <w:lang w:val="en-GB"/>
              </w:rPr>
              <w:fldChar w:fldCharType="end"/>
            </w:r>
          </w:p>
        </w:tc>
      </w:tr>
      <w:tr w:rsidR="002471A8" w:rsidRPr="00E97FC1" w14:paraId="7383FE1D" w14:textId="77777777" w:rsidTr="002471A8">
        <w:trPr>
          <w:trHeight w:val="65"/>
        </w:trPr>
        <w:tc>
          <w:tcPr>
            <w:tcW w:w="1525" w:type="dxa"/>
          </w:tcPr>
          <w:p w14:paraId="3C9F155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E81A</w:t>
            </w:r>
          </w:p>
        </w:tc>
        <w:tc>
          <w:tcPr>
            <w:tcW w:w="2340" w:type="dxa"/>
            <w:vMerge w:val="restart"/>
          </w:tcPr>
          <w:p w14:paraId="3E03AEA9"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interface with NuoJ</w:t>
            </w:r>
          </w:p>
        </w:tc>
        <w:tc>
          <w:tcPr>
            <w:tcW w:w="1440" w:type="dxa"/>
          </w:tcPr>
          <w:p w14:paraId="2E50585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5B5AF93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96%</w:t>
            </w:r>
          </w:p>
        </w:tc>
        <w:tc>
          <w:tcPr>
            <w:tcW w:w="1260" w:type="dxa"/>
          </w:tcPr>
          <w:p w14:paraId="4C17C8D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36-42%</w:t>
            </w:r>
          </w:p>
        </w:tc>
        <w:tc>
          <w:tcPr>
            <w:tcW w:w="1080" w:type="dxa"/>
          </w:tcPr>
          <w:p w14:paraId="47809E5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2C487A2E" w14:textId="6D1F1BBE"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{"citationItems":[{"id":"ITEM-1","itemData":{"DOI":"10.1074/jbc.M403885200","ISSN":"0021-9258 (Print)","PMID":"15175326","abstract":"The H(+)(Na(+))-translocating NADH-quinone (Q) oxidoreductase (NDH-1) of Escherichia  coli is composed of 13 different subunits (NuoA-N). Subunit NuoA (ND3, Nqo7) is one of the seven membrane domain subunits that are considered to be involved in H(+)(Na(+)) translocation. We demonstrated that in the Paracoccus denitrificans NDH-1 subunit, Nqo7 (ND3) directly interacts with peripheral subunits Nqo6 (PSST) and Nqo4 (49 kDa) by using cross-linkers (Di Bernardo, S., and Yagi, T. (2001) FEBS Lett. 508, 385-388 and Kao, M.-C., Matsuno-Yagi, A., and Yagi, T. (2004) Biochemistry 43, 3750-3755). To investigate the structural and functional roles of conserved charged amino acid residues, a nuoA knock-out mutant and site-specific mutants K46A, E51A, D79N, D79A, E81Q, E81A, and D79N/E81Q were constructed by utilizing chromosomal DNA manipulation. In terms of immunochemical and NADH dehydrogenase activity-staining analyses, all site-specific mutants are similar to the wild type, suggesting that those NuoA site-specific mutations do not significantly affect the assembly of peripheral subunits in situ. In addition, site-specific mutants showed similar deamino-NADH-K(3)Fe(CN)(6) reductase activity to the wild type. The K46A mutation scarcely inhibited deamino-NADH-Q reductase activity. In contrast, E51A, D79A, D79N, E81A, and E81Q mutation partially suppressed deamino-NADH-Q reductase activity to 30, 90, 40, 40, and 50%, respectively. The double mutant D79N/E81Q almost completely lost the energy-transducing NDH-1 activities but did not display any loss of deamino-NADH-K(3)Fe(CN)(6) reductase activity. The possible functional roles of residues Asp-79 and Glu-81 were discussed.","author":[{"dropping-particle":"","family":"Kao","given":"Mou-Chieh","non-dropping-particle":"","parse-names":false,"suffix":""},{"dropping-particle":"","family":"Bernardo","given":"Salvatore","non-dropping-particle":"Di","parse-names":false,"suffix":""},{"dropping-particle":"","family":"Perego","given":"Marta","non-dropping-particle":"","parse-names":false,"suffix":""},{"dropping-particle":"","family":"Nakamaru-Ogiso","given":"Eiko","non-dropping-particle":"","parse-names":false,"suffix":""},{"dropping-particle":"","family":"Matsuno-Yagi","given":"Akemi","non-dropping-particle":"","parse-names":false,"suffix":""},{"dropping-particle":"","family":"Yagi","given":"Takao","non-dropping-particle":"","parse-names":false,"suffix":""}],"container-title":"The Journal of biological chemistry","id":"ITEM-1","issue":"31","issued":{"date-parts":[["2004","7"]]},"language":"eng","page":"32360-32366","publisher-place":"United States","title":"Functional roles of four conserved charged residues in the membrane domain subunit  NuoA of the proton-translocating NADH-quinone oxidoreductase from Escherichia coli.","type":"article-journal","volume":"279"},"uris":["http://www.mendeley.com/documents/?uuid=5096c8f7-f745-4602-bb17-ba2ffc9e9c0b"]}],"mendeley":{"formattedCitation":"(Kao &lt;i&gt;et al&lt;/i&gt;, 2004)","plainTextFormattedCitation":"(Kao et al, 2004)","previouslyFormattedCitation":"(Kao &lt;i&gt;et al&lt;/i&gt;, 2004)"},"properties":{"noteIndex":0},"schema":"https://github.com/citation-style-language/schema/raw/master/csl-citation.json"}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(Kao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2004)</w:t>
            </w:r>
            <w:r w:rsidRPr="00E97FC1">
              <w:rPr>
                <w:rFonts w:ascii="Helvetica" w:hAnsi="Helvetica" w:cs="Helvetica"/>
                <w:b/>
                <w:bCs/>
                <w:sz w:val="16"/>
                <w:szCs w:val="20"/>
                <w:lang w:val="en-GB"/>
              </w:rPr>
              <w:fldChar w:fldCharType="end"/>
            </w:r>
          </w:p>
        </w:tc>
      </w:tr>
      <w:tr w:rsidR="002471A8" w:rsidRPr="00E97FC1" w14:paraId="6CD052FB" w14:textId="77777777" w:rsidTr="002471A8">
        <w:trPr>
          <w:trHeight w:val="65"/>
        </w:trPr>
        <w:tc>
          <w:tcPr>
            <w:tcW w:w="1525" w:type="dxa"/>
          </w:tcPr>
          <w:p w14:paraId="29B8A2B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E81Q</w:t>
            </w:r>
          </w:p>
        </w:tc>
        <w:tc>
          <w:tcPr>
            <w:tcW w:w="2340" w:type="dxa"/>
            <w:vMerge/>
          </w:tcPr>
          <w:p w14:paraId="2B46E37B" w14:textId="77777777" w:rsidR="002471A8" w:rsidRPr="00E97FC1" w:rsidRDefault="002471A8" w:rsidP="002471A8">
            <w:pPr>
              <w:rPr>
                <w:rFonts w:ascii="Helvetica" w:hAnsi="Helvetica" w:cs="Helvetica"/>
                <w:sz w:val="20"/>
                <w:szCs w:val="20"/>
                <w:lang w:val="en-GB"/>
              </w:rPr>
            </w:pPr>
          </w:p>
        </w:tc>
        <w:tc>
          <w:tcPr>
            <w:tcW w:w="1440" w:type="dxa"/>
          </w:tcPr>
          <w:p w14:paraId="5991A47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435F980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94%</w:t>
            </w:r>
          </w:p>
        </w:tc>
        <w:tc>
          <w:tcPr>
            <w:tcW w:w="1260" w:type="dxa"/>
          </w:tcPr>
          <w:p w14:paraId="4558888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50-77%</w:t>
            </w:r>
          </w:p>
        </w:tc>
        <w:tc>
          <w:tcPr>
            <w:tcW w:w="1080" w:type="dxa"/>
          </w:tcPr>
          <w:p w14:paraId="707B900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4F50E0E3" w14:textId="634CB039"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{"citationItems":[{"id":"ITEM-1","itemData":{"DOI":"10.1074/jbc.M403885200","ISSN":"0021-9258 (Print)","PMID":"15175326","abstract":"The H(+)(Na(+))-translocating NADH-quinone (Q) oxidoreductase (NDH-1) of Escherichia  coli is composed of 13 different subunits (NuoA-N). Subunit NuoA (ND3, Nqo7) is one of the seven membrane domain subunits that are considered to be involved in H(+)(Na(+)) translocation. We demonstrated that in the Paracoccus denitrificans NDH-1 subunit, Nqo7 (ND3) directly interacts with peripheral subunits Nqo6 (PSST) and Nqo4 (49 kDa) by using cross-linkers (Di Bernardo, S., and Yagi, T. (2001) FEBS Lett. 508, 385-388 and Kao, M.-C., Matsuno-Yagi, A., and Yagi, T. (2004) Biochemistry 43, 3750-3755). To investigate the structural and functional roles of conserved charged amino acid residues, a nuoA knock-out mutant and site-specific mutants K46A, E51A, D79N, D79A, E81Q, E81A, and D79N/E81Q were constructed by utilizing chromosomal DNA manipulation. In terms of immunochemical and NADH dehydrogenase activity-staining analyses, all site-specific mutants are similar to the wild type, suggesting that those NuoA site-specific mutations do not significantly affect the assembly of peripheral subunits in situ. In addition, site-specific mutants showed similar deamino-NADH-K(3)Fe(CN)(6) reductase activity to the wild type. The K46A mutation scarcely inhibited deamino-NADH-Q reductase activity. In contrast, E51A, D79A, D79N, E81A, and E81Q mutation partially suppressed deamino-NADH-Q reductase activity to 30, 90, 40, 40, and 50%, respectively. The double mutant D79N/E81Q almost completely lost the energy-transducing NDH-1 activities but did not display any loss of deamino-NADH-K(3)Fe(CN)(6) reductase activity. The possible functional roles of residues Asp-79 and Glu-81 were discussed.","author":[{"dropping-particle":"","family":"Kao","given":"Mou-Chieh","non-dropping-particle":"","parse-names":false,"suffix":""},{"dropping-particle":"","family":"Bernardo","given":"Salvatore","non-dropping-particle":"Di","parse-names":false,"suffix":""},{"dropping-particle":"","family":"Perego","given":"Marta","non-dropping-particle":"","parse-names":false,"suffix":""},{"dropping-particle":"","family":"Nakamaru-Ogiso","given":"Eiko","non-dropping-particle":"","parse-names":false,"suffix":""},{"dropping-particle":"","family":"Matsuno-Yagi","given":"Akemi","non-dropping-particle":"","parse-names":false,"suffix":""},{"dropping-particle":"","family":"Yagi","given":"Takao","non-dropping-particle":"","parse-names":false,"suffix":""}],"container-title":"The Journal of biological chemistry","id":"ITEM-1","issue":"31","issued":{"date-parts":[["2004","7"]]},"language":"eng","page":"32360-32366","publisher-place":"United States","title":"Functional roles of four conserved charged residues in the membrane domain subunit  NuoA of the proton-translocating NADH-quinone oxidoreductase from Escherichia coli.","type":"article-journal","volume":"279"},"uris":["http://www.mendeley.com/documents/?uuid=5096c8f7-f745-4602-bb17-ba2ffc9e9c0b"]}],"mendeley":{"formattedCitation":"(Kao &lt;i&gt;et al&lt;/i&gt;, 2004)","plainTextFormattedCitation":"(Kao et al, 2004)","previouslyFormattedCitation":"(Kao &lt;i&gt;et al&lt;/i&gt;, 2004)"},"properties":{"noteIndex":0},"schema":"https://github.com/citation-style-language/schema/raw/master/csl-citation.json"}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(Kao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2004)</w:t>
            </w:r>
            <w:r w:rsidRPr="00E97FC1">
              <w:rPr>
                <w:rFonts w:ascii="Helvetica" w:hAnsi="Helvetica" w:cs="Helvetica"/>
                <w:b/>
                <w:bCs/>
                <w:sz w:val="16"/>
                <w:szCs w:val="20"/>
                <w:lang w:val="en-GB"/>
              </w:rPr>
              <w:fldChar w:fldCharType="end"/>
            </w:r>
          </w:p>
        </w:tc>
      </w:tr>
      <w:tr w:rsidR="002471A8" w:rsidRPr="00E97FC1" w14:paraId="6A757C49" w14:textId="77777777" w:rsidTr="002471A8">
        <w:trPr>
          <w:trHeight w:val="65"/>
        </w:trPr>
        <w:tc>
          <w:tcPr>
            <w:tcW w:w="1525" w:type="dxa"/>
          </w:tcPr>
          <w:p w14:paraId="0F0C645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D79N/E81Q</w:t>
            </w:r>
          </w:p>
        </w:tc>
        <w:tc>
          <w:tcPr>
            <w:tcW w:w="2340" w:type="dxa"/>
          </w:tcPr>
          <w:p w14:paraId="69713816" w14:textId="77777777" w:rsidR="002471A8" w:rsidRPr="00E97FC1" w:rsidRDefault="002471A8" w:rsidP="002471A8">
            <w:pPr>
              <w:rPr>
                <w:rFonts w:ascii="Helvetica" w:hAnsi="Helvetica" w:cs="Helvetica"/>
                <w:sz w:val="20"/>
                <w:szCs w:val="20"/>
                <w:lang w:val="en-GB"/>
              </w:rPr>
            </w:pPr>
          </w:p>
        </w:tc>
        <w:tc>
          <w:tcPr>
            <w:tcW w:w="1440" w:type="dxa"/>
          </w:tcPr>
          <w:p w14:paraId="37819AD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021D9401"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98%</w:t>
            </w:r>
          </w:p>
        </w:tc>
        <w:tc>
          <w:tcPr>
            <w:tcW w:w="1260" w:type="dxa"/>
          </w:tcPr>
          <w:p w14:paraId="43C3ADC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2-10%</w:t>
            </w:r>
          </w:p>
        </w:tc>
        <w:tc>
          <w:tcPr>
            <w:tcW w:w="1080" w:type="dxa"/>
          </w:tcPr>
          <w:p w14:paraId="44EF573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2CF26766" w14:textId="505A6277"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{"citationItems":[{"id":"ITEM-1","itemData":{"DOI":"10.1074/jbc.M403885200","ISSN":"0021-9258 (Print)","PMID":"15175326","abstract":"The H(+)(Na(+))-translocating NADH-quinone (Q) oxidoreductase (NDH-1) of Escherichia  coli is composed of 13 different subunits (NuoA-N). Subunit NuoA (ND3, Nqo7) is one of the seven membrane domain subunits that are considered to be involved in H(+)(Na(+)) translocation. We demonstrated that in the Paracoccus denitrificans NDH-1 subunit, Nqo7 (ND3) directly interacts with peripheral subunits Nqo6 (PSST) and Nqo4 (49 kDa) by using cross-linkers (Di Bernardo, S., and Yagi, T. (2001) FEBS Lett. 508, 385-388 and Kao, M.-C., Matsuno-Yagi, A., and Yagi, T. (2004) Biochemistry 43, 3750-3755). To investigate the structural and functional roles of conserved charged amino acid residues, a nuoA knock-out mutant and site-specific mutants K46A, E51A, D79N, D79A, E81Q, E81A, and D79N/E81Q were constructed by utilizing chromosomal DNA manipulation. In terms of immunochemical and NADH dehydrogenase activity-staining analyses, all site-specific mutants are similar to the wild type, suggesting that those NuoA site-specific mutations do not significantly affect the assembly of peripheral subunits in situ. In addition, site-specific mutants showed similar deamino-NADH-K(3)Fe(CN)(6) reductase activity to the wild type. The K46A mutation scarcely inhibited deamino-NADH-Q reductase activity. In contrast, E51A, D79A, D79N, E81A, and E81Q mutation partially suppressed deamino-NADH-Q reductase activity to 30, 90, 40, 40, and 50%, respectively. The double mutant D79N/E81Q almost completely lost the energy-transducing NDH-1 activities but did not display any loss of deamino-NADH-K(3)Fe(CN)(6) reductase activity. The possible functional roles of residues Asp-79 and Glu-81 were discussed.","author":[{"dropping-particle":"","family":"Kao","given":"Mou-Chieh","non-dropping-particle":"","parse-names":false,"suffix":""},{"dropping-particle":"","family":"Bernardo","given":"Salvatore","non-dropping-particle":"Di","parse-names":false,"suffix":""},{"dropping-particle":"","family":"Perego","given":"Marta","non-dropping-particle":"","parse-names":false,"suffix":""},{"dropping-particle":"","family":"Nakamaru-Ogiso","given":"Eiko","non-dropping-particle":"","parse-names":false,"suffix":""},{"dropping-particle":"","family":"Matsuno-Yagi","given":"Akemi","non-dropping-particle":"","parse-names":false,"suffix":""},{"dropping-particle":"","family":"Yagi","given":"Takao","non-dropping-particle":"","parse-names":false,"suffix":""}],"container-title":"The Journal of biological chemistry","id":"ITEM-1","issue":"31","issued":{"date-parts":[["2004","7"]]},"language":"eng","page":"32360-32366","publisher-place":"United States","title":"Functional roles of four conserved charged residues in the membrane domain subunit  NuoA of the proton-translocating NADH-quinone oxidoreductase from Escherichia coli.","type":"article-journal","volume":"279"},"uris":["http://www.mendeley.com/documents/?uuid=5096c8f7-f745-4602-bb17-ba2ffc9e9c0b"]}],"mendeley":{"formattedCitation":"(Kao &lt;i&gt;et al&lt;/i&gt;, 2004)","plainTextFormattedCitation":"(Kao et al, 2004)","previouslyFormattedCitation":"(Kao &lt;i&gt;et al&lt;/i&gt;, 2004)"},"properties":{"noteIndex":0},"schema":"https://github.com/citation-style-language/schema/raw/master/csl-citation.json"}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(Kao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2004)</w:t>
            </w:r>
            <w:r w:rsidRPr="00E97FC1">
              <w:rPr>
                <w:rFonts w:ascii="Helvetica" w:hAnsi="Helvetica" w:cs="Helvetica"/>
                <w:b/>
                <w:bCs/>
                <w:sz w:val="16"/>
                <w:szCs w:val="20"/>
                <w:lang w:val="en-GB"/>
              </w:rPr>
              <w:fldChar w:fldCharType="end"/>
            </w:r>
          </w:p>
        </w:tc>
      </w:tr>
      <w:tr w:rsidR="002471A8" w:rsidRPr="00E97FC1" w14:paraId="521AD25E" w14:textId="77777777" w:rsidTr="002471A8">
        <w:trPr>
          <w:trHeight w:val="65"/>
        </w:trPr>
        <w:tc>
          <w:tcPr>
            <w:tcW w:w="10075" w:type="dxa"/>
            <w:gridSpan w:val="7"/>
          </w:tcPr>
          <w:p w14:paraId="382DDA41" w14:textId="77777777" w:rsidR="002471A8" w:rsidRPr="00E97FC1" w:rsidRDefault="002471A8" w:rsidP="002471A8">
            <w:pPr>
              <w:rPr>
                <w:rFonts w:ascii="Helvetica" w:hAnsi="Helvetica" w:cs="Helvetica"/>
                <w:b/>
                <w:bCs/>
                <w:sz w:val="22"/>
                <w:lang w:val="en-GB"/>
              </w:rPr>
            </w:pPr>
            <w:r w:rsidRPr="00E97FC1">
              <w:rPr>
                <w:rFonts w:ascii="Helvetica" w:hAnsi="Helvetica" w:cs="Helvetica"/>
                <w:b/>
                <w:sz w:val="28"/>
                <w:lang w:val="en-GB"/>
              </w:rPr>
              <w:t>NuoJ</w:t>
            </w:r>
          </w:p>
        </w:tc>
      </w:tr>
      <w:tr w:rsidR="002471A8" w:rsidRPr="00E97FC1" w14:paraId="13602852" w14:textId="77777777" w:rsidTr="002471A8">
        <w:trPr>
          <w:trHeight w:val="65"/>
        </w:trPr>
        <w:tc>
          <w:tcPr>
            <w:tcW w:w="1525" w:type="dxa"/>
          </w:tcPr>
          <w:p w14:paraId="6A05496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Y59C</w:t>
            </w:r>
          </w:p>
        </w:tc>
        <w:tc>
          <w:tcPr>
            <w:tcW w:w="2340" w:type="dxa"/>
            <w:vMerge w:val="restart"/>
          </w:tcPr>
          <w:p w14:paraId="67DE95F0"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TM3, interface with NuoK</w:t>
            </w:r>
          </w:p>
        </w:tc>
        <w:tc>
          <w:tcPr>
            <w:tcW w:w="1440" w:type="dxa"/>
          </w:tcPr>
          <w:p w14:paraId="612B12F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4C848F50"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95%</w:t>
            </w:r>
          </w:p>
        </w:tc>
        <w:tc>
          <w:tcPr>
            <w:tcW w:w="1260" w:type="dxa"/>
          </w:tcPr>
          <w:p w14:paraId="147ABF4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57-93%</w:t>
            </w:r>
          </w:p>
        </w:tc>
        <w:tc>
          <w:tcPr>
            <w:tcW w:w="1080" w:type="dxa"/>
          </w:tcPr>
          <w:p w14:paraId="440846F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260" w:type="dxa"/>
          </w:tcPr>
          <w:p w14:paraId="0C96E1C6" w14:textId="3566FD8E"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{"citationItems":[{"id":"ITEM-1","itemData":{"DOI":"10.1021/bi0476477","ISSN":"0006-2960 (Print)","PMID":"15736965","abstract":"The ND6 subunit is one of seven mitochondrial DNA-encoded subunits of the  proton-translocating NADH-quinone oxidoreductase (complex I). Physiological importance of the ND6 subunit is becoming increasingly apparent because a number of mutations leading to amino acid changes in this subunit have been found to be associated with known mitochondrial diseases. Using the Escherichia coli enzyme (NDH-1), we have investigated the NuoJ subunit (the E. coli counterpart of ND6) by employing a chromosomal DNA manipulation technique. A series of point mutations was constructed directly on the nuoJ gene in the chromosome targeting at highly conserved residues. Analyses with blue-native gel electrophoresis and immunological methods revealed that, in all point mutants, the assembly of NDH-1 was normal and that the deamino-NADH-K(3)Fe(CN)(6) reductase activity of the membrane was essentially the same as that of the wild-type. However, energy-coupled NDH-1 activities were affected to varied extents. Among them, mutants of the Val-65 residue that is located in the most conserved transmembrane segment significantly lost the coupled electron-transfer activities and exhibited diminished membrane potential and proton translocation. This may suggest that Val-65 or the area around it is important for energy transduction of the coupling site 1. Together with the results on mutations related to human diseases, possible functional roles of the NuoJ subunit have been discussed.","author":[{"dropping-particle":"","family":"Kao","given":"Mou-Chieh","non-dropping-particle":"","parse-names":false,"suffix":""},{"dropping-particle":"","family":"Bernardo","given":"Salvatore","non-dropping-particle":"Di","parse-names":false,"suffix":""},{"dropping-particle":"","family":"Nakamaru-Ogiso","given":"Eiko","non-dropping-particle":"","parse-names":false,"suffix":""},{"dropping-particle":"","family":"Miyoshi","given":"Hideto","non-dropping-particle":"","parse-names":false,"suffix":""},{"dropping-particle":"","family":"Matsuno-Yagi","given":"Akemi","non-dropping-particle":"","parse-names":false,"suffix":""},{"dropping-particle":"","family":"Yagi","given":"Takao","non-dropping-particle":"","parse-names":false,"suffix":""}],"container-title":"Biochemistry","id":"ITEM-1","issue":"9","issued":{"date-parts":[["2005","3"]]},"language":"eng","page":"3562-3571","publisher-place":"United States","title":"Characterization of the membrane domain subunit NuoJ (ND6) of the NADH-quinone  oxidoreductase from Escherichia coli by chromosomal DNA manipulation.","type":"article-journal","volume":"44"},"uris":["http://www.mendeley.com/documents/?uuid=bf502dcd-c6ed-417b-995a-78149f743238"]},{"id":"ITEM-2","itemData":{"DOI":"10.1042/BJ20070866","ISSN":"1470-8728 (Electronic)","PMID":"17894548","abstract":"LHON (Leber hereditary optic neuropathy) is a maternally inherited disease that  leads to sudden loss of central vision at a young age. There are three common primary LHON mutations, occurring at positions 3460, 11778 and 14484 in the human mtDNA (mitochondrial DNA), leading to amino acid substitutions in mitochondrial complex I subunits ND1, ND4 and ND6 respectively. We have now examined the effects of ND6 mutations on the function of complex I using the homologous NuoJ subunit of Escherichia coli NDH-1 (NADH:quinone oxidoreductase) as a model system. The assembly level of the NDH-1 mutants was assessed using electron transfer from deamino-NADH to the 'shortcut' electron acceptor HAR (hexammine ruthenium), whereas ubiquinone reductase activity was determined using DB (decylubiquinone) as a substrate. Mutant growth in minimal medium with malate as the main carbon source was used for initial screening of the efficiency of energy conservation by NDH-1. The results indicated that NuoJ-M64V, the equivalent of the common LHON mutation in ND6, had a mild effect on E. coli NDH-1 activity, while nearby mutations, particularly NuoJ-Y59F, NuoJ-V65G and NuoJ-M72V, severely impaired the DB reduction rate and cell growth on malate. NuoJ-Met64 and NuoJ-Met72 position mutants lowered the affinity of NDH-1 for DB and explicit C-type inhibitors, whereas NuoJ-Y59C displayed substrate inhibition by oxidized DB. The results are compatible with the notion that the ND6 subunit delineates the binding cavity of ubiquinone substrate, but does not directly take part in the catalytic reaction. How these changes in the enzyme's catalytic properties contribute to LHON pathogenesis is discussed.","author":[{"dropping-particle":"","family":"Pätsi","given":"Jukka","non-dropping-particle":"","parse-names":false,"suffix":""},{"dropping-particle":"","family":"Kervinen","given":"Marko","non-dropping-particle":"","parse-names":false,"suffix":""},{"dropping-particle":"","family":"Finel","given":"Moshe","non-dropping-particle":"","parse-names":false,"suffix":""},{"dropping-particle":"","family":"Hassinen","given":"Ilmo E","non-dropping-particle":"","parse-names":false,"suffix":""}],"container-title":"The Biochemical journal","id":"ITEM-2","issue":"1","issued":{"date-parts":[["2008","1"]]},"language":"eng","page":"129-137","publisher-place":"England","title":"Leber hereditary optic neuropathy mutations in the ND6 subunit of mitochondrial  complex I affect ubiquinone reduction kinetics in a bacterial model of the enzyme.","type":"article-journal","volume":"409"},"uris":["http://www.mendeley.com/documents/?uuid=a9521850-0a1b-4441-86e8-30b95e5d7124"]}],"mendeley":{"formattedCitation":"(Kao &lt;i&gt;et al&lt;/i&gt;, 2005a; Pätsi &lt;i&gt;et al&lt;/i&gt;, 2008)","plainTextFormattedCitation":"(Kao et al, 2005a; Pätsi et al, 2008)","previouslyFormattedCitation":"(Kao &lt;i&gt;et al&lt;/i&gt;, 2005a; Pätsi &lt;i&gt;et al&lt;/i&gt;, 2008)"},"properties":{"noteIndex":0},"schema":"https://github.com/citation-style-language/schema/raw/master/csl-citation.json"}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(Kao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xml:space="preserve">, 2005a; Pätsi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2008)</w:t>
            </w:r>
            <w:r w:rsidRPr="00E97FC1">
              <w:rPr>
                <w:rFonts w:ascii="Helvetica" w:hAnsi="Helvetica" w:cs="Helvetica"/>
                <w:b/>
                <w:bCs/>
                <w:sz w:val="16"/>
                <w:szCs w:val="20"/>
                <w:lang w:val="en-GB"/>
              </w:rPr>
              <w:fldChar w:fldCharType="end"/>
            </w:r>
          </w:p>
        </w:tc>
      </w:tr>
      <w:tr w:rsidR="002471A8" w:rsidRPr="00E97FC1" w14:paraId="4F4F1BAF" w14:textId="77777777" w:rsidTr="002471A8">
        <w:trPr>
          <w:trHeight w:val="65"/>
        </w:trPr>
        <w:tc>
          <w:tcPr>
            <w:tcW w:w="1525" w:type="dxa"/>
          </w:tcPr>
          <w:p w14:paraId="6AF79EE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Y59F</w:t>
            </w:r>
          </w:p>
        </w:tc>
        <w:tc>
          <w:tcPr>
            <w:tcW w:w="2340" w:type="dxa"/>
            <w:vMerge/>
          </w:tcPr>
          <w:p w14:paraId="38976725" w14:textId="77777777" w:rsidR="002471A8" w:rsidRPr="00E97FC1" w:rsidRDefault="002471A8" w:rsidP="002471A8">
            <w:pPr>
              <w:rPr>
                <w:rFonts w:ascii="Helvetica" w:hAnsi="Helvetica" w:cs="Helvetica"/>
                <w:sz w:val="20"/>
                <w:szCs w:val="20"/>
                <w:lang w:val="en-GB"/>
              </w:rPr>
            </w:pPr>
          </w:p>
        </w:tc>
        <w:tc>
          <w:tcPr>
            <w:tcW w:w="1440" w:type="dxa"/>
          </w:tcPr>
          <w:p w14:paraId="235CD9E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3C1F1B4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102%</w:t>
            </w:r>
          </w:p>
        </w:tc>
        <w:tc>
          <w:tcPr>
            <w:tcW w:w="1260" w:type="dxa"/>
          </w:tcPr>
          <w:p w14:paraId="10662F6A"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44-50%</w:t>
            </w:r>
          </w:p>
        </w:tc>
        <w:tc>
          <w:tcPr>
            <w:tcW w:w="1080" w:type="dxa"/>
          </w:tcPr>
          <w:p w14:paraId="3B35A6F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260" w:type="dxa"/>
          </w:tcPr>
          <w:p w14:paraId="145300B7" w14:textId="6F8AD614"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{"citationItems":[{"id":"ITEM-1","itemData":{"DOI":"10.1021/bi0476477","ISSN":"0006-2960 (Print)","PMID":"15736965","abstract":"The ND6 subunit is one of seven mitochondrial DNA-encoded subunits of the  proton-translocating NADH-quinone oxidoreductase (complex I). Physiological importance of the ND6 subunit is becoming increasingly apparent because a number of mutations leading to amino acid changes in this subunit have been found to be associated with known mitochondrial diseases. Using the Escherichia coli enzyme (NDH-1), we have investigated the NuoJ subunit (the E. coli counterpart of ND6) by employing a chromosomal DNA manipulation technique. A series of point mutations was constructed directly on the nuoJ gene in the chromosome targeting at highly conserved residues. Analyses with blue-native gel electrophoresis and immunological methods revealed that, in all point mutants, the assembly of NDH-1 was normal and that the deamino-NADH-K(3)Fe(CN)(6) reductase activity of the membrane was essentially the same as that of the wild-type. However, energy-coupled NDH-1 activities were affected to varied extents. Among them, mutants of the Val-65 residue that is located in the most conserved transmembrane segment significantly lost the coupled electron-transfer activities and exhibited diminished membrane potential and proton translocation. This may suggest that Val-65 or the area around it is important for energy transduction of the coupling site 1. Together with the results on mutations related to human diseases, possible functional roles of the NuoJ subunit have been discussed.","author":[{"dropping-particle":"","family":"Kao","given":"Mou-Chieh","non-dropping-particle":"","parse-names":false,"suffix":""},{"dropping-particle":"","family":"Bernardo","given":"Salvatore","non-dropping-particle":"Di","parse-names":false,"suffix":""},{"dropping-particle":"","family":"Nakamaru-Ogiso","given":"Eiko","non-dropping-particle":"","parse-names":false,"suffix":""},{"dropping-particle":"","family":"Miyoshi","given":"Hideto","non-dropping-particle":"","parse-names":false,"suffix":""},{"dropping-particle":"","family":"Matsuno-Yagi","given":"Akemi","non-dropping-particle":"","parse-names":false,"suffix":""},{"dropping-particle":"","family":"Yagi","given":"Takao","non-dropping-particle":"","parse-names":false,"suffix":""}],"container-title":"Biochemistry","id":"ITEM-1","issue":"9","issued":{"date-parts":[["2005","3"]]},"language":"eng","page":"3562-3571","publisher-place":"United States","title":"Characterization of the membrane domain subunit NuoJ (ND6) of the NADH-quinone  oxidoreductase from Escherichia coli by chromosomal DNA manipulation.","type":"article-journal","volume":"44"},"uris":["http://www.mendeley.com/documents/?uuid=bf502dcd-c6ed-417b-995a-78149f743238"]},{"id":"ITEM-2","itemData":{"DOI":"10.1042/BJ20070866","ISSN":"1470-8728 (Electronic)","PMID":"17894548","abstract":"LHON (Leber hereditary optic neuropathy) is a maternally inherited disease that  leads to sudden loss of central vision at a young age. There are three common primary LHON mutations, occurring at positions 3460, 11778 and 14484 in the human mtDNA (mitochondrial DNA), leading to amino acid substitutions in mitochondrial complex I subunits ND1, ND4 and ND6 respectively. We have now examined the effects of ND6 mutations on the function of complex I using the homologous NuoJ subunit of Escherichia coli NDH-1 (NADH:quinone oxidoreductase) as a model system. The assembly level of the NDH-1 mutants was assessed using electron transfer from deamino-NADH to the 'shortcut' electron acceptor HAR (hexammine ruthenium), whereas ubiquinone reductase activity was determined using DB (decylubiquinone) as a substrate. Mutant growth in minimal medium with malate as the main carbon source was used for initial screening of the efficiency of energy conservation by NDH-1. The results indicated that NuoJ-M64V, the equivalent of the common LHON mutation in ND6, had a mild effect on E. coli NDH-1 activity, while nearby mutations, particularly NuoJ-Y59F, NuoJ-V65G and NuoJ-M72V, severely impaired the DB reduction rate and cell growth on malate. NuoJ-Met64 and NuoJ-Met72 position mutants lowered the affinity of NDH-1 for DB and explicit C-type inhibitors, whereas NuoJ-Y59C displayed substrate inhibition by oxidized DB. The results are compatible with the notion that the ND6 subunit delineates the binding cavity of ubiquinone substrate, but does not directly take part in the catalytic reaction. How these changes in the enzyme's catalytic properties contribute to LHON pathogenesis is discussed.","author":[{"dropping-particle":"","family":"Pätsi","given":"Jukka","non-dropping-particle":"","parse-names":false,"suffix":""},{"dropping-particle":"","family":"Kervinen","given":"Marko","non-dropping-particle":"","parse-names":false,"suffix":""},{"dropping-particle":"","family":"Finel","given":"Moshe","non-dropping-particle":"","parse-names":false,"suffix":""},{"dropping-particle":"","family":"Hassinen","given":"Ilmo E","non-dropping-particle":"","parse-names":false,"suffix":""}],"container-title":"The Biochemical journal","id":"ITEM-2","issue":"1","issued":{"date-parts":[["2008","1"]]},"language":"eng","page":"129-137","publisher-place":"England","title":"Leber hereditary optic neuropathy mutations in the ND6 subunit of mitochondrial  complex I affect ubiquinone reduction kinetics in a bacterial model of the enzyme.","type":"article-journal","volume":"409"},"uris":["http://www.mendeley.com/documents/?uuid=a9521850-0a1b-4441-86e8-30b95e5d7124"]}],"mendeley":{"formattedCitation":"(Kao &lt;i&gt;et al&lt;/i&gt;, 2005a; Pätsi &lt;i&gt;et al&lt;/i&gt;, 2008)","plainTextFormattedCitation":"(Kao et al, 2005a; Pätsi et al, 2008)","previouslyFormattedCitation":"(Kao &lt;i&gt;et al&lt;/i&gt;, 2005a; Pätsi &lt;i&gt;et al&lt;/i&gt;, 2008)"},"properties":{"noteIndex":0},"schema":"https://github.com/citation-style-language/schema/raw/master/csl-citation.json"}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(Kao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xml:space="preserve">, 2005a; Pätsi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2008)</w:t>
            </w:r>
            <w:r w:rsidRPr="00E97FC1">
              <w:rPr>
                <w:rFonts w:ascii="Helvetica" w:hAnsi="Helvetica" w:cs="Helvetica"/>
                <w:b/>
                <w:bCs/>
                <w:sz w:val="16"/>
                <w:szCs w:val="20"/>
                <w:lang w:val="en-GB"/>
              </w:rPr>
              <w:fldChar w:fldCharType="end"/>
            </w:r>
          </w:p>
        </w:tc>
      </w:tr>
      <w:tr w:rsidR="002471A8" w:rsidRPr="00E97FC1" w14:paraId="6C426B07" w14:textId="77777777" w:rsidTr="002471A8">
        <w:trPr>
          <w:trHeight w:val="65"/>
        </w:trPr>
        <w:tc>
          <w:tcPr>
            <w:tcW w:w="1525" w:type="dxa"/>
          </w:tcPr>
          <w:p w14:paraId="28E5F30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G61V</w:t>
            </w:r>
          </w:p>
        </w:tc>
        <w:tc>
          <w:tcPr>
            <w:tcW w:w="2340" w:type="dxa"/>
            <w:vMerge w:val="restart"/>
          </w:tcPr>
          <w:p w14:paraId="18A9F179"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TM3 kink, interface with NuoA</w:t>
            </w:r>
          </w:p>
        </w:tc>
        <w:tc>
          <w:tcPr>
            <w:tcW w:w="1440" w:type="dxa"/>
          </w:tcPr>
          <w:p w14:paraId="4AA167D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2D1904B0"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99%</w:t>
            </w:r>
          </w:p>
        </w:tc>
        <w:tc>
          <w:tcPr>
            <w:tcW w:w="1260" w:type="dxa"/>
          </w:tcPr>
          <w:p w14:paraId="33D5912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48-53%</w:t>
            </w:r>
          </w:p>
        </w:tc>
        <w:tc>
          <w:tcPr>
            <w:tcW w:w="1080" w:type="dxa"/>
          </w:tcPr>
          <w:p w14:paraId="232E6E5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260" w:type="dxa"/>
          </w:tcPr>
          <w:p w14:paraId="474CE6E3" w14:textId="03635A6A"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{"citationItems":[{"id":"ITEM-1","itemData":{"DOI":"10.1021/bi0476477","ISSN":"0006-2960 (Print)","PMID":"15736965","abstract":"The ND6 subunit is one of seven mitochondrial DNA-encoded subunits of the  proton-translocating NADH-quinone oxidoreductase (complex I). Physiological importance of the ND6 subunit is becoming increasingly apparent because a number of mutations leading to amino acid changes in this subunit have been found to be associated with known mitochondrial diseases. Using the Escherichia coli enzyme (NDH-1), we have investigated the NuoJ subunit (the E. coli counterpart of ND6) by employing a chromosomal DNA manipulation technique. A series of point mutations was constructed directly on the nuoJ gene in the chromosome targeting at highly conserved residues. Analyses with blue-native gel electrophoresis and immunological methods revealed that, in all point mutants, the assembly of NDH-1 was normal and that the deamino-NADH-K(3)Fe(CN)(6) reductase activity of the membrane was essentially the same as that of the wild-type. However, energy-coupled NDH-1 activities were affected to varied extents. Among them, mutants of the Val-65 residue that is located in the most conserved transmembrane segment significantly lost the coupled electron-transfer activities and exhibited diminished membrane potential and proton translocation. This may suggest that Val-65 or the area around it is important for energy transduction of the coupling site 1. Together with the results on mutations related to human diseases, possible functional roles of the NuoJ subunit have been discussed.","author":[{"dropping-particle":"","family":"Kao","given":"Mou-Chieh","non-dropping-particle":"","parse-names":false,"suffix":""},{"dropping-particle":"","family":"Bernardo","given":"Salvatore","non-dropping-particle":"Di","parse-names":false,"suffix":""},{"dropping-particle":"","family":"Nakamaru-Ogiso","given":"Eiko","non-dropping-particle":"","parse-names":false,"suffix":""},{"dropping-particle":"","family":"Miyoshi","given":"Hideto","non-dropping-particle":"","parse-names":false,"suffix":""},{"dropping-particle":"","family":"Matsuno-Yagi","given":"Akemi","non-dropping-particle":"","parse-names":false,"suffix":""},{"dropping-particle":"","family":"Yagi","given":"Takao","non-dropping-particle":"","parse-names":false,"suffix":""}],"container-title":"Biochemistry","id":"ITEM-1","issue":"9","issued":{"date-parts":[["2005","3"]]},"language":"eng","page":"3562-3571","publisher-place":"United States","title":"Characterization of the membrane domain subunit NuoJ (ND6) of the NADH-quinone  oxidoreductase from Escherichia coli by chromosomal DNA manipulation.","type":"article-journal","volume":"44"},"uris":["http://www.mendeley.com/documents/?uuid=bf502dcd-c6ed-417b-995a-78149f743238"]}],"mendeley":{"formattedCitation":"(Kao &lt;i&gt;et al&lt;/i&gt;, 2005a)","plainTextFormattedCitation":"(Kao et al, 2005a)","previouslyFormattedCitation":"(Kao &lt;i&gt;et al&lt;/i&gt;, 2005a)"},"properties":{"noteIndex":0},"schema":"https://github.com/citation-style-language/schema/raw/master/csl-citation.json"}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(Kao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2005a)</w:t>
            </w:r>
            <w:r w:rsidRPr="00E97FC1">
              <w:rPr>
                <w:rFonts w:ascii="Helvetica" w:hAnsi="Helvetica" w:cs="Helvetica"/>
                <w:b/>
                <w:bCs/>
                <w:sz w:val="16"/>
                <w:szCs w:val="20"/>
                <w:lang w:val="en-GB"/>
              </w:rPr>
              <w:fldChar w:fldCharType="end"/>
            </w:r>
          </w:p>
        </w:tc>
      </w:tr>
      <w:tr w:rsidR="002471A8" w:rsidRPr="00E97FC1" w14:paraId="053D0F05" w14:textId="77777777" w:rsidTr="002471A8">
        <w:trPr>
          <w:trHeight w:val="65"/>
        </w:trPr>
        <w:tc>
          <w:tcPr>
            <w:tcW w:w="1525" w:type="dxa"/>
          </w:tcPr>
          <w:p w14:paraId="4B10E03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G61L</w:t>
            </w:r>
          </w:p>
        </w:tc>
        <w:tc>
          <w:tcPr>
            <w:tcW w:w="2340" w:type="dxa"/>
            <w:vMerge/>
          </w:tcPr>
          <w:p w14:paraId="6176240C" w14:textId="77777777" w:rsidR="002471A8" w:rsidRPr="00E97FC1" w:rsidRDefault="002471A8" w:rsidP="002471A8">
            <w:pPr>
              <w:rPr>
                <w:rFonts w:ascii="Helvetica" w:hAnsi="Helvetica" w:cs="Helvetica"/>
                <w:sz w:val="20"/>
                <w:szCs w:val="20"/>
                <w:lang w:val="en-GB"/>
              </w:rPr>
            </w:pPr>
          </w:p>
        </w:tc>
        <w:tc>
          <w:tcPr>
            <w:tcW w:w="1440" w:type="dxa"/>
          </w:tcPr>
          <w:p w14:paraId="0C51D58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3A7A38F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98%</w:t>
            </w:r>
          </w:p>
        </w:tc>
        <w:tc>
          <w:tcPr>
            <w:tcW w:w="1260" w:type="dxa"/>
          </w:tcPr>
          <w:p w14:paraId="7DE9600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69-72%</w:t>
            </w:r>
          </w:p>
        </w:tc>
        <w:tc>
          <w:tcPr>
            <w:tcW w:w="1080" w:type="dxa"/>
          </w:tcPr>
          <w:p w14:paraId="7D15109A"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260" w:type="dxa"/>
          </w:tcPr>
          <w:p w14:paraId="2C2AE918" w14:textId="427A910C"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{"citationItems":[{"id":"ITEM-1","itemData":{"DOI":"10.1021/bi0476477","ISSN":"0006-2960 (Print)","PMID":"15736965","abstract":"The ND6 subunit is one of seven mitochondrial DNA-encoded subunits of the  proton-translocating NADH-quinone oxidoreductase (complex I). Physiological importance of the ND6 subunit is becoming increasingly apparent because a number of mutations leading to amino acid changes in this subunit have been found to be associated with known mitochondrial diseases. Using the Escherichia coli enzyme (NDH-1), we have investigated the NuoJ subunit (the E. coli counterpart of ND6) by employing a chromosomal DNA manipulation technique. A series of point mutations was constructed directly on the nuoJ gene in the chromosome targeting at highly conserved residues. Analyses with blue-native gel electrophoresis and immunological methods revealed that, in all point mutants, the assembly of NDH-1 was normal and that the deamino-NADH-K(3)Fe(CN)(6) reductase activity of the membrane was essentially the same as that of the wild-type. However, energy-coupled NDH-1 activities were affected to varied extents. Among them, mutants of the Val-65 residue that is located in the most conserved transmembrane segment significantly lost the coupled electron-transfer activities and exhibited diminished membrane potential and proton translocation. This may suggest that Val-65 or the area around it is important for energy transduction of the coupling site 1. Together with the results on mutations related to human diseases, possible functional roles of the NuoJ subunit have been discussed.","author":[{"dropping-particle":"","family":"Kao","given":"Mou-Chieh","non-dropping-particle":"","parse-names":false,"suffix":""},{"dropping-particle":"","family":"Bernardo","given":"Salvatore","non-dropping-particle":"Di","parse-names":false,"suffix":""},{"dropping-particle":"","family":"Nakamaru-Ogiso","given":"Eiko","non-dropping-particle":"","parse-names":false,"suffix":""},{"dropping-particle":"","family":"Miyoshi","given":"Hideto","non-dropping-particle":"","parse-names":false,"suffix":""},{"dropping-particle":"","family":"Matsuno-Yagi","given":"Akemi","non-dropping-particle":"","parse-names":false,"suffix":""},{"dropping-particle":"","family":"Yagi","given":"Takao","non-dropping-particle":"","parse-names":false,"suffix":""}],"container-title":"Biochemistry","id":"ITEM-1","issue":"9","issued":{"date-parts":[["2005","3"]]},"language":"eng","page":"3562-3571","publisher-place":"United States","title":"Characterization of the membrane domain subunit NuoJ (ND6) of the NADH-quinone  oxidoreductase from Escherichia coli by chromosomal DNA manipulation.","type":"article-journal","volume":"44"},"uris":["http://www.mendeley.com/documents/?uuid=bf502dcd-c6ed-417b-995a-78149f743238"]}],"mendeley":{"formattedCitation":"(Kao &lt;i&gt;et al&lt;/i&gt;, 2005a)","plainTextFormattedCitation":"(Kao et al, 2005a)","previouslyFormattedCitation":"(Kao &lt;i&gt;et al&lt;/i&gt;, 2005a)"},"properties":{"noteIndex":0},"schema":"https://github.com/citation-style-language/schema/raw/master/csl-citation.json"}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(Kao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2005a)</w:t>
            </w:r>
            <w:r w:rsidRPr="00E97FC1">
              <w:rPr>
                <w:rFonts w:ascii="Helvetica" w:hAnsi="Helvetica" w:cs="Helvetica"/>
                <w:b/>
                <w:bCs/>
                <w:sz w:val="16"/>
                <w:szCs w:val="20"/>
                <w:lang w:val="en-GB"/>
              </w:rPr>
              <w:fldChar w:fldCharType="end"/>
            </w:r>
          </w:p>
        </w:tc>
      </w:tr>
      <w:tr w:rsidR="002471A8" w:rsidRPr="00E97FC1" w14:paraId="6DAFE867" w14:textId="77777777" w:rsidTr="002471A8">
        <w:trPr>
          <w:trHeight w:val="65"/>
        </w:trPr>
        <w:tc>
          <w:tcPr>
            <w:tcW w:w="1525" w:type="dxa"/>
          </w:tcPr>
          <w:p w14:paraId="1275E95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lastRenderedPageBreak/>
              <w:t>M64V</w:t>
            </w:r>
          </w:p>
        </w:tc>
        <w:tc>
          <w:tcPr>
            <w:tcW w:w="2340" w:type="dxa"/>
            <w:vMerge w:val="restart"/>
          </w:tcPr>
          <w:p w14:paraId="5086779D"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TM3</w:t>
            </w:r>
          </w:p>
        </w:tc>
        <w:tc>
          <w:tcPr>
            <w:tcW w:w="1440" w:type="dxa"/>
          </w:tcPr>
          <w:p w14:paraId="51A7B24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296F2B61"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96%</w:t>
            </w:r>
          </w:p>
        </w:tc>
        <w:tc>
          <w:tcPr>
            <w:tcW w:w="1260" w:type="dxa"/>
          </w:tcPr>
          <w:p w14:paraId="28DFFD0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78-89%</w:t>
            </w:r>
          </w:p>
        </w:tc>
        <w:tc>
          <w:tcPr>
            <w:tcW w:w="1080" w:type="dxa"/>
          </w:tcPr>
          <w:p w14:paraId="33FBF39A"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60%</w:t>
            </w:r>
          </w:p>
        </w:tc>
        <w:tc>
          <w:tcPr>
            <w:tcW w:w="1260" w:type="dxa"/>
          </w:tcPr>
          <w:p w14:paraId="63BD3BE7" w14:textId="75B6CD34"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{"citationItems":[{"id":"ITEM-1","itemData":{"DOI":"10.1021/bi0476477","ISSN":"0006-2960 (Print)","PMID":"15736965","abstract":"The ND6 subunit is one of seven mitochondrial DNA-encoded subunits of the  proton-translocating NADH-quinone oxidoreductase (complex I). Physiological importance of the ND6 subunit is becoming increasingly apparent because a number of mutations leading to amino acid changes in this subunit have been found to be associated with known mitochondrial diseases. Using the Escherichia coli enzyme (NDH-1), we have investigated the NuoJ subunit (the E. coli counterpart of ND6) by employing a chromosomal DNA manipulation technique. A series of point mutations was constructed directly on the nuoJ gene in the chromosome targeting at highly conserved residues. Analyses with blue-native gel electrophoresis and immunological methods revealed that, in all point mutants, the assembly of NDH-1 was normal and that the deamino-NADH-K(3)Fe(CN)(6) reductase activity of the membrane was essentially the same as that of the wild-type. However, energy-coupled NDH-1 activities were affected to varied extents. Among them, mutants of the Val-65 residue that is located in the most conserved transmembrane segment significantly lost the coupled electron-transfer activities and exhibited diminished membrane potential and proton translocation. This may suggest that Val-65 or the area around it is important for energy transduction of the coupling site 1. Together with the results on mutations related to human diseases, possible functional roles of the NuoJ subunit have been discussed.","author":[{"dropping-particle":"","family":"Kao","given":"Mou-Chieh","non-dropping-particle":"","parse-names":false,"suffix":""},{"dropping-particle":"","family":"Bernardo","given":"Salvatore","non-dropping-particle":"Di","parse-names":false,"suffix":""},{"dropping-particle":"","family":"Nakamaru-Ogiso","given":"Eiko","non-dropping-particle":"","parse-names":false,"suffix":""},{"dropping-particle":"","family":"Miyoshi","given":"Hideto","non-dropping-particle":"","parse-names":false,"suffix":""},{"dropping-particle":"","family":"Matsuno-Yagi","given":"Akemi","non-dropping-particle":"","parse-names":false,"suffix":""},{"dropping-particle":"","family":"Yagi","given":"Takao","non-dropping-particle":"","parse-names":false,"suffix":""}],"container-title":"Biochemistry","id":"ITEM-1","issue":"9","issued":{"date-parts":[["2005","3"]]},"language":"eng","page":"3562-3571","publisher-place":"United States","title":"Characterization of the membrane domain subunit NuoJ (ND6) of the NADH-quinone  oxidoreductase from Escherichia coli by chromosomal DNA manipulation.","type":"article-journal","volume":"44"},"uris":["http://www.mendeley.com/documents/?uuid=bf502dcd-c6ed-417b-995a-78149f743238"]},{"id":"ITEM-2","itemData":{"DOI":"10.1042/BJ20070866","ISSN":"1470-8728 (Electronic)","PMID":"17894548","abstract":"LHON (Leber hereditary optic neuropathy) is a maternally inherited disease that  leads to sudden loss of central vision at a young age. There are three common primary LHON mutations, occurring at positions 3460, 11778 and 14484 in the human mtDNA (mitochondrial DNA), leading to amino acid substitutions in mitochondrial complex I subunits ND1, ND4 and ND6 respectively. We have now examined the effects of ND6 mutations on the function of complex I using the homologous NuoJ subunit of Escherichia coli NDH-1 (NADH:quinone oxidoreductase) as a model system. The assembly level of the NDH-1 mutants was assessed using electron transfer from deamino-NADH to the 'shortcut' electron acceptor HAR (hexammine ruthenium), whereas ubiquinone reductase activity was determined using DB (decylubiquinone) as a substrate. Mutant growth in minimal medium with malate as the main carbon source was used for initial screening of the efficiency of energy conservation by NDH-1. The results indicated that NuoJ-M64V, the equivalent of the common LHON mutation in ND6, had a mild effect on E. coli NDH-1 activity, while nearby mutations, particularly NuoJ-Y59F, NuoJ-V65G and NuoJ-M72V, severely impaired the DB reduction rate and cell growth on malate. NuoJ-Met64 and NuoJ-Met72 position mutants lowered the affinity of NDH-1 for DB and explicit C-type inhibitors, whereas NuoJ-Y59C displayed substrate inhibition by oxidized DB. The results are compatible with the notion that the ND6 subunit delineates the binding cavity of ubiquinone substrate, but does not directly take part in the catalytic reaction. How these changes in the enzyme's catalytic properties contribute to LHON pathogenesis is discussed.","author":[{"dropping-particle":"","family":"Pätsi","given":"Jukka","non-dropping-particle":"","parse-names":false,"suffix":""},{"dropping-particle":"","family":"Kervinen","given":"Marko","non-dropping-particle":"","parse-names":false,"suffix":""},{"dropping-particle":"","family":"Finel","given":"Moshe","non-dropping-particle":"","parse-names":false,"suffix":""},{"dropping-particle":"","family":"Hassinen","given":"Ilmo E","non-dropping-particle":"","parse-names":false,"suffix":""}],"container-title":"The Biochemical journal","id":"ITEM-2","issue":"1","issued":{"date-parts":[["2008","1"]]},"language":"eng","page":"129-137","publisher-place":"England","title":"Leber hereditary optic neuropathy mutations in the ND6 subunit of mitochondrial  complex I affect ubiquinone reduction kinetics in a bacterial model of the enzyme.","type":"article-journal","volume":"409"},"uris":["http://www.mendeley.com/documents/?uuid=a9521850-0a1b-4441-86e8-30b95e5d7124"]}],"mendeley":{"formattedCitation":"(Kao &lt;i&gt;et al&lt;/i&gt;, 2005a; Pätsi &lt;i&gt;et al&lt;/i&gt;, 2008)","plainTextFormattedCitation":"(Kao et al, 2005a; Pätsi et al, 2008)","previouslyFormattedCitation":"(Kao &lt;i&gt;et al&lt;/i&gt;, 2005a; Pätsi &lt;i&gt;et al&lt;/i&gt;, 2008)"},"properties":{"noteIndex":0},"schema":"https://github.com/citation-style-language/schema/raw/master/csl-citation.json"}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(Kao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xml:space="preserve">, 2005a; Pätsi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2008)</w:t>
            </w:r>
            <w:r w:rsidRPr="00E97FC1">
              <w:rPr>
                <w:rFonts w:ascii="Helvetica" w:hAnsi="Helvetica" w:cs="Helvetica"/>
                <w:b/>
                <w:bCs/>
                <w:sz w:val="16"/>
                <w:szCs w:val="20"/>
                <w:lang w:val="en-GB"/>
              </w:rPr>
              <w:fldChar w:fldCharType="end"/>
            </w:r>
          </w:p>
        </w:tc>
      </w:tr>
      <w:tr w:rsidR="002471A8" w:rsidRPr="00E97FC1" w14:paraId="155F0E15" w14:textId="77777777" w:rsidTr="002471A8">
        <w:trPr>
          <w:trHeight w:val="65"/>
        </w:trPr>
        <w:tc>
          <w:tcPr>
            <w:tcW w:w="1525" w:type="dxa"/>
          </w:tcPr>
          <w:p w14:paraId="1073AF4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M64C</w:t>
            </w:r>
          </w:p>
        </w:tc>
        <w:tc>
          <w:tcPr>
            <w:tcW w:w="2340" w:type="dxa"/>
            <w:vMerge/>
          </w:tcPr>
          <w:p w14:paraId="41190ECA" w14:textId="77777777" w:rsidR="002471A8" w:rsidRPr="00E97FC1" w:rsidRDefault="002471A8" w:rsidP="002471A8">
            <w:pPr>
              <w:rPr>
                <w:rFonts w:ascii="Helvetica" w:hAnsi="Helvetica" w:cs="Helvetica"/>
                <w:sz w:val="20"/>
                <w:szCs w:val="20"/>
                <w:lang w:val="en-GB"/>
              </w:rPr>
            </w:pPr>
          </w:p>
        </w:tc>
        <w:tc>
          <w:tcPr>
            <w:tcW w:w="1440" w:type="dxa"/>
          </w:tcPr>
          <w:p w14:paraId="795931D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6DDA433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105%</w:t>
            </w:r>
          </w:p>
        </w:tc>
        <w:tc>
          <w:tcPr>
            <w:tcW w:w="1260" w:type="dxa"/>
          </w:tcPr>
          <w:p w14:paraId="6950CE9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47%</w:t>
            </w:r>
          </w:p>
        </w:tc>
        <w:tc>
          <w:tcPr>
            <w:tcW w:w="1080" w:type="dxa"/>
          </w:tcPr>
          <w:p w14:paraId="5C13948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76361F63" w14:textId="46AFFCC9"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{"citationItems":[{"id":"ITEM-1","itemData":{"DOI":"10.1042/BJ20070866","ISSN":"1470-8728 (Electronic)","PMID":"17894548","abstract":"LHON (Leber hereditary optic neuropathy) is a maternally inherited disease that  leads to sudden loss of central vision at a young age. There are three common primary LHON mutations, occurring at positions 3460, 11778 and 14484 in the human mtDNA (mitochondrial DNA), leading to amino acid substitutions in mitochondrial complex I subunits ND1, ND4 and ND6 respectively. We have now examined the effects of ND6 mutations on the function of complex I using the homologous NuoJ subunit of Escherichia coli NDH-1 (NADH:quinone oxidoreductase) as a model system. The assembly level of the NDH-1 mutants was assessed using electron transfer from deamino-NADH to the 'shortcut' electron acceptor HAR (hexammine ruthenium), whereas ubiquinone reductase activity was determined using DB (decylubiquinone) as a substrate. Mutant growth in minimal medium with malate as the main carbon source was used for initial screening of the efficiency of energy conservation by NDH-1. The results indicated that NuoJ-M64V, the equivalent of the common LHON mutation in ND6, had a mild effect on E. coli NDH-1 activity, while nearby mutations, particularly NuoJ-Y59F, NuoJ-V65G and NuoJ-M72V, severely impaired the DB reduction rate and cell growth on malate. NuoJ-Met64 and NuoJ-Met72 position mutants lowered the affinity of NDH-1 for DB and explicit C-type inhibitors, whereas NuoJ-Y59C displayed substrate inhibition by oxidized DB. The results are compatible with the notion that the ND6 subunit delineates the binding cavity of ubiquinone substrate, but does not directly take part in the catalytic reaction. How these changes in the enzyme's catalytic properties contribute to LHON pathogenesis is discussed.","author":[{"dropping-particle":"","family":"Pätsi","given":"Jukka","non-dropping-particle":"","parse-names":false,"suffix":""},{"dropping-particle":"","family":"Kervinen","given":"Marko","non-dropping-particle":"","parse-names":false,"suffix":""},{"dropping-particle":"","family":"Finel","given":"Moshe","non-dropping-particle":"","parse-names":false,"suffix":""},{"dropping-particle":"","family":"Hassinen","given":"Ilmo E","non-dropping-particle":"","parse-names":false,"suffix":""}],"container-title":"The Biochemical journal","id":"ITEM-1","issue":"1","issued":{"date-parts":[["2008","1"]]},"language":"eng","page":"129-137","publisher-place":"England","title":"Leber hereditary optic neuropathy mutations in the ND6 subunit of mitochondrial  complex I affect ubiquinone reduction kinetics in a bacterial model of the enzyme.","type":"article-journal","volume":"409"},"uris":["http://www.mendeley.com/documents/?uuid=a9521850-0a1b-4441-86e8-30b95e5d7124"]}],"mendeley":{"formattedCitation":"(Pätsi &lt;i&gt;et al&lt;/i&gt;, 2008)","plainTextFormattedCitation":"(Pätsi et al, 2008)","previouslyFormattedCitation":"(Pätsi &lt;i&gt;et al&lt;/i&gt;, 2008)"},"properties":{"noteIndex":0},"schema":"https://github.com/citation-style-language/schema/raw/master/csl-citation.json"}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(Pätsi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2008)</w:t>
            </w:r>
            <w:r w:rsidRPr="00E97FC1">
              <w:rPr>
                <w:rFonts w:ascii="Helvetica" w:hAnsi="Helvetica" w:cs="Helvetica"/>
                <w:b/>
                <w:bCs/>
                <w:sz w:val="16"/>
                <w:szCs w:val="20"/>
                <w:lang w:val="en-GB"/>
              </w:rPr>
              <w:fldChar w:fldCharType="end"/>
            </w:r>
          </w:p>
        </w:tc>
      </w:tr>
      <w:tr w:rsidR="002471A8" w:rsidRPr="00E97FC1" w14:paraId="57303920" w14:textId="77777777" w:rsidTr="002471A8">
        <w:trPr>
          <w:trHeight w:val="65"/>
        </w:trPr>
        <w:tc>
          <w:tcPr>
            <w:tcW w:w="1525" w:type="dxa"/>
          </w:tcPr>
          <w:p w14:paraId="7AABEB8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M64I</w:t>
            </w:r>
          </w:p>
        </w:tc>
        <w:tc>
          <w:tcPr>
            <w:tcW w:w="2340" w:type="dxa"/>
            <w:vMerge/>
          </w:tcPr>
          <w:p w14:paraId="3076B6B0" w14:textId="77777777" w:rsidR="002471A8" w:rsidRPr="00E97FC1" w:rsidRDefault="002471A8" w:rsidP="002471A8">
            <w:pPr>
              <w:rPr>
                <w:rFonts w:ascii="Helvetica" w:hAnsi="Helvetica" w:cs="Helvetica"/>
                <w:sz w:val="20"/>
                <w:szCs w:val="20"/>
                <w:lang w:val="en-GB"/>
              </w:rPr>
            </w:pPr>
          </w:p>
        </w:tc>
        <w:tc>
          <w:tcPr>
            <w:tcW w:w="1440" w:type="dxa"/>
          </w:tcPr>
          <w:p w14:paraId="554B5D7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474DB52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107%</w:t>
            </w:r>
          </w:p>
        </w:tc>
        <w:tc>
          <w:tcPr>
            <w:tcW w:w="1260" w:type="dxa"/>
          </w:tcPr>
          <w:p w14:paraId="0B2AD2D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100%</w:t>
            </w:r>
          </w:p>
        </w:tc>
        <w:tc>
          <w:tcPr>
            <w:tcW w:w="1080" w:type="dxa"/>
          </w:tcPr>
          <w:p w14:paraId="04E639E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260" w:type="dxa"/>
          </w:tcPr>
          <w:p w14:paraId="0F47F936" w14:textId="3CB5BF18"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{"citationItems":[{"id":"ITEM-1","itemData":{"DOI":"10.1021/bi0476477","ISSN":"0006-2960 (Print)","PMID":"15736965","abstract":"The ND6 subunit is one of seven mitochondrial DNA-encoded subunits of the  proton-translocating NADH-quinone oxidoreductase (complex I). Physiological importance of the ND6 subunit is becoming increasingly apparent because a number of mutations leading to amino acid changes in this subunit have been found to be associated with known mitochondrial diseases. Using the Escherichia coli enzyme (NDH-1), we have investigated the NuoJ subunit (the E. coli counterpart of ND6) by employing a chromosomal DNA manipulation technique. A series of point mutations was constructed directly on the nuoJ gene in the chromosome targeting at highly conserved residues. Analyses with blue-native gel electrophoresis and immunological methods revealed that, in all point mutants, the assembly of NDH-1 was normal and that the deamino-NADH-K(3)Fe(CN)(6) reductase activity of the membrane was essentially the same as that of the wild-type. However, energy-coupled NDH-1 activities were affected to varied extents. Among them, mutants of the Val-65 residue that is located in the most conserved transmembrane segment significantly lost the coupled electron-transfer activities and exhibited diminished membrane potential and proton translocation. This may suggest that Val-65 or the area around it is important for energy transduction of the coupling site 1. Together with the results on mutations related to human diseases, possible functional roles of the NuoJ subunit have been discussed.","author":[{"dropping-particle":"","family":"Kao","given":"Mou-Chieh","non-dropping-particle":"","parse-names":false,"suffix":""},{"dropping-particle":"","family":"Bernardo","given":"Salvatore","non-dropping-particle":"Di","parse-names":false,"suffix":""},{"dropping-particle":"","family":"Nakamaru-Ogiso","given":"Eiko","non-dropping-particle":"","parse-names":false,"suffix":""},{"dropping-particle":"","family":"Miyoshi","given":"Hideto","non-dropping-particle":"","parse-names":false,"suffix":""},{"dropping-particle":"","family":"Matsuno-Yagi","given":"Akemi","non-dropping-particle":"","parse-names":false,"suffix":""},{"dropping-particle":"","family":"Yagi","given":"Takao","non-dropping-particle":"","parse-names":false,"suffix":""}],"container-title":"Biochemistry","id":"ITEM-1","issue":"9","issued":{"date-parts":[["2005","3"]]},"language":"eng","page":"3562-3571","publisher-place":"United States","title":"Characterization of the membrane domain subunit NuoJ (ND6) of the NADH-quinone  oxidoreductase from Escherichia coli by chromosomal DNA manipulation.","type":"article-journal","volume":"44"},"uris":["http://www.mendeley.com/documents/?uuid=bf502dcd-c6ed-417b-995a-78149f743238"]}],"mendeley":{"formattedCitation":"(Kao &lt;i&gt;et al&lt;/i&gt;, 2005a)","plainTextFormattedCitation":"(Kao et al, 2005a)","previouslyFormattedCitation":"(Kao &lt;i&gt;et al&lt;/i&gt;, 2005a)"},"properties":{"noteIndex":0},"schema":"https://github.com/citation-style-language/schema/raw/master/csl-citation.json"}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(Kao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2005a)</w:t>
            </w:r>
            <w:r w:rsidRPr="00E97FC1">
              <w:rPr>
                <w:rFonts w:ascii="Helvetica" w:hAnsi="Helvetica" w:cs="Helvetica"/>
                <w:b/>
                <w:bCs/>
                <w:sz w:val="16"/>
                <w:szCs w:val="20"/>
                <w:lang w:val="en-GB"/>
              </w:rPr>
              <w:fldChar w:fldCharType="end"/>
            </w:r>
          </w:p>
        </w:tc>
      </w:tr>
      <w:tr w:rsidR="002471A8" w:rsidRPr="00E97FC1" w14:paraId="56A878B9" w14:textId="77777777" w:rsidTr="002471A8">
        <w:trPr>
          <w:trHeight w:val="65"/>
        </w:trPr>
        <w:tc>
          <w:tcPr>
            <w:tcW w:w="1525" w:type="dxa"/>
          </w:tcPr>
          <w:p w14:paraId="700C566A"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V65G</w:t>
            </w:r>
          </w:p>
        </w:tc>
        <w:tc>
          <w:tcPr>
            <w:tcW w:w="2340" w:type="dxa"/>
            <w:vMerge w:val="restart"/>
          </w:tcPr>
          <w:p w14:paraId="245C1FE3"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near TM3 kink, interface with NuoA</w:t>
            </w:r>
          </w:p>
        </w:tc>
        <w:tc>
          <w:tcPr>
            <w:tcW w:w="1440" w:type="dxa"/>
          </w:tcPr>
          <w:p w14:paraId="7D40193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1F140CF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99%</w:t>
            </w:r>
          </w:p>
        </w:tc>
        <w:tc>
          <w:tcPr>
            <w:tcW w:w="1260" w:type="dxa"/>
          </w:tcPr>
          <w:p w14:paraId="5F429D1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3-13%</w:t>
            </w:r>
          </w:p>
        </w:tc>
        <w:tc>
          <w:tcPr>
            <w:tcW w:w="1080" w:type="dxa"/>
          </w:tcPr>
          <w:p w14:paraId="1990BBF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0%</w:t>
            </w:r>
          </w:p>
        </w:tc>
        <w:tc>
          <w:tcPr>
            <w:tcW w:w="1260" w:type="dxa"/>
          </w:tcPr>
          <w:p w14:paraId="6087D94E" w14:textId="76CDCFE6"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{"citationItems":[{"id":"ITEM-1","itemData":{"DOI":"10.1021/bi0476477","ISSN":"0006-2960 (Print)","PMID":"15736965","abstract":"The ND6 subunit is one of seven mitochondrial DNA-encoded subunits of the  proton-translocating NADH-quinone oxidoreductase (complex I). Physiological importance of the ND6 subunit is becoming increasingly apparent because a number of mutations leading to amino acid changes in this subunit have been found to be associated with known mitochondrial diseases. Using the Escherichia coli enzyme (NDH-1), we have investigated the NuoJ subunit (the E. coli counterpart of ND6) by employing a chromosomal DNA manipulation technique. A series of point mutations was constructed directly on the nuoJ gene in the chromosome targeting at highly conserved residues. Analyses with blue-native gel electrophoresis and immunological methods revealed that, in all point mutants, the assembly of NDH-1 was normal and that the deamino-NADH-K(3)Fe(CN)(6) reductase activity of the membrane was essentially the same as that of the wild-type. However, energy-coupled NDH-1 activities were affected to varied extents. Among them, mutants of the Val-65 residue that is located in the most conserved transmembrane segment significantly lost the coupled electron-transfer activities and exhibited diminished membrane potential and proton translocation. This may suggest that Val-65 or the area around it is important for energy transduction of the coupling site 1. Together with the results on mutations related to human diseases, possible functional roles of the NuoJ subunit have been discussed.","author":[{"dropping-particle":"","family":"Kao","given":"Mou-Chieh","non-dropping-particle":"","parse-names":false,"suffix":""},{"dropping-particle":"","family":"Bernardo","given":"Salvatore","non-dropping-particle":"Di","parse-names":false,"suffix":""},{"dropping-particle":"","family":"Nakamaru-Ogiso","given":"Eiko","non-dropping-particle":"","parse-names":false,"suffix":""},{"dropping-particle":"","family":"Miyoshi","given":"Hideto","non-dropping-particle":"","parse-names":false,"suffix":""},{"dropping-particle":"","family":"Matsuno-Yagi","given":"Akemi","non-dropping-particle":"","parse-names":false,"suffix":""},{"dropping-particle":"","family":"Yagi","given":"Takao","non-dropping-particle":"","parse-names":false,"suffix":""}],"container-title":"Biochemistry","id":"ITEM-1","issue":"9","issued":{"date-parts":[["2005","3"]]},"language":"eng","page":"3562-3571","publisher-place":"United States","title":"Characterization of the membrane domain subunit NuoJ (ND6) of the NADH-quinone  oxidoreductase from Escherichia coli by chromosomal DNA manipulation.","type":"article-journal","volume":"44"},"uris":["http://www.mendeley.com/documents/?uuid=bf502dcd-c6ed-417b-995a-78149f743238"]},{"id":"ITEM-2","itemData":{"DOI":"10.1042/BJ20070866","ISSN":"1470-8728 (Electronic)","PMID":"17894548","abstract":"LHON (Leber hereditary optic neuropathy) is a maternally inherited disease that  leads to sudden loss of central vision at a young age. There are three common primary LHON mutations, occurring at positions 3460, 11778 and 14484 in the human mtDNA (mitochondrial DNA), leading to amino acid substitutions in mitochondrial complex I subunits ND1, ND4 and ND6 respectively. We have now examined the effects of ND6 mutations on the function of complex I using the homologous NuoJ subunit of Escherichia coli NDH-1 (NADH:quinone oxidoreductase) as a model system. The assembly level of the NDH-1 mutants was assessed using electron transfer from deamino-NADH to the 'shortcut' electron acceptor HAR (hexammine ruthenium), whereas ubiquinone reductase activity was determined using DB (decylubiquinone) as a substrate. Mutant growth in minimal medium with malate as the main carbon source was used for initial screening of the efficiency of energy conservation by NDH-1. The results indicated that NuoJ-M64V, the equivalent of the common LHON mutation in ND6, had a mild effect on E. coli NDH-1 activity, while nearby mutations, particularly NuoJ-Y59F, NuoJ-V65G and NuoJ-M72V, severely impaired the DB reduction rate and cell growth on malate. NuoJ-Met64 and NuoJ-Met72 position mutants lowered the affinity of NDH-1 for DB and explicit C-type inhibitors, whereas NuoJ-Y59C displayed substrate inhibition by oxidized DB. The results are compatible with the notion that the ND6 subunit delineates the binding cavity of ubiquinone substrate, but does not directly take part in the catalytic reaction. How these changes in the enzyme's catalytic properties contribute to LHON pathogenesis is discussed.","author":[{"dropping-particle":"","family":"Pätsi","given":"Jukka","non-dropping-particle":"","parse-names":false,"suffix":""},{"dropping-particle":"","family":"Kervinen","given":"Marko","non-dropping-particle":"","parse-names":false,"suffix":""},{"dropping-particle":"","family":"Finel","given":"Moshe","non-dropping-particle":"","parse-names":false,"suffix":""},{"dropping-particle":"","family":"Hassinen","given":"Ilmo E","non-dropping-particle":"","parse-names":false,"suffix":""}],"container-title":"The Biochemical journal","id":"ITEM-2","issue":"1","issued":{"date-parts":[["2008","1"]]},"language":"eng","page":"129-137","publisher-place":"England","title":"Leber hereditary optic neuropathy mutations in the ND6 subunit of mitochondrial  complex I affect ubiquinone reduction kinetics in a bacterial model of the enzyme.","type":"article-journal","volume":"409"},"uris":["http://www.mendeley.com/documents/?uuid=a9521850-0a1b-4441-86e8-30b95e5d7124"]}],"mendeley":{"formattedCitation":"(Kao &lt;i&gt;et al&lt;/i&gt;, 2005a; Pätsi &lt;i&gt;et al&lt;/i&gt;, 2008)","plainTextFormattedCitation":"(Kao et al, 2005a; Pätsi et al, 2008)","previouslyFormattedCitation":"(Kao &lt;i&gt;et al&lt;/i&gt;, 2005a; Pätsi &lt;i&gt;et al&lt;/i&gt;, 2008)"},"properties":{"noteIndex":0},"schema":"https://github.com/citation-style-language/schema/raw/master/csl-citation.json"}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(Kao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xml:space="preserve">, 2005a; Pätsi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2008)</w:t>
            </w:r>
            <w:r w:rsidRPr="00E97FC1">
              <w:rPr>
                <w:rFonts w:ascii="Helvetica" w:hAnsi="Helvetica" w:cs="Helvetica"/>
                <w:b/>
                <w:bCs/>
                <w:sz w:val="16"/>
                <w:szCs w:val="20"/>
                <w:lang w:val="en-GB"/>
              </w:rPr>
              <w:fldChar w:fldCharType="end"/>
            </w:r>
          </w:p>
        </w:tc>
      </w:tr>
      <w:tr w:rsidR="002471A8" w:rsidRPr="00E97FC1" w14:paraId="02408828" w14:textId="77777777" w:rsidTr="002471A8">
        <w:trPr>
          <w:trHeight w:val="65"/>
        </w:trPr>
        <w:tc>
          <w:tcPr>
            <w:tcW w:w="1525" w:type="dxa"/>
          </w:tcPr>
          <w:p w14:paraId="182C46E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V65L</w:t>
            </w:r>
          </w:p>
        </w:tc>
        <w:tc>
          <w:tcPr>
            <w:tcW w:w="2340" w:type="dxa"/>
            <w:vMerge/>
          </w:tcPr>
          <w:p w14:paraId="75A98CEB" w14:textId="77777777" w:rsidR="002471A8" w:rsidRPr="00E97FC1" w:rsidRDefault="002471A8" w:rsidP="002471A8">
            <w:pPr>
              <w:rPr>
                <w:rFonts w:ascii="Helvetica" w:hAnsi="Helvetica" w:cs="Helvetica"/>
                <w:sz w:val="20"/>
                <w:szCs w:val="20"/>
                <w:lang w:val="en-GB"/>
              </w:rPr>
            </w:pPr>
          </w:p>
        </w:tc>
        <w:tc>
          <w:tcPr>
            <w:tcW w:w="1440" w:type="dxa"/>
          </w:tcPr>
          <w:p w14:paraId="049014A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2673FE57"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98%</w:t>
            </w:r>
          </w:p>
        </w:tc>
        <w:tc>
          <w:tcPr>
            <w:tcW w:w="1260" w:type="dxa"/>
          </w:tcPr>
          <w:p w14:paraId="4AF11CA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21-23%</w:t>
            </w:r>
          </w:p>
        </w:tc>
        <w:tc>
          <w:tcPr>
            <w:tcW w:w="1080" w:type="dxa"/>
          </w:tcPr>
          <w:p w14:paraId="1EE4423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reduced</w:t>
            </w:r>
          </w:p>
        </w:tc>
        <w:tc>
          <w:tcPr>
            <w:tcW w:w="1260" w:type="dxa"/>
          </w:tcPr>
          <w:p w14:paraId="35CC8614" w14:textId="6BCE7848"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{"citationItems":[{"id":"ITEM-1","itemData":{"DOI":"10.1021/bi0476477","ISSN":"0006-2960 (Print)","PMID":"15736965","abstract":"The ND6 subunit is one of seven mitochondrial DNA-encoded subunits of the  proton-translocating NADH-quinone oxidoreductase (complex I). Physiological importance of the ND6 subunit is becoming increasingly apparent because a number of mutations leading to amino acid changes in this subunit have been found to be associated with known mitochondrial diseases. Using the Escherichia coli enzyme (NDH-1), we have investigated the NuoJ subunit (the E. coli counterpart of ND6) by employing a chromosomal DNA manipulation technique. A series of point mutations was constructed directly on the nuoJ gene in the chromosome targeting at highly conserved residues. Analyses with blue-native gel electrophoresis and immunological methods revealed that, in all point mutants, the assembly of NDH-1 was normal and that the deamino-NADH-K(3)Fe(CN)(6) reductase activity of the membrane was essentially the same as that of the wild-type. However, energy-coupled NDH-1 activities were affected to varied extents. Among them, mutants of the Val-65 residue that is located in the most conserved transmembrane segment significantly lost the coupled electron-transfer activities and exhibited diminished membrane potential and proton translocation. This may suggest that Val-65 or the area around it is important for energy transduction of the coupling site 1. Together with the results on mutations related to human diseases, possible functional roles of the NuoJ subunit have been discussed.","author":[{"dropping-particle":"","family":"Kao","given":"Mou-Chieh","non-dropping-particle":"","parse-names":false,"suffix":""},{"dropping-particle":"","family":"Bernardo","given":"Salvatore","non-dropping-particle":"Di","parse-names":false,"suffix":""},{"dropping-particle":"","family":"Nakamaru-Ogiso","given":"Eiko","non-dropping-particle":"","parse-names":false,"suffix":""},{"dropping-particle":"","family":"Miyoshi","given":"Hideto","non-dropping-particle":"","parse-names":false,"suffix":""},{"dropping-particle":"","family":"Matsuno-Yagi","given":"Akemi","non-dropping-particle":"","parse-names":false,"suffix":""},{"dropping-particle":"","family":"Yagi","given":"Takao","non-dropping-particle":"","parse-names":false,"suffix":""}],"container-title":"Biochemistry","id":"ITEM-1","issue":"9","issued":{"date-parts":[["2005","3"]]},"language":"eng","page":"3562-3571","publisher-place":"United States","title":"Characterization of the membrane domain subunit NuoJ (ND6) of the NADH-quinone  oxidoreductase from Escherichia coli by chromosomal DNA manipulation.","type":"article-journal","volume":"44"},"uris":["http://www.mendeley.com/documents/?uuid=bf502dcd-c6ed-417b-995a-78149f743238"]}],"mendeley":{"formattedCitation":"(Kao &lt;i&gt;et al&lt;/i&gt;, 2005a)","plainTextFormattedCitation":"(Kao et al, 2005a)","previouslyFormattedCitation":"(Kao &lt;i&gt;et al&lt;/i&gt;, 2005a)"},"properties":{"noteIndex":0},"schema":"https://github.com/citation-style-language/schema/raw/master/csl-citation.json"}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(Kao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2005a)</w:t>
            </w:r>
            <w:r w:rsidRPr="00E97FC1">
              <w:rPr>
                <w:rFonts w:ascii="Helvetica" w:hAnsi="Helvetica" w:cs="Helvetica"/>
                <w:b/>
                <w:bCs/>
                <w:sz w:val="16"/>
                <w:szCs w:val="20"/>
                <w:lang w:val="en-GB"/>
              </w:rPr>
              <w:fldChar w:fldCharType="end"/>
            </w:r>
          </w:p>
        </w:tc>
      </w:tr>
      <w:tr w:rsidR="002471A8" w:rsidRPr="00E97FC1" w14:paraId="2DBC7277" w14:textId="77777777" w:rsidTr="002471A8">
        <w:trPr>
          <w:trHeight w:val="65"/>
        </w:trPr>
        <w:tc>
          <w:tcPr>
            <w:tcW w:w="1525" w:type="dxa"/>
          </w:tcPr>
          <w:p w14:paraId="00B426A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F67A</w:t>
            </w:r>
          </w:p>
        </w:tc>
        <w:tc>
          <w:tcPr>
            <w:tcW w:w="2340" w:type="dxa"/>
          </w:tcPr>
          <w:p w14:paraId="1A3C5A8C"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TM3</w:t>
            </w:r>
          </w:p>
        </w:tc>
        <w:tc>
          <w:tcPr>
            <w:tcW w:w="1440" w:type="dxa"/>
          </w:tcPr>
          <w:p w14:paraId="186A70F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467C7EB7"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86%</w:t>
            </w:r>
          </w:p>
        </w:tc>
        <w:tc>
          <w:tcPr>
            <w:tcW w:w="1260" w:type="dxa"/>
          </w:tcPr>
          <w:p w14:paraId="31160D5A"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85%</w:t>
            </w:r>
          </w:p>
        </w:tc>
        <w:tc>
          <w:tcPr>
            <w:tcW w:w="1080" w:type="dxa"/>
          </w:tcPr>
          <w:p w14:paraId="360AFDB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100%</w:t>
            </w:r>
          </w:p>
        </w:tc>
        <w:tc>
          <w:tcPr>
            <w:tcW w:w="1260" w:type="dxa"/>
          </w:tcPr>
          <w:p w14:paraId="5EB3AB38" w14:textId="7862517A"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{"citationItems":[{"id":"ITEM-1","itemData":{"DOI":"10.1021/bi0476477","ISSN":"0006-2960 (Print)","PMID":"15736965","abstract":"The ND6 subunit is one of seven mitochondrial DNA-encoded subunits of the  proton-translocating NADH-quinone oxidoreductase (complex I). Physiological importance of the ND6 subunit is becoming increasingly apparent because a number of mutations leading to amino acid changes in this subunit have been found to be associated with known mitochondrial diseases. Using the Escherichia coli enzyme (NDH-1), we have investigated the NuoJ subunit (the E. coli counterpart of ND6) by employing a chromosomal DNA manipulation technique. A series of point mutations was constructed directly on the nuoJ gene in the chromosome targeting at highly conserved residues. Analyses with blue-native gel electrophoresis and immunological methods revealed that, in all point mutants, the assembly of NDH-1 was normal and that the deamino-NADH-K(3)Fe(CN)(6) reductase activity of the membrane was essentially the same as that of the wild-type. However, energy-coupled NDH-1 activities were affected to varied extents. Among them, mutants of the Val-65 residue that is located in the most conserved transmembrane segment significantly lost the coupled electron-transfer activities and exhibited diminished membrane potential and proton translocation. This may suggest that Val-65 or the area around it is important for energy transduction of the coupling site 1. Together with the results on mutations related to human diseases, possible functional roles of the NuoJ subunit have been discussed.","author":[{"dropping-particle":"","family":"Kao","given":"Mou-Chieh","non-dropping-particle":"","parse-names":false,"suffix":""},{"dropping-particle":"","family":"Bernardo","given":"Salvatore","non-dropping-particle":"Di","parse-names":false,"suffix":""},{"dropping-particle":"","family":"Nakamaru-Ogiso","given":"Eiko","non-dropping-particle":"","parse-names":false,"suffix":""},{"dropping-particle":"","family":"Miyoshi","given":"Hideto","non-dropping-particle":"","parse-names":false,"suffix":""},{"dropping-particle":"","family":"Matsuno-Yagi","given":"Akemi","non-dropping-particle":"","parse-names":false,"suffix":""},{"dropping-particle":"","family":"Yagi","given":"Takao","non-dropping-particle":"","parse-names":false,"suffix":""}],"container-title":"Biochemistry","id":"ITEM-1","issue":"9","issued":{"date-parts":[["2005","3"]]},"language":"eng","page":"3562-3571","publisher-place":"United States","title":"Characterization of the membrane domain subunit NuoJ (ND6) of the NADH-quinone  oxidoreductase from Escherichia coli by chromosomal DNA manipulation.","type":"article-journal","volume":"44"},"uris":["http://www.mendeley.com/documents/?uuid=bf502dcd-c6ed-417b-995a-78149f743238"]}],"mendeley":{"formattedCitation":"(Kao &lt;i&gt;et al&lt;/i&gt;, 2005a)","plainTextFormattedCitation":"(Kao et al, 2005a)","previouslyFormattedCitation":"(Kao &lt;i&gt;et al&lt;/i&gt;, 2005a)"},"properties":{"noteIndex":0},"schema":"https://github.com/citation-style-language/schema/raw/master/csl-citation.json"}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(Kao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2005a)</w:t>
            </w:r>
            <w:r w:rsidRPr="00E97FC1">
              <w:rPr>
                <w:rFonts w:ascii="Helvetica" w:hAnsi="Helvetica" w:cs="Helvetica"/>
                <w:b/>
                <w:bCs/>
                <w:sz w:val="16"/>
                <w:szCs w:val="20"/>
                <w:lang w:val="en-GB"/>
              </w:rPr>
              <w:fldChar w:fldCharType="end"/>
            </w:r>
          </w:p>
        </w:tc>
      </w:tr>
    </w:tbl>
    <w:p w14:paraId="0E0DBF1B" w14:textId="77777777" w:rsidR="002471A8" w:rsidRPr="00E97FC1" w:rsidRDefault="002471A8" w:rsidP="002471A8">
      <w:pPr>
        <w:ind w:left="720"/>
        <w:rPr>
          <w:rFonts w:ascii="Helvetica" w:hAnsi="Helvetica" w:cs="Helvetica"/>
          <w:b/>
          <w:lang w:val="en-GB"/>
        </w:rPr>
      </w:pPr>
    </w:p>
    <w:p w14:paraId="406937DD" w14:textId="77777777" w:rsidR="002471A8" w:rsidRPr="00E97FC1" w:rsidRDefault="002471A8" w:rsidP="002471A8">
      <w:pPr>
        <w:ind w:left="720"/>
        <w:rPr>
          <w:rFonts w:ascii="Helvetica" w:hAnsi="Helvetica" w:cs="Helvetica"/>
          <w:b/>
          <w:lang w:val="en-GB"/>
        </w:rPr>
      </w:pPr>
      <w:r w:rsidRPr="00E97FC1">
        <w:rPr>
          <w:rFonts w:ascii="Helvetica" w:hAnsi="Helvetica" w:cs="Helvetica"/>
          <w:b/>
          <w:lang w:val="en-GB"/>
        </w:rPr>
        <w:t>b) Mutations in the membrane arm, continuation</w:t>
      </w:r>
    </w:p>
    <w:p w14:paraId="1F90F6F3" w14:textId="77777777" w:rsidR="002471A8" w:rsidRPr="00E97FC1" w:rsidRDefault="002471A8" w:rsidP="002471A8">
      <w:pPr>
        <w:rPr>
          <w:rFonts w:ascii="Helvetica" w:hAnsi="Helvetica" w:cs="Helvetica"/>
          <w:lang w:val="en-GB"/>
        </w:rPr>
      </w:pPr>
    </w:p>
    <w:tbl>
      <w:tblPr>
        <w:tblW w:w="9985" w:type="dxa"/>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0A0" w:firstRow="1" w:lastRow="0" w:firstColumn="1" w:lastColumn="0" w:noHBand="0" w:noVBand="0"/>
      </w:tblPr>
      <w:tblGrid>
        <w:gridCol w:w="1975"/>
        <w:gridCol w:w="1800"/>
        <w:gridCol w:w="1440"/>
        <w:gridCol w:w="990"/>
        <w:gridCol w:w="1260"/>
        <w:gridCol w:w="1080"/>
        <w:gridCol w:w="1440"/>
      </w:tblGrid>
      <w:tr w:rsidR="002471A8" w:rsidRPr="00E97FC1" w14:paraId="5B470E52" w14:textId="77777777" w:rsidTr="002471A8">
        <w:tc>
          <w:tcPr>
            <w:tcW w:w="1975" w:type="dxa"/>
            <w:vMerge w:val="restart"/>
          </w:tcPr>
          <w:p w14:paraId="175E7DB4" w14:textId="77777777" w:rsidR="002471A8" w:rsidRPr="00E97FC1" w:rsidRDefault="002471A8" w:rsidP="002471A8">
            <w:pPr>
              <w:rPr>
                <w:rFonts w:ascii="Helvetica" w:hAnsi="Helvetica" w:cs="Helvetica"/>
                <w:sz w:val="22"/>
                <w:lang w:val="en-GB"/>
              </w:rPr>
            </w:pPr>
            <w:r w:rsidRPr="00E97FC1">
              <w:rPr>
                <w:rFonts w:ascii="Helvetica" w:hAnsi="Helvetica" w:cs="Helvetica"/>
                <w:sz w:val="22"/>
                <w:lang w:val="en-GB"/>
              </w:rPr>
              <w:t>Mutation</w:t>
            </w:r>
          </w:p>
        </w:tc>
        <w:tc>
          <w:tcPr>
            <w:tcW w:w="1800" w:type="dxa"/>
            <w:vMerge w:val="restart"/>
          </w:tcPr>
          <w:p w14:paraId="1F09296D"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Amino acid location</w:t>
            </w:r>
          </w:p>
        </w:tc>
        <w:tc>
          <w:tcPr>
            <w:tcW w:w="1440" w:type="dxa"/>
            <w:vMerge w:val="restart"/>
          </w:tcPr>
          <w:p w14:paraId="3D86F591"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Expression/assembly</w:t>
            </w:r>
          </w:p>
        </w:tc>
        <w:tc>
          <w:tcPr>
            <w:tcW w:w="3330" w:type="dxa"/>
            <w:gridSpan w:val="3"/>
          </w:tcPr>
          <w:p w14:paraId="7D8793A3"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Effect</w:t>
            </w:r>
          </w:p>
        </w:tc>
        <w:tc>
          <w:tcPr>
            <w:tcW w:w="1440" w:type="dxa"/>
            <w:vMerge w:val="restart"/>
          </w:tcPr>
          <w:p w14:paraId="5537DDDB"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Reference and comments</w:t>
            </w:r>
          </w:p>
        </w:tc>
      </w:tr>
      <w:tr w:rsidR="002471A8" w:rsidRPr="00E97FC1" w14:paraId="5AD496F9" w14:textId="77777777" w:rsidTr="002471A8">
        <w:tc>
          <w:tcPr>
            <w:tcW w:w="1975" w:type="dxa"/>
            <w:vMerge/>
          </w:tcPr>
          <w:p w14:paraId="4FFD51FB" w14:textId="77777777" w:rsidR="002471A8" w:rsidRPr="00E97FC1" w:rsidRDefault="002471A8" w:rsidP="002471A8">
            <w:pPr>
              <w:jc w:val="center"/>
              <w:rPr>
                <w:rFonts w:ascii="Helvetica" w:hAnsi="Helvetica" w:cs="Helvetica"/>
                <w:sz w:val="22"/>
                <w:lang w:val="en-GB"/>
              </w:rPr>
            </w:pPr>
          </w:p>
        </w:tc>
        <w:tc>
          <w:tcPr>
            <w:tcW w:w="1800" w:type="dxa"/>
            <w:vMerge/>
          </w:tcPr>
          <w:p w14:paraId="443EDD21" w14:textId="77777777" w:rsidR="002471A8" w:rsidRPr="00E97FC1" w:rsidRDefault="002471A8" w:rsidP="002471A8">
            <w:pPr>
              <w:jc w:val="center"/>
              <w:rPr>
                <w:rFonts w:ascii="Helvetica" w:hAnsi="Helvetica" w:cs="Helvetica"/>
                <w:sz w:val="22"/>
                <w:lang w:val="en-GB"/>
              </w:rPr>
            </w:pPr>
          </w:p>
        </w:tc>
        <w:tc>
          <w:tcPr>
            <w:tcW w:w="1440" w:type="dxa"/>
            <w:vMerge/>
          </w:tcPr>
          <w:p w14:paraId="3AB617C0" w14:textId="77777777" w:rsidR="002471A8" w:rsidRPr="00E97FC1" w:rsidRDefault="002471A8" w:rsidP="002471A8">
            <w:pPr>
              <w:jc w:val="center"/>
              <w:rPr>
                <w:rFonts w:ascii="Helvetica" w:hAnsi="Helvetica" w:cs="Helvetica"/>
                <w:sz w:val="22"/>
                <w:lang w:val="en-GB"/>
              </w:rPr>
            </w:pPr>
          </w:p>
        </w:tc>
        <w:tc>
          <w:tcPr>
            <w:tcW w:w="990" w:type="dxa"/>
          </w:tcPr>
          <w:p w14:paraId="76B9F5A4"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FMN-site</w:t>
            </w:r>
          </w:p>
          <w:p w14:paraId="57118D10"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activity</w:t>
            </w:r>
          </w:p>
        </w:tc>
        <w:tc>
          <w:tcPr>
            <w:tcW w:w="1260" w:type="dxa"/>
          </w:tcPr>
          <w:p w14:paraId="575D7BA6"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 xml:space="preserve">Oxido-reductase activity </w:t>
            </w:r>
          </w:p>
        </w:tc>
        <w:tc>
          <w:tcPr>
            <w:tcW w:w="1080" w:type="dxa"/>
          </w:tcPr>
          <w:p w14:paraId="385D6B2B"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Proton pumping activity</w:t>
            </w:r>
          </w:p>
        </w:tc>
        <w:tc>
          <w:tcPr>
            <w:tcW w:w="1440" w:type="dxa"/>
            <w:vMerge/>
          </w:tcPr>
          <w:p w14:paraId="72E51E9E" w14:textId="77777777" w:rsidR="002471A8" w:rsidRPr="00E97FC1" w:rsidRDefault="002471A8" w:rsidP="002471A8">
            <w:pPr>
              <w:jc w:val="center"/>
              <w:rPr>
                <w:rFonts w:ascii="Helvetica" w:hAnsi="Helvetica" w:cs="Helvetica"/>
                <w:sz w:val="22"/>
                <w:lang w:val="en-GB"/>
              </w:rPr>
            </w:pPr>
          </w:p>
        </w:tc>
      </w:tr>
      <w:tr w:rsidR="002471A8" w:rsidRPr="00E97FC1" w14:paraId="1BFBBFDF" w14:textId="77777777" w:rsidTr="002471A8">
        <w:trPr>
          <w:trHeight w:val="65"/>
        </w:trPr>
        <w:tc>
          <w:tcPr>
            <w:tcW w:w="9985" w:type="dxa"/>
            <w:gridSpan w:val="7"/>
          </w:tcPr>
          <w:p w14:paraId="28B0A6CD" w14:textId="77777777" w:rsidR="002471A8" w:rsidRPr="00E97FC1" w:rsidRDefault="002471A8" w:rsidP="002471A8">
            <w:pPr>
              <w:rPr>
                <w:rFonts w:ascii="Helvetica" w:hAnsi="Helvetica" w:cs="Helvetica"/>
                <w:noProof/>
                <w:sz w:val="22"/>
                <w:lang w:val="en-GB"/>
              </w:rPr>
            </w:pPr>
            <w:r w:rsidRPr="00E97FC1">
              <w:rPr>
                <w:rFonts w:ascii="Helvetica" w:hAnsi="Helvetica" w:cs="Helvetica"/>
                <w:b/>
                <w:bCs/>
                <w:sz w:val="28"/>
                <w:lang w:val="en-GB"/>
              </w:rPr>
              <w:t>NuoJ</w:t>
            </w:r>
          </w:p>
        </w:tc>
      </w:tr>
      <w:tr w:rsidR="002471A8" w:rsidRPr="00E97FC1" w14:paraId="0365A848" w14:textId="77777777" w:rsidTr="002471A8">
        <w:trPr>
          <w:trHeight w:val="65"/>
        </w:trPr>
        <w:tc>
          <w:tcPr>
            <w:tcW w:w="1975" w:type="dxa"/>
          </w:tcPr>
          <w:p w14:paraId="23FC86B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M72V</w:t>
            </w:r>
          </w:p>
        </w:tc>
        <w:tc>
          <w:tcPr>
            <w:tcW w:w="1800" w:type="dxa"/>
            <w:vMerge w:val="restart"/>
          </w:tcPr>
          <w:p w14:paraId="29C9A10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interface with NuoA/H</w:t>
            </w:r>
          </w:p>
        </w:tc>
        <w:tc>
          <w:tcPr>
            <w:tcW w:w="1440" w:type="dxa"/>
          </w:tcPr>
          <w:p w14:paraId="3733755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990" w:type="dxa"/>
          </w:tcPr>
          <w:p w14:paraId="4C2A593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100%</w:t>
            </w:r>
          </w:p>
        </w:tc>
        <w:tc>
          <w:tcPr>
            <w:tcW w:w="1260" w:type="dxa"/>
          </w:tcPr>
          <w:p w14:paraId="0FAE349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38%</w:t>
            </w:r>
          </w:p>
        </w:tc>
        <w:tc>
          <w:tcPr>
            <w:tcW w:w="1080" w:type="dxa"/>
          </w:tcPr>
          <w:p w14:paraId="2923ED2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440" w:type="dxa"/>
          </w:tcPr>
          <w:p w14:paraId="624EC843" w14:textId="0F75FAD7"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{"citationItems":[{"id":"ITEM-1","itemData":{"DOI":"10.1042/BJ20070866","ISSN":"1470-8728 (Electronic)","PMID":"17894548","abstract":"LHON (Leber hereditary optic neuropathy) is a maternally inherited disease that  leads to sudden loss of central vision at a young age. There are three common primary LHON mutations, occurring at positions 3460, 11778 and 14484 in the human mtDNA (mitochondrial DNA), leading to amino acid substitutions in mitochondrial complex I subunits ND1, ND4 and ND6 respectively. We have now examined the effects of ND6 mutations on the function of complex I using the homologous NuoJ subunit of Escherichia coli NDH-1 (NADH:quinone oxidoreductase) as a model system. The assembly level of the NDH-1 mutants was assessed using electron transfer from deamino-NADH to the 'shortcut' electron acceptor HAR (hexammine ruthenium), whereas ubiquinone reductase activity was determined using DB (decylubiquinone) as a substrate. Mutant growth in minimal medium with malate as the main carbon source was used for initial screening of the efficiency of energy conservation by NDH-1. The results indicated that NuoJ-M64V, the equivalent of the common LHON mutation in ND6, had a mild effect on E. coli NDH-1 activity, while nearby mutations, particularly NuoJ-Y59F, NuoJ-V65G and NuoJ-M72V, severely impaired the DB reduction rate and cell growth on malate. NuoJ-Met64 and NuoJ-Met72 position mutants lowered the affinity of NDH-1 for DB and explicit C-type inhibitors, whereas NuoJ-Y59C displayed substrate inhibition by oxidized DB. The results are compatible with the notion that the ND6 subunit delineates the binding cavity of ubiquinone substrate, but does not directly take part in the catalytic reaction. How these changes in the enzyme's catalytic properties contribute to LHON pathogenesis is discussed.","author":[{"dropping-particle":"","family":"Pätsi","given":"Jukka","non-dropping-particle":"","parse-names":false,"suffix":""},{"dropping-particle":"","family":"Kervinen","given":"Marko","non-dropping-particle":"","parse-names":false,"suffix":""},{"dropping-particle":"","family":"Finel","given":"Moshe","non-dropping-particle":"","parse-names":false,"suffix":""},{"dropping-particle":"","family":"Hassinen","given":"Ilmo E","non-dropping-particle":"","parse-names":false,"suffix":""}],"container-title":"The Biochemical journal","id":"ITEM-1","issue":"1","issued":{"date-parts":[["2008","1"]]},"language":"eng","page":"129-137","publisher-place":"England","title":"Leber hereditary optic neuropathy mutations in the ND6 subunit of mitochondrial  complex I affect ubiquinone reduction kinetics in a bacterial model of the enzyme.","type":"article-journal","volume":"409"},"uris":["http://www.mendeley.com/documents/?uuid=a9521850-0a1b-4441-86e8-30b95e5d7124"]}],"mendeley":{"formattedCitation":"(Pätsi &lt;i&gt;et al&lt;/i&gt;, 2008)","plainTextFormattedCitation":"(Pätsi et al, 2008)","previouslyFormattedCitation":"(Pätsi &lt;i&gt;et al&lt;/i&gt;, 2008)"},"properties":{"noteIndex":0},"schema":"https://github.com/citation-style-language/schema/raw/master/csl-citation.json"}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(Pätsi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2008)</w:t>
            </w:r>
            <w:r w:rsidRPr="00E97FC1">
              <w:rPr>
                <w:rFonts w:ascii="Helvetica" w:hAnsi="Helvetica" w:cs="Helvetica"/>
                <w:b/>
                <w:bCs/>
                <w:sz w:val="16"/>
                <w:szCs w:val="20"/>
                <w:lang w:val="en-GB"/>
              </w:rPr>
              <w:fldChar w:fldCharType="end"/>
            </w:r>
          </w:p>
        </w:tc>
      </w:tr>
      <w:tr w:rsidR="002471A8" w:rsidRPr="00E97FC1" w14:paraId="43E232E9" w14:textId="77777777" w:rsidTr="002471A8">
        <w:trPr>
          <w:trHeight w:val="65"/>
        </w:trPr>
        <w:tc>
          <w:tcPr>
            <w:tcW w:w="1975" w:type="dxa"/>
          </w:tcPr>
          <w:p w14:paraId="6DF581E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M72A</w:t>
            </w:r>
          </w:p>
        </w:tc>
        <w:tc>
          <w:tcPr>
            <w:tcW w:w="1800" w:type="dxa"/>
            <w:vMerge/>
          </w:tcPr>
          <w:p w14:paraId="7E84AFFC" w14:textId="77777777" w:rsidR="002471A8" w:rsidRPr="00E97FC1" w:rsidRDefault="002471A8" w:rsidP="002471A8">
            <w:pPr>
              <w:rPr>
                <w:rFonts w:ascii="Helvetica" w:hAnsi="Helvetica" w:cs="Helvetica"/>
                <w:sz w:val="20"/>
                <w:szCs w:val="20"/>
                <w:lang w:val="en-GB"/>
              </w:rPr>
            </w:pPr>
          </w:p>
        </w:tc>
        <w:tc>
          <w:tcPr>
            <w:tcW w:w="1440" w:type="dxa"/>
          </w:tcPr>
          <w:p w14:paraId="4360648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990" w:type="dxa"/>
          </w:tcPr>
          <w:p w14:paraId="63FDBDB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170%</w:t>
            </w:r>
          </w:p>
        </w:tc>
        <w:tc>
          <w:tcPr>
            <w:tcW w:w="1260" w:type="dxa"/>
          </w:tcPr>
          <w:p w14:paraId="1863656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126%</w:t>
            </w:r>
          </w:p>
        </w:tc>
        <w:tc>
          <w:tcPr>
            <w:tcW w:w="1080" w:type="dxa"/>
          </w:tcPr>
          <w:p w14:paraId="3834FC8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440" w:type="dxa"/>
          </w:tcPr>
          <w:p w14:paraId="63C97D8B" w14:textId="33131867"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{"citationItems":[{"id":"ITEM-1","itemData":{"DOI":"10.1042/BJ20070866","ISSN":"1470-8728 (Electronic)","PMID":"17894548","abstract":"LHON (Leber hereditary optic neuropathy) is a maternally inherited disease that  leads to sudden loss of central vision at a young age. There are three common primary LHON mutations, occurring at positions 3460, 11778 and 14484 in the human mtDNA (mitochondrial DNA), leading to amino acid substitutions in mitochondrial complex I subunits ND1, ND4 and ND6 respectively. We have now examined the effects of ND6 mutations on the function of complex I using the homologous NuoJ subunit of Escherichia coli NDH-1 (NADH:quinone oxidoreductase) as a model system. The assembly level of the NDH-1 mutants was assessed using electron transfer from deamino-NADH to the 'shortcut' electron acceptor HAR (hexammine ruthenium), whereas ubiquinone reductase activity was determined using DB (decylubiquinone) as a substrate. Mutant growth in minimal medium with malate as the main carbon source was used for initial screening of the efficiency of energy conservation by NDH-1. The results indicated that NuoJ-M64V, the equivalent of the common LHON mutation in ND6, had a mild effect on E. coli NDH-1 activity, while nearby mutations, particularly NuoJ-Y59F, NuoJ-V65G and NuoJ-M72V, severely impaired the DB reduction rate and cell growth on malate. NuoJ-Met64 and NuoJ-Met72 position mutants lowered the affinity of NDH-1 for DB and explicit C-type inhibitors, whereas NuoJ-Y59C displayed substrate inhibition by oxidized DB. The results are compatible with the notion that the ND6 subunit delineates the binding cavity of ubiquinone substrate, but does not directly take part in the catalytic reaction. How these changes in the enzyme's catalytic properties contribute to LHON pathogenesis is discussed.","author":[{"dropping-particle":"","family":"Pätsi","given":"Jukka","non-dropping-particle":"","parse-names":false,"suffix":""},{"dropping-particle":"","family":"Kervinen","given":"Marko","non-dropping-particle":"","parse-names":false,"suffix":""},{"dropping-particle":"","family":"Finel","given":"Moshe","non-dropping-particle":"","parse-names":false,"suffix":""},{"dropping-particle":"","family":"Hassinen","given":"Ilmo E","non-dropping-particle":"","parse-names":false,"suffix":""}],"container-title":"The Biochemical journal","id":"ITEM-1","issue":"1","issued":{"date-parts":[["2008","1"]]},"language":"eng","page":"129-137","publisher-place":"England","title":"Leber hereditary optic neuropathy mutations in the ND6 subunit of mitochondrial  complex I affect ubiquinone reduction kinetics in a bacterial model of the enzyme.","type":"article-journal","volume":"409"},"uris":["http://www.mendeley.com/documents/?uuid=a9521850-0a1b-4441-86e8-30b95e5d7124"]}],"mendeley":{"formattedCitation":"(Pätsi &lt;i&gt;et al&lt;/i&gt;, 2008)","plainTextFormattedCitation":"(Pätsi et al, 2008)","previouslyFormattedCitation":"(Pätsi &lt;i&gt;et al&lt;/i&gt;, 2008)"},"properties":{"noteIndex":0},"schema":"https://github.com/citation-style-language/schema/raw/master/csl-citation.json"}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(Pätsi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2008)</w:t>
            </w:r>
            <w:r w:rsidRPr="00E97FC1">
              <w:rPr>
                <w:rFonts w:ascii="Helvetica" w:hAnsi="Helvetica" w:cs="Helvetica"/>
                <w:b/>
                <w:bCs/>
                <w:sz w:val="16"/>
                <w:szCs w:val="20"/>
                <w:lang w:val="en-GB"/>
              </w:rPr>
              <w:fldChar w:fldCharType="end"/>
            </w:r>
          </w:p>
        </w:tc>
      </w:tr>
      <w:tr w:rsidR="002471A8" w:rsidRPr="00E97FC1" w14:paraId="6F5C571C" w14:textId="77777777" w:rsidTr="002471A8">
        <w:trPr>
          <w:trHeight w:val="65"/>
        </w:trPr>
        <w:tc>
          <w:tcPr>
            <w:tcW w:w="1975" w:type="dxa"/>
          </w:tcPr>
          <w:p w14:paraId="57C7E05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M72C</w:t>
            </w:r>
          </w:p>
        </w:tc>
        <w:tc>
          <w:tcPr>
            <w:tcW w:w="1800" w:type="dxa"/>
            <w:vMerge/>
          </w:tcPr>
          <w:p w14:paraId="29F5952A" w14:textId="77777777" w:rsidR="002471A8" w:rsidRPr="00E97FC1" w:rsidRDefault="002471A8" w:rsidP="002471A8">
            <w:pPr>
              <w:rPr>
                <w:rFonts w:ascii="Helvetica" w:hAnsi="Helvetica" w:cs="Helvetica"/>
                <w:sz w:val="20"/>
                <w:szCs w:val="20"/>
                <w:lang w:val="en-GB"/>
              </w:rPr>
            </w:pPr>
          </w:p>
        </w:tc>
        <w:tc>
          <w:tcPr>
            <w:tcW w:w="1440" w:type="dxa"/>
          </w:tcPr>
          <w:p w14:paraId="4D682AE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990" w:type="dxa"/>
          </w:tcPr>
          <w:p w14:paraId="30428DB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92%</w:t>
            </w:r>
          </w:p>
        </w:tc>
        <w:tc>
          <w:tcPr>
            <w:tcW w:w="1260" w:type="dxa"/>
          </w:tcPr>
          <w:p w14:paraId="0442E53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48%</w:t>
            </w:r>
          </w:p>
        </w:tc>
        <w:tc>
          <w:tcPr>
            <w:tcW w:w="1080" w:type="dxa"/>
          </w:tcPr>
          <w:p w14:paraId="155F687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440" w:type="dxa"/>
          </w:tcPr>
          <w:p w14:paraId="0838352B" w14:textId="60A0FDE4"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{"citationItems":[{"id":"ITEM-1","itemData":{"DOI":"10.1042/BJ20070866","ISSN":"1470-8728 (Electronic)","PMID":"17894548","abstract":"LHON (Leber hereditary optic neuropathy) is a maternally inherited disease that  leads to sudden loss of central vision at a young age. There are three common primary LHON mutations, occurring at positions 3460, 11778 and 14484 in the human mtDNA (mitochondrial DNA), leading to amino acid substitutions in mitochondrial complex I subunits ND1, ND4 and ND6 respectively. We have now examined the effects of ND6 mutations on the function of complex I using the homologous NuoJ subunit of Escherichia coli NDH-1 (NADH:quinone oxidoreductase) as a model system. The assembly level of the NDH-1 mutants was assessed using electron transfer from deamino-NADH to the 'shortcut' electron acceptor HAR (hexammine ruthenium), whereas ubiquinone reductase activity was determined using DB (decylubiquinone) as a substrate. Mutant growth in minimal medium with malate as the main carbon source was used for initial screening of the efficiency of energy conservation by NDH-1. The results indicated that NuoJ-M64V, the equivalent of the common LHON mutation in ND6, had a mild effect on E. coli NDH-1 activity, while nearby mutations, particularly NuoJ-Y59F, NuoJ-V65G and NuoJ-M72V, severely impaired the DB reduction rate and cell growth on malate. NuoJ-Met64 and NuoJ-Met72 position mutants lowered the affinity of NDH-1 for DB and explicit C-type inhibitors, whereas NuoJ-Y59C displayed substrate inhibition by oxidized DB. The results are compatible with the notion that the ND6 subunit delineates the binding cavity of ubiquinone substrate, but does not directly take part in the catalytic reaction. How these changes in the enzyme's catalytic properties contribute to LHON pathogenesis is discussed.","author":[{"dropping-particle":"","family":"Pätsi","given":"Jukka","non-dropping-particle":"","parse-names":false,"suffix":""},{"dropping-particle":"","family":"Kervinen","given":"Marko","non-dropping-particle":"","parse-names":false,"suffix":""},{"dropping-particle":"","family":"Finel","given":"Moshe","non-dropping-particle":"","parse-names":false,"suffix":""},{"dropping-particle":"","family":"Hassinen","given":"Ilmo E","non-dropping-particle":"","parse-names":false,"suffix":""}],"container-title":"The Biochemical journal","id":"ITEM-1","issue":"1","issued":{"date-parts":[["2008","1"]]},"language":"eng","page":"129-137","publisher-place":"England","title":"Leber hereditary optic neuropathy mutations in the ND6 subunit of mitochondrial  complex I affect ubiquinone reduction kinetics in a bacterial model of the enzyme.","type":"article-journal","volume":"409"},"uris":["http://www.mendeley.com/documents/?uuid=a9521850-0a1b-4441-86e8-30b95e5d7124"]}],"mendeley":{"formattedCitation":"(Pätsi &lt;i&gt;et al&lt;/i&gt;, 2008)","plainTextFormattedCitation":"(Pätsi et al, 2008)","previouslyFormattedCitation":"(Pätsi &lt;i&gt;et al&lt;/i&gt;, 2008)"},"properties":{"noteIndex":0},"schema":"https://github.com/citation-style-language/schema/raw/master/csl-citation.json"}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(Pätsi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2008)</w:t>
            </w:r>
            <w:r w:rsidRPr="00E97FC1">
              <w:rPr>
                <w:rFonts w:ascii="Helvetica" w:hAnsi="Helvetica" w:cs="Helvetica"/>
                <w:b/>
                <w:bCs/>
                <w:sz w:val="16"/>
                <w:szCs w:val="20"/>
                <w:lang w:val="en-GB"/>
              </w:rPr>
              <w:fldChar w:fldCharType="end"/>
            </w:r>
          </w:p>
        </w:tc>
      </w:tr>
      <w:tr w:rsidR="002471A8" w:rsidRPr="00E97FC1" w14:paraId="712109D4" w14:textId="77777777" w:rsidTr="002471A8">
        <w:trPr>
          <w:trHeight w:val="65"/>
        </w:trPr>
        <w:tc>
          <w:tcPr>
            <w:tcW w:w="1975" w:type="dxa"/>
          </w:tcPr>
          <w:p w14:paraId="4486B89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M64V/M72A</w:t>
            </w:r>
          </w:p>
        </w:tc>
        <w:tc>
          <w:tcPr>
            <w:tcW w:w="1800" w:type="dxa"/>
          </w:tcPr>
          <w:p w14:paraId="7F657184" w14:textId="77777777" w:rsidR="002471A8" w:rsidRPr="00E97FC1" w:rsidRDefault="002471A8" w:rsidP="002471A8">
            <w:pPr>
              <w:rPr>
                <w:rFonts w:ascii="Helvetica" w:hAnsi="Helvetica" w:cs="Helvetica"/>
                <w:sz w:val="20"/>
                <w:szCs w:val="20"/>
                <w:lang w:val="en-GB"/>
              </w:rPr>
            </w:pPr>
          </w:p>
        </w:tc>
        <w:tc>
          <w:tcPr>
            <w:tcW w:w="1440" w:type="dxa"/>
          </w:tcPr>
          <w:p w14:paraId="71C0D94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990" w:type="dxa"/>
          </w:tcPr>
          <w:p w14:paraId="0E5C4A3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57%</w:t>
            </w:r>
          </w:p>
        </w:tc>
        <w:tc>
          <w:tcPr>
            <w:tcW w:w="1260" w:type="dxa"/>
          </w:tcPr>
          <w:p w14:paraId="0598F11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53%%</w:t>
            </w:r>
          </w:p>
        </w:tc>
        <w:tc>
          <w:tcPr>
            <w:tcW w:w="1080" w:type="dxa"/>
          </w:tcPr>
          <w:p w14:paraId="5765942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440" w:type="dxa"/>
          </w:tcPr>
          <w:p w14:paraId="6EF2BBF1" w14:textId="04C766FF"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{"citationItems":[{"id":"ITEM-1","itemData":{"DOI":"10.1042/BJ20070866","ISSN":"1470-8728 (Electronic)","PMID":"17894548","abstract":"LHON (Leber hereditary optic neuropathy) is a maternally inherited disease that  leads to sudden loss of central vision at a young age. There are three common primary LHON mutations, occurring at positions 3460, 11778 and 14484 in the human mtDNA (mitochondrial DNA), leading to amino acid substitutions in mitochondrial complex I subunits ND1, ND4 and ND6 respectively. We have now examined the effects of ND6 mutations on the function of complex I using the homologous NuoJ subunit of Escherichia coli NDH-1 (NADH:quinone oxidoreductase) as a model system. The assembly level of the NDH-1 mutants was assessed using electron transfer from deamino-NADH to the 'shortcut' electron acceptor HAR (hexammine ruthenium), whereas ubiquinone reductase activity was determined using DB (decylubiquinone) as a substrate. Mutant growth in minimal medium with malate as the main carbon source was used for initial screening of the efficiency of energy conservation by NDH-1. The results indicated that NuoJ-M64V, the equivalent of the common LHON mutation in ND6, had a mild effect on E. coli NDH-1 activity, while nearby mutations, particularly NuoJ-Y59F, NuoJ-V65G and NuoJ-M72V, severely impaired the DB reduction rate and cell growth on malate. NuoJ-Met64 and NuoJ-Met72 position mutants lowered the affinity of NDH-1 for DB and explicit C-type inhibitors, whereas NuoJ-Y59C displayed substrate inhibition by oxidized DB. The results are compatible with the notion that the ND6 subunit delineates the binding cavity of ubiquinone substrate, but does not directly take part in the catalytic reaction. How these changes in the enzyme's catalytic properties contribute to LHON pathogenesis is discussed.","author":[{"dropping-particle":"","family":"Pätsi","given":"Jukka","non-dropping-particle":"","parse-names":false,"suffix":""},{"dropping-particle":"","family":"Kervinen","given":"Marko","non-dropping-particle":"","parse-names":false,"suffix":""},{"dropping-particle":"","family":"Finel","given":"Moshe","non-dropping-particle":"","parse-names":false,"suffix":""},{"dropping-particle":"","family":"Hassinen","given":"Ilmo E","non-dropping-particle":"","parse-names":false,"suffix":""}],"container-title":"The Biochemical journal","id":"ITEM-1","issue":"1","issued":{"date-parts":[["2008","1"]]},"language":"eng","page":"129-137","publisher-place":"England","title":"Leber hereditary optic neuropathy mutations in the ND6 subunit of mitochondrial  complex I affect ubiquinone reduction kinetics in a bacterial model of the enzyme.","type":"article-journal","volume":"409"},"uris":["http://www.mendeley.com/documents/?uuid=a9521850-0a1b-4441-86e8-30b95e5d7124"]}],"mendeley":{"formattedCitation":"(Pätsi &lt;i&gt;et al&lt;/i&gt;, 2008)","plainTextFormattedCitation":"(Pätsi et al, 2008)","previouslyFormattedCitation":"(Pätsi &lt;i&gt;et al&lt;/i&gt;, 2008)"},"properties":{"noteIndex":0},"schema":"https://github.com/citation-style-language/schema/raw/master/csl-citation.json"}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(Pätsi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2008)</w:t>
            </w:r>
            <w:r w:rsidRPr="00E97FC1">
              <w:rPr>
                <w:rFonts w:ascii="Helvetica" w:hAnsi="Helvetica" w:cs="Helvetica"/>
                <w:b/>
                <w:bCs/>
                <w:sz w:val="16"/>
                <w:szCs w:val="20"/>
                <w:lang w:val="en-GB"/>
              </w:rPr>
              <w:fldChar w:fldCharType="end"/>
            </w:r>
          </w:p>
        </w:tc>
      </w:tr>
      <w:tr w:rsidR="002471A8" w:rsidRPr="00E97FC1" w14:paraId="0CE9B00C" w14:textId="77777777" w:rsidTr="002471A8">
        <w:trPr>
          <w:trHeight w:val="65"/>
        </w:trPr>
        <w:tc>
          <w:tcPr>
            <w:tcW w:w="1975" w:type="dxa"/>
          </w:tcPr>
          <w:p w14:paraId="1B82FED5"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E80Q</w:t>
            </w:r>
          </w:p>
        </w:tc>
        <w:tc>
          <w:tcPr>
            <w:tcW w:w="1800" w:type="dxa"/>
            <w:vMerge w:val="restart"/>
          </w:tcPr>
          <w:p w14:paraId="0B76EBC0"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surface, interacts with NuoK</w:t>
            </w:r>
          </w:p>
        </w:tc>
        <w:tc>
          <w:tcPr>
            <w:tcW w:w="1440" w:type="dxa"/>
          </w:tcPr>
          <w:p w14:paraId="6C3EEB55"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normal</w:t>
            </w:r>
          </w:p>
        </w:tc>
        <w:tc>
          <w:tcPr>
            <w:tcW w:w="990" w:type="dxa"/>
          </w:tcPr>
          <w:p w14:paraId="44D6F9C4"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101%</w:t>
            </w:r>
          </w:p>
        </w:tc>
        <w:tc>
          <w:tcPr>
            <w:tcW w:w="1260" w:type="dxa"/>
          </w:tcPr>
          <w:p w14:paraId="06389E9C"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 xml:space="preserve">100%, </w:t>
            </w:r>
          </w:p>
        </w:tc>
        <w:tc>
          <w:tcPr>
            <w:tcW w:w="1080" w:type="dxa"/>
          </w:tcPr>
          <w:p w14:paraId="4529884F"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normal</w:t>
            </w:r>
          </w:p>
        </w:tc>
        <w:tc>
          <w:tcPr>
            <w:tcW w:w="1440" w:type="dxa"/>
          </w:tcPr>
          <w:p w14:paraId="655F1D08" w14:textId="52AA5DDC"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{"citationItems":[{"id":"ITEM-1","itemData":{"DOI":"10.1021/bi0476477","ISSN":"0006-2960 (Print)","PMID":"15736965","abstract":"The ND6 subunit is one of seven mitochondrial DNA-encoded subunits of the  proton-translocating NADH-quinone oxidoreductase (complex I). Physiological importance of the ND6 subunit is becoming increasingly apparent because a number of mutations leading to amino acid changes in this subunit have been found to be associated with known mitochondrial diseases. Using the Escherichia coli enzyme (NDH-1), we have investigated the NuoJ subunit (the E. coli counterpart of ND6) by employing a chromosomal DNA manipulation technique. A series of point mutations was constructed directly on the nuoJ gene in the chromosome targeting at highly conserved residues. Analyses with blue-native gel electrophoresis and immunological methods revealed that, in all point mutants, the assembly of NDH-1 was normal and that the deamino-NADH-K(3)Fe(CN)(6) reductase activity of the membrane was essentially the same as that of the wild-type. However, energy-coupled NDH-1 activities were affected to varied extents. Among them, mutants of the Val-65 residue that is located in the most conserved transmembrane segment significantly lost the coupled electron-transfer activities and exhibited diminished membrane potential and proton translocation. This may suggest that Val-65 or the area around it is important for energy transduction of the coupling site 1. Together with the results on mutations related to human diseases, possible functional roles of the NuoJ subunit have been discussed.","author":[{"dropping-particle":"","family":"Kao","given":"Mou-Chieh","non-dropping-particle":"","parse-names":false,"suffix":""},{"dropping-particle":"","family":"Bernardo","given":"Salvatore","non-dropping-particle":"Di","parse-names":false,"suffix":""},{"dropping-particle":"","family":"Nakamaru-Ogiso","given":"Eiko","non-dropping-particle":"","parse-names":false,"suffix":""},{"dropping-particle":"","family":"Miyoshi","given":"Hideto","non-dropping-particle":"","parse-names":false,"suffix":""},{"dropping-particle":"","family":"Matsuno-Yagi","given":"Akemi","non-dropping-particle":"","parse-names":false,"suffix":""},{"dropping-particle":"","family":"Yagi","given":"Takao","non-dropping-particle":"","parse-names":false,"suffix":""}],"container-title":"Biochemistry","id":"ITEM-1","issue":"9","issued":{"date-parts":[["2005","3"]]},"language":"eng","page":"3562-3571","publisher-place":"United States","title":"Characterization of the membrane domain subunit NuoJ (ND6) of the NADH-quinone  oxidoreductase from Escherichia coli by chromosomal DNA manipulation.","type":"article-journal","volume":"44"},"uris":["http://www.mendeley.com/documents/?uuid=bf502dcd-c6ed-417b-995a-78149f743238"]}],"mendeley":{"formattedCitation":"(Kao &lt;i&gt;et al&lt;/i&gt;, 2005a)","plainTextFormattedCitation":"(Kao et al, 2005a)","previouslyFormattedCitation":"(Kao &lt;i&gt;et al&lt;/i&gt;, 2005a)"},"properties":{"noteIndex":0},"schema":"https://github.com/citation-style-language/schema/raw/master/csl-citation.json"}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(Kao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2005a)</w:t>
            </w:r>
            <w:r w:rsidRPr="00E97FC1">
              <w:rPr>
                <w:rFonts w:ascii="Helvetica" w:hAnsi="Helvetica" w:cs="Helvetica"/>
                <w:b/>
                <w:bCs/>
                <w:sz w:val="16"/>
                <w:szCs w:val="20"/>
                <w:lang w:val="en-GB"/>
              </w:rPr>
              <w:fldChar w:fldCharType="end"/>
            </w:r>
          </w:p>
        </w:tc>
      </w:tr>
      <w:tr w:rsidR="002471A8" w:rsidRPr="00E97FC1" w14:paraId="41A9CD10" w14:textId="77777777" w:rsidTr="002471A8">
        <w:trPr>
          <w:trHeight w:val="65"/>
        </w:trPr>
        <w:tc>
          <w:tcPr>
            <w:tcW w:w="1975" w:type="dxa"/>
          </w:tcPr>
          <w:p w14:paraId="7C1384A9"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E80A</w:t>
            </w:r>
          </w:p>
        </w:tc>
        <w:tc>
          <w:tcPr>
            <w:tcW w:w="1800" w:type="dxa"/>
            <w:vMerge/>
          </w:tcPr>
          <w:p w14:paraId="13D55277" w14:textId="77777777" w:rsidR="002471A8" w:rsidRPr="00E97FC1" w:rsidRDefault="002471A8" w:rsidP="002471A8">
            <w:pPr>
              <w:rPr>
                <w:rFonts w:ascii="Helvetica" w:hAnsi="Helvetica" w:cs="Helvetica"/>
                <w:iCs/>
                <w:sz w:val="20"/>
                <w:szCs w:val="20"/>
                <w:lang w:val="en-GB"/>
              </w:rPr>
            </w:pPr>
          </w:p>
        </w:tc>
        <w:tc>
          <w:tcPr>
            <w:tcW w:w="1440" w:type="dxa"/>
          </w:tcPr>
          <w:p w14:paraId="79C95780"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normal</w:t>
            </w:r>
          </w:p>
        </w:tc>
        <w:tc>
          <w:tcPr>
            <w:tcW w:w="990" w:type="dxa"/>
          </w:tcPr>
          <w:p w14:paraId="3C2EB32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102%</w:t>
            </w:r>
          </w:p>
        </w:tc>
        <w:tc>
          <w:tcPr>
            <w:tcW w:w="1260" w:type="dxa"/>
          </w:tcPr>
          <w:p w14:paraId="669B9723"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90%</w:t>
            </w:r>
          </w:p>
        </w:tc>
        <w:tc>
          <w:tcPr>
            <w:tcW w:w="1080" w:type="dxa"/>
          </w:tcPr>
          <w:p w14:paraId="7A020DDA"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reduced</w:t>
            </w:r>
          </w:p>
        </w:tc>
        <w:tc>
          <w:tcPr>
            <w:tcW w:w="1440" w:type="dxa"/>
          </w:tcPr>
          <w:p w14:paraId="3BDA52DD" w14:textId="24B45602"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{"citationItems":[{"id":"ITEM-1","itemData":{"DOI":"10.1021/bi0476477","ISSN":"0006-2960 (Print)","PMID":"15736965","abstract":"The ND6 subunit is one of seven mitochondrial DNA-encoded subunits of the  proton-translocating NADH-quinone oxidoreductase (complex I). Physiological importance of the ND6 subunit is becoming increasingly apparent because a number of mutations leading to amino acid changes in this subunit have been found to be associated with known mitochondrial diseases. Using the Escherichia coli enzyme (NDH-1), we have investigated the NuoJ subunit (the E. coli counterpart of ND6) by employing a chromosomal DNA manipulation technique. A series of point mutations was constructed directly on the nuoJ gene in the chromosome targeting at highly conserved residues. Analyses with blue-native gel electrophoresis and immunological methods revealed that, in all point mutants, the assembly of NDH-1 was normal and that the deamino-NADH-K(3)Fe(CN)(6) reductase activity of the membrane was essentially the same as that of the wild-type. However, energy-coupled NDH-1 activities were affected to varied extents. Among them, mutants of the Val-65 residue that is located in the most conserved transmembrane segment significantly lost the coupled electron-transfer activities and exhibited diminished membrane potential and proton translocation. This may suggest that Val-65 or the area around it is important for energy transduction of the coupling site 1. Together with the results on mutations related to human diseases, possible functional roles of the NuoJ subunit have been discussed.","author":[{"dropping-particle":"","family":"Kao","given":"Mou-Chieh","non-dropping-particle":"","parse-names":false,"suffix":""},{"dropping-particle":"","family":"Bernardo","given":"Salvatore","non-dropping-particle":"Di","parse-names":false,"suffix":""},{"dropping-particle":"","family":"Nakamaru-Ogiso","given":"Eiko","non-dropping-particle":"","parse-names":false,"suffix":""},{"dropping-particle":"","family":"Miyoshi","given":"Hideto","non-dropping-particle":"","parse-names":false,"suffix":""},{"dropping-particle":"","family":"Matsuno-Yagi","given":"Akemi","non-dropping-particle":"","parse-names":false,"suffix":""},{"dropping-particle":"","family":"Yagi","given":"Takao","non-dropping-particle":"","parse-names":false,"suffix":""}],"container-title":"Biochemistry","id":"ITEM-1","issue":"9","issued":{"date-parts":[["2005","3"]]},"language":"eng","page":"3562-3571","publisher-place":"United States","title":"Characterization of the membrane domain subunit NuoJ (ND6) of the NADH-quinone  oxidoreductase from Escherichia coli by chromosomal DNA manipulation.","type":"article-journal","volume":"44"},"uris":["http://www.mendeley.com/documents/?uuid=bf502dcd-c6ed-417b-995a-78149f743238"]}],"mendeley":{"formattedCitation":"(Kao &lt;i&gt;et al&lt;/i&gt;, 2005a)","plainTextFormattedCitation":"(Kao et al, 2005a)","previouslyFormattedCitation":"(Kao &lt;i&gt;et al&lt;/i&gt;, 2005a)"},"properties":{"noteIndex":0},"schema":"https://github.com/citation-style-language/schema/raw/master/csl-citation.json"}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(Kao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2005a)</w:t>
            </w:r>
            <w:r w:rsidRPr="00E97FC1">
              <w:rPr>
                <w:rFonts w:ascii="Helvetica" w:hAnsi="Helvetica" w:cs="Helvetica"/>
                <w:b/>
                <w:bCs/>
                <w:sz w:val="16"/>
                <w:szCs w:val="20"/>
                <w:lang w:val="en-GB"/>
              </w:rPr>
              <w:fldChar w:fldCharType="end"/>
            </w:r>
          </w:p>
        </w:tc>
      </w:tr>
      <w:tr w:rsidR="002471A8" w:rsidRPr="00E97FC1" w14:paraId="37B3E908" w14:textId="77777777" w:rsidTr="002471A8">
        <w:trPr>
          <w:trHeight w:val="65"/>
        </w:trPr>
        <w:tc>
          <w:tcPr>
            <w:tcW w:w="1975" w:type="dxa"/>
          </w:tcPr>
          <w:p w14:paraId="2A2CC46B"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 xml:space="preserve">Y109F </w:t>
            </w:r>
          </w:p>
        </w:tc>
        <w:tc>
          <w:tcPr>
            <w:tcW w:w="1800" w:type="dxa"/>
          </w:tcPr>
          <w:p w14:paraId="1277FC0A"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surface</w:t>
            </w:r>
          </w:p>
        </w:tc>
        <w:tc>
          <w:tcPr>
            <w:tcW w:w="1440" w:type="dxa"/>
          </w:tcPr>
          <w:p w14:paraId="200CC3D5"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NA</w:t>
            </w:r>
          </w:p>
        </w:tc>
        <w:tc>
          <w:tcPr>
            <w:tcW w:w="990" w:type="dxa"/>
          </w:tcPr>
          <w:p w14:paraId="24C17EB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89%</w:t>
            </w:r>
          </w:p>
        </w:tc>
        <w:tc>
          <w:tcPr>
            <w:tcW w:w="1260" w:type="dxa"/>
          </w:tcPr>
          <w:p w14:paraId="2E2654F9"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112%</w:t>
            </w:r>
          </w:p>
        </w:tc>
        <w:tc>
          <w:tcPr>
            <w:tcW w:w="1080" w:type="dxa"/>
          </w:tcPr>
          <w:p w14:paraId="0F9693ED" w14:textId="77777777" w:rsidR="002471A8" w:rsidRPr="00E97FC1" w:rsidRDefault="002471A8" w:rsidP="002471A8">
            <w:pPr>
              <w:rPr>
                <w:rFonts w:ascii="Helvetica" w:hAnsi="Helvetica" w:cs="Helvetica"/>
                <w:iCs/>
                <w:sz w:val="20"/>
                <w:szCs w:val="20"/>
                <w:lang w:val="en-GB"/>
              </w:rPr>
            </w:pPr>
            <w:r w:rsidRPr="00E97FC1">
              <w:rPr>
                <w:rFonts w:ascii="Helvetica" w:hAnsi="Helvetica" w:cs="Helvetica"/>
                <w:iCs/>
                <w:sz w:val="20"/>
                <w:szCs w:val="20"/>
                <w:lang w:val="en-GB"/>
              </w:rPr>
              <w:t>NA</w:t>
            </w:r>
          </w:p>
        </w:tc>
        <w:tc>
          <w:tcPr>
            <w:tcW w:w="1440" w:type="dxa"/>
          </w:tcPr>
          <w:p w14:paraId="1EB598CE" w14:textId="5809C589"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{"citationItems":[{"id":"ITEM-1","itemData":{"DOI":"10.1042/BJ20070866","ISSN":"1470-8728 (Electronic)","PMID":"17894548","abstract":"LHON (Leber hereditary optic neuropathy) is a maternally inherited disease that  leads to sudden loss of central vision at a young age. There are three common primary LHON mutations, occurring at positions 3460, 11778 and 14484 in the human mtDNA (mitochondrial DNA), leading to amino acid substitutions in mitochondrial complex I subunits ND1, ND4 and ND6 respectively. We have now examined the effects of ND6 mutations on the function of complex I using the homologous NuoJ subunit of Escherichia coli NDH-1 (NADH:quinone oxidoreductase) as a model system. The assembly level of the NDH-1 mutants was assessed using electron transfer from deamino-NADH to the 'shortcut' electron acceptor HAR (hexammine ruthenium), whereas ubiquinone reductase activity was determined using DB (decylubiquinone) as a substrate. Mutant growth in minimal medium with malate as the main carbon source was used for initial screening of the efficiency of energy conservation by NDH-1. The results indicated that NuoJ-M64V, the equivalent of the common LHON mutation in ND6, had a mild effect on E. coli NDH-1 activity, while nearby mutations, particularly NuoJ-Y59F, NuoJ-V65G and NuoJ-M72V, severely impaired the DB reduction rate and cell growth on malate. NuoJ-Met64 and NuoJ-Met72 position mutants lowered the affinity of NDH-1 for DB and explicit C-type inhibitors, whereas NuoJ-Y59C displayed substrate inhibition by oxidized DB. The results are compatible with the notion that the ND6 subunit delineates the binding cavity of ubiquinone substrate, but does not directly take part in the catalytic reaction. How these changes in the enzyme's catalytic properties contribute to LHON pathogenesis is discussed.","author":[{"dropping-particle":"","family":"Pätsi","given":"Jukka","non-dropping-particle":"","parse-names":false,"suffix":""},{"dropping-particle":"","family":"Kervinen","given":"Marko","non-dropping-particle":"","parse-names":false,"suffix":""},{"dropping-particle":"","family":"Finel","given":"Moshe","non-dropping-particle":"","parse-names":false,"suffix":""},{"dropping-particle":"","family":"Hassinen","given":"Ilmo E","non-dropping-particle":"","parse-names":false,"suffix":""}],"container-title":"The Biochemical journal","id":"ITEM-1","issue":"1","issued":{"date-parts":[["2008","1"]]},"language":"eng","page":"129-137","publisher-place":"England","title":"Leber hereditary optic neuropathy mutations in the ND6 subunit of mitochondrial  complex I affect ubiquinone reduction kinetics in a bacterial model of the enzyme.","type":"article-journal","volume":"409"},"uris":["http://www.mendeley.com/documents/?uuid=a9521850-0a1b-4441-86e8-30b95e5d7124"]}],"mendeley":{"formattedCitation":"(Pätsi &lt;i&gt;et al&lt;/i&gt;, 2008)","plainTextFormattedCitation":"(Pätsi et al, 2008)","previouslyFormattedCitation":"(Pätsi &lt;i&gt;et al&lt;/i&gt;, 2008)"},"properties":{"noteIndex":0},"schema":"https://github.com/citation-style-language/schema/raw/master/csl-citation.json"}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(Pätsi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2008)</w:t>
            </w:r>
            <w:r w:rsidRPr="00E97FC1">
              <w:rPr>
                <w:rFonts w:ascii="Helvetica" w:hAnsi="Helvetica" w:cs="Helvetica"/>
                <w:b/>
                <w:bCs/>
                <w:sz w:val="16"/>
                <w:szCs w:val="20"/>
                <w:lang w:val="en-GB"/>
              </w:rPr>
              <w:fldChar w:fldCharType="end"/>
            </w:r>
          </w:p>
        </w:tc>
      </w:tr>
      <w:tr w:rsidR="002471A8" w:rsidRPr="00E97FC1" w14:paraId="6CD10CDB" w14:textId="77777777" w:rsidTr="002471A8">
        <w:trPr>
          <w:trHeight w:val="65"/>
        </w:trPr>
        <w:tc>
          <w:tcPr>
            <w:tcW w:w="9985" w:type="dxa"/>
            <w:gridSpan w:val="7"/>
          </w:tcPr>
          <w:p w14:paraId="0BFFBBB7" w14:textId="77777777" w:rsidR="002471A8" w:rsidRPr="00E97FC1" w:rsidRDefault="002471A8" w:rsidP="002471A8">
            <w:pPr>
              <w:rPr>
                <w:rFonts w:ascii="Helvetica" w:hAnsi="Helvetica" w:cs="Helvetica"/>
                <w:b/>
                <w:bCs/>
                <w:sz w:val="22"/>
                <w:lang w:val="en-GB"/>
              </w:rPr>
            </w:pPr>
            <w:r w:rsidRPr="00E97FC1">
              <w:rPr>
                <w:rFonts w:ascii="Helvetica" w:hAnsi="Helvetica" w:cs="Helvetica"/>
                <w:b/>
                <w:sz w:val="28"/>
                <w:lang w:val="en-GB"/>
              </w:rPr>
              <w:t>NuoH</w:t>
            </w:r>
          </w:p>
        </w:tc>
      </w:tr>
      <w:tr w:rsidR="002471A8" w:rsidRPr="00E97FC1" w14:paraId="658D6968" w14:textId="77777777" w:rsidTr="002471A8">
        <w:trPr>
          <w:trHeight w:val="65"/>
        </w:trPr>
        <w:tc>
          <w:tcPr>
            <w:tcW w:w="1975" w:type="dxa"/>
          </w:tcPr>
          <w:p w14:paraId="2AE7224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E36D</w:t>
            </w:r>
          </w:p>
        </w:tc>
        <w:tc>
          <w:tcPr>
            <w:tcW w:w="1800" w:type="dxa"/>
            <w:vMerge w:val="restart"/>
          </w:tcPr>
          <w:p w14:paraId="001B977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Q-site</w:t>
            </w:r>
          </w:p>
        </w:tc>
        <w:tc>
          <w:tcPr>
            <w:tcW w:w="1440" w:type="dxa"/>
          </w:tcPr>
          <w:p w14:paraId="3D8DE87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990" w:type="dxa"/>
          </w:tcPr>
          <w:p w14:paraId="081B5D2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74%</w:t>
            </w:r>
          </w:p>
        </w:tc>
        <w:tc>
          <w:tcPr>
            <w:tcW w:w="1260" w:type="dxa"/>
          </w:tcPr>
          <w:p w14:paraId="1CD2173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52-77%</w:t>
            </w:r>
          </w:p>
        </w:tc>
        <w:tc>
          <w:tcPr>
            <w:tcW w:w="1080" w:type="dxa"/>
          </w:tcPr>
          <w:p w14:paraId="42D21FC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reduced</w:t>
            </w:r>
          </w:p>
        </w:tc>
        <w:tc>
          <w:tcPr>
            <w:tcW w:w="1440" w:type="dxa"/>
          </w:tcPr>
          <w:p w14:paraId="1219097B" w14:textId="79E84FBE"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{"citationItems":[{"id":"ITEM-1","itemData":{"DOI":"10.1074/jbc.M809468200","ISSN":"0021-9258 (Print)","PMID":"19189973","abstract":"The bacterial proton-translocating NADH:quinone oxidoreductase (NDH-1) consists of  two domains, a peripheral arm and a membrane arm. NuoH is a counterpart of ND1, which is one of seven mitochondrially encoded hydrophobic subunits, and is considered to be involved in quinone/inhibitor binding. Sequence comparison in a wide range of species showed that NuoH is comprehensively conserved, particularly with charged residues in the cytoplasmic side loops. We have constructed 40 mutants of 27 conserved residues predicted to be in the cytoplasmic side loops of Escherichia coli NuoH by utilizing the chromosomal DNA manipulation technique and investigated roles of these residues. Mutants of Arg(37), Arg(46), Asp(63), Gly(134), Gly(145), Arg(148), Glu(220), and Glu(228) showed low deamino-NADH-K(3)Fe(CN)(6) reductase activity, undetectable NDH-1 in Blue Native gels, low contents of peripheral subunits (especially NuoB and NuoCD) bound to the membranes, and a significant loss of the membrane potential and proton-pumping function coupled to deamino-NADH oxidation. The results indicated that these conserved residues located in the cytoplasmic side loops are essential for the assembly of the peripheral subunits with the membrane arm. Implications for the involvement of NuoH (ND1) in maintaining the structure and function of NDH-1 are discussed.","author":[{"dropping-particle":"","family":"Sinha","given":"Prem Kumar","non-dropping-particle":"","parse-names":false,"suffix":""},{"dropping-particle":"","family":"Torres-Bacete","given":"Jesus","non-dropping-particle":"","parse-names":false,"suffix":""},{"dropping-particle":"","family":"Nakamaru-Ogiso","given":"Eiko","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chemistry","id":"ITEM-1","issue":"15","issued":{"date-parts":[["2009","4"]]},"language":"eng","page":"9814-9823","title":"Critical roles of subunit NuoH (ND1) in the assembly of peripheral subunits with the  membrane domain of Escherichia coli NDH-1.","type":"article-journal","volume":"284"},"uris":["http://www.mendeley.com/documents/?uuid=94e6ea23-ba78-42b7-8564-979f1e931026"]}],"mendeley":{"formattedCitation":"(Sinha &lt;i&gt;et al&lt;/i&gt;, 2009)","plainTextFormattedCitation":"(Sinha et al, 2009)","previouslyFormattedCitation":"(Sinha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128D6E0E" w14:textId="77777777" w:rsidTr="002471A8">
        <w:trPr>
          <w:trHeight w:val="65"/>
        </w:trPr>
        <w:tc>
          <w:tcPr>
            <w:tcW w:w="1975" w:type="dxa"/>
          </w:tcPr>
          <w:p w14:paraId="7D119DA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E36D</w:t>
            </w:r>
          </w:p>
        </w:tc>
        <w:tc>
          <w:tcPr>
            <w:tcW w:w="1800" w:type="dxa"/>
            <w:vMerge/>
          </w:tcPr>
          <w:p w14:paraId="27DB39C9" w14:textId="77777777" w:rsidR="002471A8" w:rsidRPr="00E97FC1" w:rsidRDefault="002471A8" w:rsidP="002471A8">
            <w:pPr>
              <w:rPr>
                <w:rFonts w:ascii="Helvetica" w:hAnsi="Helvetica" w:cs="Helvetica"/>
                <w:sz w:val="20"/>
                <w:szCs w:val="20"/>
                <w:lang w:val="en-GB"/>
              </w:rPr>
            </w:pPr>
          </w:p>
        </w:tc>
        <w:tc>
          <w:tcPr>
            <w:tcW w:w="1440" w:type="dxa"/>
          </w:tcPr>
          <w:p w14:paraId="2044AD9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990" w:type="dxa"/>
          </w:tcPr>
          <w:p w14:paraId="05C3231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91%</w:t>
            </w:r>
          </w:p>
        </w:tc>
        <w:tc>
          <w:tcPr>
            <w:tcW w:w="1260" w:type="dxa"/>
          </w:tcPr>
          <w:p w14:paraId="2A26D30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57%</w:t>
            </w:r>
          </w:p>
        </w:tc>
        <w:tc>
          <w:tcPr>
            <w:tcW w:w="1080" w:type="dxa"/>
          </w:tcPr>
          <w:p w14:paraId="2E7B401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440" w:type="dxa"/>
          </w:tcPr>
          <w:p w14:paraId="495665D5" w14:textId="72D4FA05"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{"citationItems":[{"id":"ITEM-1","itemData":{"DOI":"10.1016/j.bbabio.2011.10.014","ISSN":"0006-3002 (Print)","PMID":"22079202","abstract":"Defects in complex I due to mutations in mitochondrial DNA are associated with  clinical features ranging from single organ manifestation like Leber hereditary optic neuropathy (LHON) to multiorgan disorders like mitochondrial myopathy, encephalopathy, lactic acidosis and stroke-like episodes (MELAS) syndrome. Specific mutations cause overlap syndromes combining several phenotypes, but the mechanisms of their biochemical effects are largely unknown. The m.3376G&gt;A transition leading to p.E24K substitution in ND1 with LHON/MELAS phenotype was modeled here in a homologous position (NuoH-E36K) in the Escherichia coli enzyme and it almost totally abolished complex I activity. The more conservative mutation NuoH-E36Q resulted in higher apparent K(m) for ubiquinone and diminished inhibitor sensitivity. A NuoH homolog of the m.3865A&gt;G transition, which has been found concomitantly in the overlap syndrome patient with the m.3376G&gt;A, had only a minor effect. Consequences of a primary LHON-mutation m.3460G&gt;A affecting the same extramembrane loop as the m.3376G&gt;A substitution were also studied in the E. coli model and were found to be mild. The results indicate that the overlap syndrome-associated m.3376G&gt;A transition in MTND1 is the pathogenic mutation and m.3865A&gt;G transition has minor, if any, effect on presentation of the disease. The kinetic effects of the NuoH-E36Q mutation suggest its proximity to the putative ubiquinone binding domain in 49kD/PSST subunits. In all, m.3376G&gt;A perturbs ubiquinone binding, a phenomenon found in LHON, and decreases the activity of fully assembled complex I as in MELAS.","author":[{"dropping-particle":"","family":"Pätsi","given":"Jukka","non-dropping-particle":"","parse-names":false,"suffix":""},{"dropping-particle":"","family":"Maliniemi","given":"Pilvi","non-dropping-particle":"","parse-names":false,"suffix":""},{"dropping-particle":"","family":"Pakanen","given":"Salla","non-dropping-particle":"","parse-names":false,"suffix":""},{"dropping-particle":"","family":"Hinttala","given":"Reetta","non-dropping-particle":"","parse-names":false,"suffix":""},{"dropping-particle":"","family":"Uusimaa","given":"Johanna","non-dropping-particle":"","parse-names":false,"suffix":""},{"dropping-particle":"","family":"Majamaa","given":"Kari","non-dropping-particle":"","parse-names":false,"suffix":""},{"dropping-particle":"","family":"Nyström","given":"Thomas","non-dropping-particle":"","parse-names":false,"suffix":""},{"dropping-particle":"","family":"Kervinen","given":"Marko","non-dropping-particle":"","parse-names":false,"suffix":""},{"dropping-particle":"","family":"Hassinen","given":"Ilmo E","non-dropping-particle":"","parse-names":false,"suffix":""}],"container-title":"Biochimica et biophysica acta","id":"ITEM-1","issue":"2","issued":{"date-parts":[["2012","2"]]},"language":"eng","page":"312-318","publisher-place":"Netherlands","title":"LHON/MELAS overlap mutation in ND1 subunit of mitochondrial complex I affects  ubiquinone binding as revealed by modeling in Escherichia coli NDH-1.","type":"article-journal","volume":"1817"},"uris":["http://www.mendeley.com/documents/?uuid=7b14b126-b02b-4ad5-b718-01804ce6b89f"]}],"mendeley":{"formattedCitation":"(Pätsi &lt;i&gt;et al&lt;/i&gt;, 2012)","plainTextFormattedCitation":"(Pätsi et al, 2012)","previouslyFormattedCitation":"(Pätsi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(Pätsi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7864C1D3" w14:textId="77777777" w:rsidTr="002471A8">
        <w:trPr>
          <w:trHeight w:val="65"/>
        </w:trPr>
        <w:tc>
          <w:tcPr>
            <w:tcW w:w="1975" w:type="dxa"/>
          </w:tcPr>
          <w:p w14:paraId="56C3C21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E36A</w:t>
            </w:r>
          </w:p>
        </w:tc>
        <w:tc>
          <w:tcPr>
            <w:tcW w:w="1800" w:type="dxa"/>
            <w:vMerge/>
          </w:tcPr>
          <w:p w14:paraId="2EFAA0C3" w14:textId="77777777" w:rsidR="002471A8" w:rsidRPr="00E97FC1" w:rsidRDefault="002471A8" w:rsidP="002471A8">
            <w:pPr>
              <w:rPr>
                <w:rFonts w:ascii="Helvetica" w:hAnsi="Helvetica" w:cs="Helvetica"/>
                <w:sz w:val="20"/>
                <w:szCs w:val="20"/>
                <w:lang w:val="en-GB"/>
              </w:rPr>
            </w:pPr>
          </w:p>
        </w:tc>
        <w:tc>
          <w:tcPr>
            <w:tcW w:w="1440" w:type="dxa"/>
          </w:tcPr>
          <w:p w14:paraId="5FF6249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990" w:type="dxa"/>
          </w:tcPr>
          <w:p w14:paraId="00E6A73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86%</w:t>
            </w:r>
          </w:p>
        </w:tc>
        <w:tc>
          <w:tcPr>
            <w:tcW w:w="1260" w:type="dxa"/>
          </w:tcPr>
          <w:p w14:paraId="2BA90A0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20-27</w:t>
            </w:r>
          </w:p>
        </w:tc>
        <w:tc>
          <w:tcPr>
            <w:tcW w:w="1080" w:type="dxa"/>
          </w:tcPr>
          <w:p w14:paraId="0EF342E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reduced</w:t>
            </w:r>
          </w:p>
        </w:tc>
        <w:tc>
          <w:tcPr>
            <w:tcW w:w="1440" w:type="dxa"/>
          </w:tcPr>
          <w:p w14:paraId="255992E2" w14:textId="0921D1BC"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{"citationItems":[{"id":"ITEM-1","itemData":{"DOI":"10.1074/jbc.M809468200","ISSN":"0021-9258 (Print)","PMID":"19189973","abstract":"The bacterial proton-translocating NADH:quinone oxidoreductase (NDH-1) consists of  two domains, a peripheral arm and a membrane arm. NuoH is a counterpart of ND1, which is one of seven mitochondrially encoded hydrophobic subunits, and is considered to be involved in quinone/inhibitor binding. Sequence comparison in a wide range of species showed that NuoH is comprehensively conserved, particularly with charged residues in the cytoplasmic side loops. We have constructed 40 mutants of 27 conserved residues predicted to be in the cytoplasmic side loops of Escherichia coli NuoH by utilizing the chromosomal DNA manipulation technique and investigated roles of these residues. Mutants of Arg(37), Arg(46), Asp(63), Gly(134), Gly(145), Arg(148), Glu(220), and Glu(228) showed low deamino-NADH-K(3)Fe(CN)(6) reductase activity, undetectable NDH-1 in Blue Native gels, low contents of peripheral subunits (especially NuoB and NuoCD) bound to the membranes, and a significant loss of the membrane potential and proton-pumping function coupled to deamino-NADH oxidation. The results indicated that these conserved residues located in the cytoplasmic side loops are essential for the assembly of the peripheral subunits with the membrane arm. Implications for the involvement of NuoH (ND1) in maintaining the structure and function of NDH-1 are discussed.","author":[{"dropping-particle":"","family":"Sinha","given":"Prem Kumar","non-dropping-particle":"","parse-names":false,"suffix":""},{"dropping-particle":"","family":"Torres-Bacete","given":"Jesus","non-dropping-particle":"","parse-names":false,"suffix":""},{"dropping-particle":"","family":"Nakamaru-Ogiso","given":"Eiko","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chemistry","id":"ITEM-1","issue":"15","issued":{"date-parts":[["2009","4"]]},"language":"eng","page":"9814-9823","title":"Critical roles of subunit NuoH (ND1) in the assembly of peripheral subunits with the  membrane domain of Escherichia coli NDH-1.","type":"article-journal","volume":"284"},"uris":["http://www.mendeley.com/documents/?uuid=94e6ea23-ba78-42b7-8564-979f1e931026"]}],"mendeley":{"formattedCitation":"(Sinha &lt;i&gt;et al&lt;/i&gt;, 2009)","plainTextFormattedCitation":"(Sinha et al, 2009)","previouslyFormattedCitation":"(Sinha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4D6D0AD9" w14:textId="77777777" w:rsidTr="002471A8">
        <w:trPr>
          <w:trHeight w:val="65"/>
        </w:trPr>
        <w:tc>
          <w:tcPr>
            <w:tcW w:w="1975" w:type="dxa"/>
          </w:tcPr>
          <w:p w14:paraId="4C6CBC6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E36K</w:t>
            </w:r>
          </w:p>
        </w:tc>
        <w:tc>
          <w:tcPr>
            <w:tcW w:w="1800" w:type="dxa"/>
            <w:vMerge/>
          </w:tcPr>
          <w:p w14:paraId="02852161" w14:textId="77777777" w:rsidR="002471A8" w:rsidRPr="00E97FC1" w:rsidRDefault="002471A8" w:rsidP="002471A8">
            <w:pPr>
              <w:rPr>
                <w:rFonts w:ascii="Helvetica" w:hAnsi="Helvetica" w:cs="Helvetica"/>
                <w:sz w:val="20"/>
                <w:szCs w:val="20"/>
                <w:lang w:val="en-GB"/>
              </w:rPr>
            </w:pPr>
          </w:p>
        </w:tc>
        <w:tc>
          <w:tcPr>
            <w:tcW w:w="1440" w:type="dxa"/>
          </w:tcPr>
          <w:p w14:paraId="485E24C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990" w:type="dxa"/>
          </w:tcPr>
          <w:p w14:paraId="5EB6F73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13%</w:t>
            </w:r>
          </w:p>
        </w:tc>
        <w:tc>
          <w:tcPr>
            <w:tcW w:w="1260" w:type="dxa"/>
          </w:tcPr>
          <w:p w14:paraId="2C37A81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7%</w:t>
            </w:r>
          </w:p>
        </w:tc>
        <w:tc>
          <w:tcPr>
            <w:tcW w:w="1080" w:type="dxa"/>
          </w:tcPr>
          <w:p w14:paraId="6E3763E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BA</w:t>
            </w:r>
          </w:p>
        </w:tc>
        <w:tc>
          <w:tcPr>
            <w:tcW w:w="1440" w:type="dxa"/>
          </w:tcPr>
          <w:p w14:paraId="5E005295" w14:textId="6BF1C031"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{"citationItems":[{"id":"ITEM-1","itemData":{"DOI":"10.1016/j.bbabio.2011.10.014","ISSN":"0006-3002 (Print)","PMID":"22079202","abstract":"Defects in complex I due to mutations in mitochondrial DNA are associated with  clinical features ranging from single organ manifestation like Leber hereditary optic neuropathy (LHON) to multiorgan disorders like mitochondrial myopathy, encephalopathy, lactic acidosis and stroke-like episodes (MELAS) syndrome. Specific mutations cause overlap syndromes combining several phenotypes, but the mechanisms of their biochemical effects are largely unknown. The m.3376G&gt;A transition leading to p.E24K substitution in ND1 with LHON/MELAS phenotype was modeled here in a homologous position (NuoH-E36K) in the Escherichia coli enzyme and it almost totally abolished complex I activity. The more conservative mutation NuoH-E36Q resulted in higher apparent K(m) for ubiquinone and diminished inhibitor sensitivity. A NuoH homolog of the m.3865A&gt;G transition, which has been found concomitantly in the overlap syndrome patient with the m.3376G&gt;A, had only a minor effect. Consequences of a primary LHON-mutation m.3460G&gt;A affecting the same extramembrane loop as the m.3376G&gt;A substitution were also studied in the E. coli model and were found to be mild. The results indicate that the overlap syndrome-associated m.3376G&gt;A transition in MTND1 is the pathogenic mutation and m.3865A&gt;G transition has minor, if any, effect on presentation of the disease. The kinetic effects of the NuoH-E36Q mutation suggest its proximity to the putative ubiquinone binding domain in 49kD/PSST subunits. In all, m.3376G&gt;A perturbs ubiquinone binding, a phenomenon found in LHON, and decreases the activity of fully assembled complex I as in MELAS.","author":[{"dropping-particle":"","family":"Pätsi","given":"Jukka","non-dropping-particle":"","parse-names":false,"suffix":""},{"dropping-particle":"","family":"Maliniemi","given":"Pilvi","non-dropping-particle":"","parse-names":false,"suffix":""},{"dropping-particle":"","family":"Pakanen","given":"Salla","non-dropping-particle":"","parse-names":false,"suffix":""},{"dropping-particle":"","family":"Hinttala","given":"Reetta","non-dropping-particle":"","parse-names":false,"suffix":""},{"dropping-particle":"","family":"Uusimaa","given":"Johanna","non-dropping-particle":"","parse-names":false,"suffix":""},{"dropping-particle":"","family":"Majamaa","given":"Kari","non-dropping-particle":"","parse-names":false,"suffix":""},{"dropping-particle":"","family":"Nyström","given":"Thomas","non-dropping-particle":"","parse-names":false,"suffix":""},{"dropping-particle":"","family":"Kervinen","given":"Marko","non-dropping-particle":"","parse-names":false,"suffix":""},{"dropping-particle":"","family":"Hassinen","given":"Ilmo E","non-dropping-particle":"","parse-names":false,"suffix":""}],"container-title":"Biochimica et biophysica acta","id":"ITEM-1","issue":"2","issued":{"date-parts":[["2012","2"]]},"language":"eng","page":"312-318","publisher-place":"Netherlands","title":"LHON/MELAS overlap mutation in ND1 subunit of mitochondrial complex I affects  ubiquinone binding as revealed by modeling in Escherichia coli NDH-1.","type":"article-journal","volume":"1817"},"uris":["http://www.mendeley.com/documents/?uuid=7b14b126-b02b-4ad5-b718-01804ce6b89f"]}],"mendeley":{"formattedCitation":"(Pätsi &lt;i&gt;et al&lt;/i&gt;, 2012)","plainTextFormattedCitation":"(Pätsi et al, 2012)","previouslyFormattedCitation":"(Pätsi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(Pätsi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187D46B9" w14:textId="77777777" w:rsidTr="002471A8">
        <w:trPr>
          <w:trHeight w:val="65"/>
        </w:trPr>
        <w:tc>
          <w:tcPr>
            <w:tcW w:w="1975" w:type="dxa"/>
          </w:tcPr>
          <w:p w14:paraId="6B46162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E36Q</w:t>
            </w:r>
          </w:p>
        </w:tc>
        <w:tc>
          <w:tcPr>
            <w:tcW w:w="1800" w:type="dxa"/>
            <w:vMerge/>
          </w:tcPr>
          <w:p w14:paraId="7ACD9309" w14:textId="77777777" w:rsidR="002471A8" w:rsidRPr="00E97FC1" w:rsidRDefault="002471A8" w:rsidP="002471A8">
            <w:pPr>
              <w:rPr>
                <w:rFonts w:ascii="Helvetica" w:hAnsi="Helvetica" w:cs="Helvetica"/>
                <w:sz w:val="20"/>
                <w:szCs w:val="20"/>
                <w:lang w:val="en-GB"/>
              </w:rPr>
            </w:pPr>
          </w:p>
        </w:tc>
        <w:tc>
          <w:tcPr>
            <w:tcW w:w="1440" w:type="dxa"/>
          </w:tcPr>
          <w:p w14:paraId="3B8EC69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reduced</w:t>
            </w:r>
          </w:p>
        </w:tc>
        <w:tc>
          <w:tcPr>
            <w:tcW w:w="990" w:type="dxa"/>
          </w:tcPr>
          <w:p w14:paraId="6F66691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32%</w:t>
            </w:r>
          </w:p>
        </w:tc>
        <w:tc>
          <w:tcPr>
            <w:tcW w:w="1260" w:type="dxa"/>
          </w:tcPr>
          <w:p w14:paraId="46DACBC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18%</w:t>
            </w:r>
          </w:p>
        </w:tc>
        <w:tc>
          <w:tcPr>
            <w:tcW w:w="1080" w:type="dxa"/>
          </w:tcPr>
          <w:p w14:paraId="52C8A07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440" w:type="dxa"/>
          </w:tcPr>
          <w:p w14:paraId="75C16CF1" w14:textId="616AEE67"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{"citationItems":[{"id":"ITEM-1","itemData":{"DOI":"10.1016/j.bbabio.2011.10.014","ISSN":"0006-3002 (Print)","PMID":"22079202","abstract":"Defects in complex I due to mutations in mitochondrial DNA are associated with  clinical features ranging from single organ manifestation like Leber hereditary optic neuropathy (LHON) to multiorgan disorders like mitochondrial myopathy, encephalopathy, lactic acidosis and stroke-like episodes (MELAS) syndrome. Specific mutations cause overlap syndromes combining several phenotypes, but the mechanisms of their biochemical effects are largely unknown. The m.3376G&gt;A transition leading to p.E24K substitution in ND1 with LHON/MELAS phenotype was modeled here in a homologous position (NuoH-E36K) in the Escherichia coli enzyme and it almost totally abolished complex I activity. The more conservative mutation NuoH-E36Q resulted in higher apparent K(m) for ubiquinone and diminished inhibitor sensitivity. A NuoH homolog of the m.3865A&gt;G transition, which has been found concomitantly in the overlap syndrome patient with the m.3376G&gt;A, had only a minor effect. Consequences of a primary LHON-mutation m.3460G&gt;A affecting the same extramembrane loop as the m.3376G&gt;A substitution were also studied in the E. coli model and were found to be mild. The results indicate that the overlap syndrome-associated m.3376G&gt;A transition in MTND1 is the pathogenic mutation and m.3865A&gt;G transition has minor, if any, effect on presentation of the disease. The kinetic effects of the NuoH-E36Q mutation suggest its proximity to the putative ubiquinone binding domain in 49kD/PSST subunits. In all, m.3376G&gt;A perturbs ubiquinone binding, a phenomenon found in LHON, and decreases the activity of fully assembled complex I as in MELAS.","author":[{"dropping-particle":"","family":"Pätsi","given":"Jukka","non-dropping-particle":"","parse-names":false,"suffix":""},{"dropping-particle":"","family":"Maliniemi","given":"Pilvi","non-dropping-particle":"","parse-names":false,"suffix":""},{"dropping-particle":"","family":"Pakanen","given":"Salla","non-dropping-particle":"","parse-names":false,"suffix":""},{"dropping-particle":"","family":"Hinttala","given":"Reetta","non-dropping-particle":"","parse-names":false,"suffix":""},{"dropping-particle":"","family":"Uusimaa","given":"Johanna","non-dropping-particle":"","parse-names":false,"suffix":""},{"dropping-particle":"","family":"Majamaa","given":"Kari","non-dropping-particle":"","parse-names":false,"suffix":""},{"dropping-particle":"","family":"Nyström","given":"Thomas","non-dropping-particle":"","parse-names":false,"suffix":""},{"dropping-particle":"","family":"Kervinen","given":"Marko","non-dropping-particle":"","parse-names":false,"suffix":""},{"dropping-particle":"","family":"Hassinen","given":"Ilmo E","non-dropping-particle":"","parse-names":false,"suffix":""}],"container-title":"Biochimica et biophysica acta","id":"ITEM-1","issue":"2","issued":{"date-parts":[["2012","2"]]},"language":"eng","page":"312-318","publisher-place":"Netherlands","title":"LHON/MELAS overlap mutation in ND1 subunit of mitochondrial complex I affects  ubiquinone binding as revealed by modeling in Escherichia coli NDH-1.","type":"article-journal","volume":"1817"},"uris":["http://www.mendeley.com/documents/?uuid=7b14b126-b02b-4ad5-b718-01804ce6b89f"]}],"mendeley":{"formattedCitation":"(Pätsi &lt;i&gt;et al&lt;/i&gt;, 2012)","plainTextFormattedCitation":"(Pätsi et al, 2012)","previouslyFormattedCitation":"(Pätsi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(Pätsi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5484E2B9" w14:textId="77777777" w:rsidTr="002471A8">
        <w:trPr>
          <w:trHeight w:val="65"/>
        </w:trPr>
        <w:tc>
          <w:tcPr>
            <w:tcW w:w="1975" w:type="dxa"/>
          </w:tcPr>
          <w:p w14:paraId="190EF3B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R37A</w:t>
            </w:r>
          </w:p>
        </w:tc>
        <w:tc>
          <w:tcPr>
            <w:tcW w:w="1800" w:type="dxa"/>
            <w:vMerge w:val="restart"/>
          </w:tcPr>
          <w:p w14:paraId="6DA8520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Q-site, NuoB interface</w:t>
            </w:r>
          </w:p>
        </w:tc>
        <w:tc>
          <w:tcPr>
            <w:tcW w:w="1440" w:type="dxa"/>
          </w:tcPr>
          <w:p w14:paraId="6D609AC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 assembly</w:t>
            </w:r>
          </w:p>
        </w:tc>
        <w:tc>
          <w:tcPr>
            <w:tcW w:w="990" w:type="dxa"/>
          </w:tcPr>
          <w:p w14:paraId="2E1DDCD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19%</w:t>
            </w:r>
          </w:p>
        </w:tc>
        <w:tc>
          <w:tcPr>
            <w:tcW w:w="1260" w:type="dxa"/>
          </w:tcPr>
          <w:p w14:paraId="4AAD1DC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1-3%</w:t>
            </w:r>
          </w:p>
        </w:tc>
        <w:tc>
          <w:tcPr>
            <w:tcW w:w="1080" w:type="dxa"/>
          </w:tcPr>
          <w:p w14:paraId="6E5B818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0%</w:t>
            </w:r>
          </w:p>
        </w:tc>
        <w:tc>
          <w:tcPr>
            <w:tcW w:w="1440" w:type="dxa"/>
          </w:tcPr>
          <w:p w14:paraId="47850104" w14:textId="29AAD9ED"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{"citationItems":[{"id":"ITEM-1","itemData":{"DOI":"10.1074/jbc.M809468200","ISSN":"0021-9258 (Print)","PMID":"19189973","abstract":"The bacterial proton-translocating NADH:quinone oxidoreductase (NDH-1) consists of  two domains, a peripheral arm and a membrane arm. NuoH is a counterpart of ND1, which is one of seven mitochondrially encoded hydrophobic subunits, and is considered to be involved in quinone/inhibitor binding. Sequence comparison in a wide range of species showed that NuoH is comprehensively conserved, particularly with charged residues in the cytoplasmic side loops. We have constructed 40 mutants of 27 conserved residues predicted to be in the cytoplasmic side loops of Escherichia coli NuoH by utilizing the chromosomal DNA manipulation technique and investigated roles of these residues. Mutants of Arg(37), Arg(46), Asp(63), Gly(134), Gly(145), Arg(148), Glu(220), and Glu(228) showed low deamino-NADH-K(3)Fe(CN)(6) reductase activity, undetectable NDH-1 in Blue Native gels, low contents of peripheral subunits (especially NuoB and NuoCD) bound to the membranes, and a significant loss of the membrane potential and proton-pumping function coupled to deamino-NADH oxidation. The results indicated that these conserved residues located in the cytoplasmic side loops are essential for the assembly of the peripheral subunits with the membrane arm. Implications for the involvement of NuoH (ND1) in maintaining the structure and function of NDH-1 are discussed.","author":[{"dropping-particle":"","family":"Sinha","given":"Prem Kumar","non-dropping-particle":"","parse-names":false,"suffix":""},{"dropping-particle":"","family":"Torres-Bacete","given":"Jesus","non-dropping-particle":"","parse-names":false,"suffix":""},{"dropping-particle":"","family":"Nakamaru-Ogiso","given":"Eiko","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chemistry","id":"ITEM-1","issue":"15","issued":{"date-parts":[["2009","4"]]},"language":"eng","page":"9814-9823","title":"Critical roles of subunit NuoH (ND1) in the assembly of peripheral subunits with the  membrane domain of Escherichia coli NDH-1.","type":"article-journal","volume":"284"},"uris":["http://www.mendeley.com/documents/?uuid=94e6ea23-ba78-42b7-8564-979f1e931026"]}],"mendeley":{"formattedCitation":"(Sinha &lt;i&gt;et al&lt;/i&gt;, 2009)","plainTextFormattedCitation":"(Sinha et al, 2009)","previouslyFormattedCitation":"(Sinha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0DA8DDDD" w14:textId="77777777" w:rsidTr="002471A8">
        <w:trPr>
          <w:trHeight w:val="65"/>
        </w:trPr>
        <w:tc>
          <w:tcPr>
            <w:tcW w:w="1975" w:type="dxa"/>
          </w:tcPr>
          <w:p w14:paraId="08FABF1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lastRenderedPageBreak/>
              <w:t>R37K</w:t>
            </w:r>
          </w:p>
        </w:tc>
        <w:tc>
          <w:tcPr>
            <w:tcW w:w="1800" w:type="dxa"/>
            <w:vMerge/>
          </w:tcPr>
          <w:p w14:paraId="168237DE" w14:textId="77777777" w:rsidR="002471A8" w:rsidRPr="00E97FC1" w:rsidRDefault="002471A8" w:rsidP="002471A8">
            <w:pPr>
              <w:rPr>
                <w:rFonts w:ascii="Helvetica" w:hAnsi="Helvetica" w:cs="Helvetica"/>
                <w:sz w:val="20"/>
                <w:szCs w:val="20"/>
                <w:lang w:val="en-GB"/>
              </w:rPr>
            </w:pPr>
          </w:p>
        </w:tc>
        <w:tc>
          <w:tcPr>
            <w:tcW w:w="1440" w:type="dxa"/>
          </w:tcPr>
          <w:p w14:paraId="1CA5F6F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low</w:t>
            </w:r>
          </w:p>
        </w:tc>
        <w:tc>
          <w:tcPr>
            <w:tcW w:w="990" w:type="dxa"/>
          </w:tcPr>
          <w:p w14:paraId="25FF7DB4"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36%</w:t>
            </w:r>
          </w:p>
        </w:tc>
        <w:tc>
          <w:tcPr>
            <w:tcW w:w="1260" w:type="dxa"/>
          </w:tcPr>
          <w:p w14:paraId="5586296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8-13</w:t>
            </w:r>
          </w:p>
        </w:tc>
        <w:tc>
          <w:tcPr>
            <w:tcW w:w="1080" w:type="dxa"/>
          </w:tcPr>
          <w:p w14:paraId="16EFF59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0%</w:t>
            </w:r>
          </w:p>
        </w:tc>
        <w:tc>
          <w:tcPr>
            <w:tcW w:w="1440" w:type="dxa"/>
          </w:tcPr>
          <w:p w14:paraId="0EAC93A5" w14:textId="4FE04AD4"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{"citationItems":[{"id":"ITEM-1","itemData":{"DOI":"10.1074/jbc.M809468200","ISSN":"0021-9258 (Print)","PMID":"19189973","abstract":"The bacterial proton-translocating NADH:quinone oxidoreductase (NDH-1) consists of  two domains, a peripheral arm and a membrane arm. NuoH is a counterpart of ND1, which is one of seven mitochondrially encoded hydrophobic subunits, and is considered to be involved in quinone/inhibitor binding. Sequence comparison in a wide range of species showed that NuoH is comprehensively conserved, particularly with charged residues in the cytoplasmic side loops. We have constructed 40 mutants of 27 conserved residues predicted to be in the cytoplasmic side loops of Escherichia coli NuoH by utilizing the chromosomal DNA manipulation technique and investigated roles of these residues. Mutants of Arg(37), Arg(46), Asp(63), Gly(134), Gly(145), Arg(148), Glu(220), and Glu(228) showed low deamino-NADH-K(3)Fe(CN)(6) reductase activity, undetectable NDH-1 in Blue Native gels, low contents of peripheral subunits (especially NuoB and NuoCD) bound to the membranes, and a significant loss of the membrane potential and proton-pumping function coupled to deamino-NADH oxidation. The results indicated that these conserved residues located in the cytoplasmic side loops are essential for the assembly of the peripheral subunits with the membrane arm. Implications for the involvement of NuoH (ND1) in maintaining the structure and function of NDH-1 are discussed.","author":[{"dropping-particle":"","family":"Sinha","given":"Prem Kumar","non-dropping-particle":"","parse-names":false,"suffix":""},{"dropping-particle":"","family":"Torres-Bacete","given":"Jesus","non-dropping-particle":"","parse-names":false,"suffix":""},{"dropping-particle":"","family":"Nakamaru-Ogiso","given":"Eiko","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chemistry","id":"ITEM-1","issue":"15","issued":{"date-parts":[["2009","4"]]},"language":"eng","page":"9814-9823","title":"Critical roles of subunit NuoH (ND1) in the assembly of peripheral subunits with the  membrane domain of Escherichia coli NDH-1.","type":"article-journal","volume":"284"},"uris":["http://www.mendeley.com/documents/?uuid=94e6ea23-ba78-42b7-8564-979f1e931026"]}],"mendeley":{"formattedCitation":"(Sinha &lt;i&gt;et al&lt;/i&gt;, 2009)","plainTextFormattedCitation":"(Sinha et al, 2009)","previouslyFormattedCitation":"(Sinha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445EBE3E" w14:textId="77777777" w:rsidTr="002471A8">
        <w:trPr>
          <w:trHeight w:val="65"/>
        </w:trPr>
        <w:tc>
          <w:tcPr>
            <w:tcW w:w="1975" w:type="dxa"/>
          </w:tcPr>
          <w:p w14:paraId="22540E4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lastRenderedPageBreak/>
              <w:t>Q44A</w:t>
            </w:r>
          </w:p>
        </w:tc>
        <w:tc>
          <w:tcPr>
            <w:tcW w:w="1800" w:type="dxa"/>
          </w:tcPr>
          <w:p w14:paraId="0DB3721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lang w:val="en-GB"/>
              </w:rPr>
              <w:t>Loop1, Q site</w:t>
            </w:r>
          </w:p>
        </w:tc>
        <w:tc>
          <w:tcPr>
            <w:tcW w:w="1440" w:type="dxa"/>
          </w:tcPr>
          <w:p w14:paraId="382D733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990" w:type="dxa"/>
          </w:tcPr>
          <w:p w14:paraId="42AAC78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121%</w:t>
            </w:r>
          </w:p>
        </w:tc>
        <w:tc>
          <w:tcPr>
            <w:tcW w:w="1260" w:type="dxa"/>
          </w:tcPr>
          <w:p w14:paraId="2CB61E4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45-54</w:t>
            </w:r>
          </w:p>
        </w:tc>
        <w:tc>
          <w:tcPr>
            <w:tcW w:w="1080" w:type="dxa"/>
          </w:tcPr>
          <w:p w14:paraId="61B44A2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440" w:type="dxa"/>
          </w:tcPr>
          <w:p w14:paraId="5C8DBB7E" w14:textId="771ADC45"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{"citationItems":[{"id":"ITEM-1","itemData":{"DOI":"10.1074/jbc.M809468200","ISSN":"0021-9258 (Print)","PMID":"19189973","abstract":"The bacterial proton-translocating NADH:quinone oxidoreductase (NDH-1) consists of  two domains, a peripheral arm and a membrane arm. NuoH is a counterpart of ND1, which is one of seven mitochondrially encoded hydrophobic subunits, and is considered to be involved in quinone/inhibitor binding. Sequence comparison in a wide range of species showed that NuoH is comprehensively conserved, particularly with charged residues in the cytoplasmic side loops. We have constructed 40 mutants of 27 conserved residues predicted to be in the cytoplasmic side loops of Escherichia coli NuoH by utilizing the chromosomal DNA manipulation technique and investigated roles of these residues. Mutants of Arg(37), Arg(46), Asp(63), Gly(134), Gly(145), Arg(148), Glu(220), and Glu(228) showed low deamino-NADH-K(3)Fe(CN)(6) reductase activity, undetectable NDH-1 in Blue Native gels, low contents of peripheral subunits (especially NuoB and NuoCD) bound to the membranes, and a significant loss of the membrane potential and proton-pumping function coupled to deamino-NADH oxidation. The results indicated that these conserved residues located in the cytoplasmic side loops are essential for the assembly of the peripheral subunits with the membrane arm. Implications for the involvement of NuoH (ND1) in maintaining the structure and function of NDH-1 are discussed.","author":[{"dropping-particle":"","family":"Sinha","given":"Prem Kumar","non-dropping-particle":"","parse-names":false,"suffix":""},{"dropping-particle":"","family":"Torres-Bacete","given":"Jesus","non-dropping-particle":"","parse-names":false,"suffix":""},{"dropping-particle":"","family":"Nakamaru-Ogiso","given":"Eiko","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chemistry","id":"ITEM-1","issue":"15","issued":{"date-parts":[["2009","4"]]},"language":"eng","page":"9814-9823","title":"Critical roles of subunit NuoH (ND1) in the assembly of peripheral subunits with the  membrane domain of Escherichia coli NDH-1.","type":"article-journal","volume":"284"},"uris":["http://www.mendeley.com/documents/?uuid=94e6ea23-ba78-42b7-8564-979f1e931026"]}],"mendeley":{"formattedCitation":"(Sinha &lt;i&gt;et al&lt;/i&gt;, 2009)","plainTextFormattedCitation":"(Sinha et al, 2009)","previouslyFormattedCitation":"(Sinha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0312FE7B" w14:textId="77777777" w:rsidTr="002471A8">
        <w:trPr>
          <w:trHeight w:val="65"/>
        </w:trPr>
        <w:tc>
          <w:tcPr>
            <w:tcW w:w="1975" w:type="dxa"/>
          </w:tcPr>
          <w:p w14:paraId="01B538D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R46A</w:t>
            </w:r>
          </w:p>
        </w:tc>
        <w:tc>
          <w:tcPr>
            <w:tcW w:w="1800" w:type="dxa"/>
            <w:vMerge w:val="restart"/>
          </w:tcPr>
          <w:p w14:paraId="2051CA8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lang w:val="en-GB"/>
              </w:rPr>
              <w:t>Loop1, Q site</w:t>
            </w:r>
          </w:p>
        </w:tc>
        <w:tc>
          <w:tcPr>
            <w:tcW w:w="1440" w:type="dxa"/>
          </w:tcPr>
          <w:p w14:paraId="7CD24DCA"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 assembly</w:t>
            </w:r>
          </w:p>
        </w:tc>
        <w:tc>
          <w:tcPr>
            <w:tcW w:w="990" w:type="dxa"/>
          </w:tcPr>
          <w:p w14:paraId="2AFF458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47%</w:t>
            </w:r>
          </w:p>
        </w:tc>
        <w:tc>
          <w:tcPr>
            <w:tcW w:w="1260" w:type="dxa"/>
          </w:tcPr>
          <w:p w14:paraId="1E1C262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6-13</w:t>
            </w:r>
          </w:p>
        </w:tc>
        <w:tc>
          <w:tcPr>
            <w:tcW w:w="1080" w:type="dxa"/>
          </w:tcPr>
          <w:p w14:paraId="38EFE67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0%</w:t>
            </w:r>
          </w:p>
        </w:tc>
        <w:tc>
          <w:tcPr>
            <w:tcW w:w="1440" w:type="dxa"/>
          </w:tcPr>
          <w:p w14:paraId="6669C763" w14:textId="0B102608"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{"citationItems":[{"id":"ITEM-1","itemData":{"DOI":"10.1074/jbc.M809468200","ISSN":"0021-9258 (Print)","PMID":"19189973","abstract":"The bacterial proton-translocating NADH:quinone oxidoreductase (NDH-1) consists of  two domains, a peripheral arm and a membrane arm. NuoH is a counterpart of ND1, which is one of seven mitochondrially encoded hydrophobic subunits, and is considered to be involved in quinone/inhibitor binding. Sequence comparison in a wide range of species showed that NuoH is comprehensively conserved, particularly with charged residues in the cytoplasmic side loops. We have constructed 40 mutants of 27 conserved residues predicted to be in the cytoplasmic side loops of Escherichia coli NuoH by utilizing the chromosomal DNA manipulation technique and investigated roles of these residues. Mutants of Arg(37), Arg(46), Asp(63), Gly(134), Gly(145), Arg(148), Glu(220), and Glu(228) showed low deamino-NADH-K(3)Fe(CN)(6) reductase activity, undetectable NDH-1 in Blue Native gels, low contents of peripheral subunits (especially NuoB and NuoCD) bound to the membranes, and a significant loss of the membrane potential and proton-pumping function coupled to deamino-NADH oxidation. The results indicated that these conserved residues located in the cytoplasmic side loops are essential for the assembly of the peripheral subunits with the membrane arm. Implications for the involvement of NuoH (ND1) in maintaining the structure and function of NDH-1 are discussed.","author":[{"dropping-particle":"","family":"Sinha","given":"Prem Kumar","non-dropping-particle":"","parse-names":false,"suffix":""},{"dropping-particle":"","family":"Torres-Bacete","given":"Jesus","non-dropping-particle":"","parse-names":false,"suffix":""},{"dropping-particle":"","family":"Nakamaru-Ogiso","given":"Eiko","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chemistry","id":"ITEM-1","issue":"15","issued":{"date-parts":[["2009","4"]]},"language":"eng","page":"9814-9823","title":"Critical roles of subunit NuoH (ND1) in the assembly of peripheral subunits with the  membrane domain of Escherichia coli NDH-1.","type":"article-journal","volume":"284"},"uris":["http://www.mendeley.com/documents/?uuid=94e6ea23-ba78-42b7-8564-979f1e931026"]}],"mendeley":{"formattedCitation":"(Sinha &lt;i&gt;et al&lt;/i&gt;, 2009)","plainTextFormattedCitation":"(Sinha et al, 2009)","previouslyFormattedCitation":"(Sinha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27FD4A04" w14:textId="77777777" w:rsidTr="002471A8">
        <w:trPr>
          <w:trHeight w:val="65"/>
        </w:trPr>
        <w:tc>
          <w:tcPr>
            <w:tcW w:w="1975" w:type="dxa"/>
          </w:tcPr>
          <w:p w14:paraId="0AB95C2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R46K</w:t>
            </w:r>
          </w:p>
        </w:tc>
        <w:tc>
          <w:tcPr>
            <w:tcW w:w="1800" w:type="dxa"/>
            <w:vMerge/>
          </w:tcPr>
          <w:p w14:paraId="0411D344" w14:textId="77777777" w:rsidR="002471A8" w:rsidRPr="00E97FC1" w:rsidRDefault="002471A8" w:rsidP="002471A8">
            <w:pPr>
              <w:rPr>
                <w:rFonts w:ascii="Helvetica" w:hAnsi="Helvetica" w:cs="Helvetica"/>
                <w:sz w:val="20"/>
                <w:szCs w:val="20"/>
                <w:lang w:val="en-GB"/>
              </w:rPr>
            </w:pPr>
          </w:p>
        </w:tc>
        <w:tc>
          <w:tcPr>
            <w:tcW w:w="1440" w:type="dxa"/>
          </w:tcPr>
          <w:p w14:paraId="3AE2828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low</w:t>
            </w:r>
          </w:p>
        </w:tc>
        <w:tc>
          <w:tcPr>
            <w:tcW w:w="990" w:type="dxa"/>
          </w:tcPr>
          <w:p w14:paraId="1EB7484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62%</w:t>
            </w:r>
          </w:p>
        </w:tc>
        <w:tc>
          <w:tcPr>
            <w:tcW w:w="1260" w:type="dxa"/>
          </w:tcPr>
          <w:p w14:paraId="785C6B5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23-42</w:t>
            </w:r>
          </w:p>
        </w:tc>
        <w:tc>
          <w:tcPr>
            <w:tcW w:w="1080" w:type="dxa"/>
          </w:tcPr>
          <w:p w14:paraId="0C8EAE2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reduced</w:t>
            </w:r>
          </w:p>
        </w:tc>
        <w:tc>
          <w:tcPr>
            <w:tcW w:w="1440" w:type="dxa"/>
          </w:tcPr>
          <w:p w14:paraId="58BB6422" w14:textId="5062D4D2"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{"citationItems":[{"id":"ITEM-1","itemData":{"DOI":"10.1074/jbc.M809468200","ISSN":"0021-9258 (Print)","PMID":"19189973","abstract":"The bacterial proton-translocating NADH:quinone oxidoreductase (NDH-1) consists of  two domains, a peripheral arm and a membrane arm. NuoH is a counterpart of ND1, which is one of seven mitochondrially encoded hydrophobic subunits, and is considered to be involved in quinone/inhibitor binding. Sequence comparison in a wide range of species showed that NuoH is comprehensively conserved, particularly with charged residues in the cytoplasmic side loops. We have constructed 40 mutants of 27 conserved residues predicted to be in the cytoplasmic side loops of Escherichia coli NuoH by utilizing the chromosomal DNA manipulation technique and investigated roles of these residues. Mutants of Arg(37), Arg(46), Asp(63), Gly(134), Gly(145), Arg(148), Glu(220), and Glu(228) showed low deamino-NADH-K(3)Fe(CN)(6) reductase activity, undetectable NDH-1 in Blue Native gels, low contents of peripheral subunits (especially NuoB and NuoCD) bound to the membranes, and a significant loss of the membrane potential and proton-pumping function coupled to deamino-NADH oxidation. The results indicated that these conserved residues located in the cytoplasmic side loops are essential for the assembly of the peripheral subunits with the membrane arm. Implications for the involvement of NuoH (ND1) in maintaining the structure and function of NDH-1 are discussed.","author":[{"dropping-particle":"","family":"Sinha","given":"Prem Kumar","non-dropping-particle":"","parse-names":false,"suffix":""},{"dropping-particle":"","family":"Torres-Bacete","given":"Jesus","non-dropping-particle":"","parse-names":false,"suffix":""},{"dropping-particle":"","family":"Nakamaru-Ogiso","given":"Eiko","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chemistry","id":"ITEM-1","issue":"15","issued":{"date-parts":[["2009","4"]]},"language":"eng","page":"9814-9823","title":"Critical roles of subunit NuoH (ND1) in the assembly of peripheral subunits with the  membrane domain of Escherichia coli NDH-1.","type":"article-journal","volume":"284"},"uris":["http://www.mendeley.com/documents/?uuid=94e6ea23-ba78-42b7-8564-979f1e931026"]}],"mendeley":{"formattedCitation":"(Sinha &lt;i&gt;et al&lt;/i&gt;, 2009)","plainTextFormattedCitation":"(Sinha et al, 2009)","previouslyFormattedCitation":"(Sinha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666152B0" w14:textId="77777777" w:rsidTr="002471A8">
        <w:trPr>
          <w:trHeight w:val="65"/>
        </w:trPr>
        <w:tc>
          <w:tcPr>
            <w:tcW w:w="1975" w:type="dxa"/>
          </w:tcPr>
          <w:p w14:paraId="3B0D30E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P49A</w:t>
            </w:r>
          </w:p>
        </w:tc>
        <w:tc>
          <w:tcPr>
            <w:tcW w:w="1800" w:type="dxa"/>
          </w:tcPr>
          <w:p w14:paraId="0418EEC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Loop1</w:t>
            </w:r>
          </w:p>
        </w:tc>
        <w:tc>
          <w:tcPr>
            <w:tcW w:w="1440" w:type="dxa"/>
          </w:tcPr>
          <w:p w14:paraId="4B8CDCE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990" w:type="dxa"/>
          </w:tcPr>
          <w:p w14:paraId="76033B84"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78%</w:t>
            </w:r>
          </w:p>
        </w:tc>
        <w:tc>
          <w:tcPr>
            <w:tcW w:w="1260" w:type="dxa"/>
          </w:tcPr>
          <w:p w14:paraId="750F409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39-83</w:t>
            </w:r>
          </w:p>
        </w:tc>
        <w:tc>
          <w:tcPr>
            <w:tcW w:w="1080" w:type="dxa"/>
          </w:tcPr>
          <w:p w14:paraId="652DFAF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reduced</w:t>
            </w:r>
          </w:p>
        </w:tc>
        <w:tc>
          <w:tcPr>
            <w:tcW w:w="1440" w:type="dxa"/>
          </w:tcPr>
          <w:p w14:paraId="30026173" w14:textId="33D2D433"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{"citationItems":[{"id":"ITEM-1","itemData":{"DOI":"10.1074/jbc.M809468200","ISSN":"0021-9258 (Print)","PMID":"19189973","abstract":"The bacterial proton-translocating NADH:quinone oxidoreductase (NDH-1) consists of  two domains, a peripheral arm and a membrane arm. NuoH is a counterpart of ND1, which is one of seven mitochondrially encoded hydrophobic subunits, and is considered to be involved in quinone/inhibitor binding. Sequence comparison in a wide range of species showed that NuoH is comprehensively conserved, particularly with charged residues in the cytoplasmic side loops. We have constructed 40 mutants of 27 conserved residues predicted to be in the cytoplasmic side loops of Escherichia coli NuoH by utilizing the chromosomal DNA manipulation technique and investigated roles of these residues. Mutants of Arg(37), Arg(46), Asp(63), Gly(134), Gly(145), Arg(148), Glu(220), and Glu(228) showed low deamino-NADH-K(3)Fe(CN)(6) reductase activity, undetectable NDH-1 in Blue Native gels, low contents of peripheral subunits (especially NuoB and NuoCD) bound to the membranes, and a significant loss of the membrane potential and proton-pumping function coupled to deamino-NADH oxidation. The results indicated that these conserved residues located in the cytoplasmic side loops are essential for the assembly of the peripheral subunits with the membrane arm. Implications for the involvement of NuoH (ND1) in maintaining the structure and function of NDH-1 are discussed.","author":[{"dropping-particle":"","family":"Sinha","given":"Prem Kumar","non-dropping-particle":"","parse-names":false,"suffix":""},{"dropping-particle":"","family":"Torres-Bacete","given":"Jesus","non-dropping-particle":"","parse-names":false,"suffix":""},{"dropping-particle":"","family":"Nakamaru-Ogiso","given":"Eiko","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chemistry","id":"ITEM-1","issue":"15","issued":{"date-parts":[["2009","4"]]},"language":"eng","page":"9814-9823","title":"Critical roles of subunit NuoH (ND1) in the assembly of peripheral subunits with the  membrane domain of Escherichia coli NDH-1.","type":"article-journal","volume":"284"},"uris":["http://www.mendeley.com/documents/?uuid=94e6ea23-ba78-42b7-8564-979f1e931026"]}],"mendeley":{"formattedCitation":"(Sinha &lt;i&gt;et al&lt;/i&gt;, 2009)","plainTextFormattedCitation":"(Sinha et al, 2009)","previouslyFormattedCitation":"(Sinha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623FEF96" w14:textId="77777777" w:rsidTr="002471A8">
        <w:trPr>
          <w:trHeight w:val="65"/>
        </w:trPr>
        <w:tc>
          <w:tcPr>
            <w:tcW w:w="1975" w:type="dxa"/>
          </w:tcPr>
          <w:p w14:paraId="3EAE28F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D63E</w:t>
            </w:r>
          </w:p>
        </w:tc>
        <w:tc>
          <w:tcPr>
            <w:tcW w:w="1800" w:type="dxa"/>
            <w:vMerge w:val="restart"/>
          </w:tcPr>
          <w:p w14:paraId="3A657AD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Q-site (entry)</w:t>
            </w:r>
          </w:p>
        </w:tc>
        <w:tc>
          <w:tcPr>
            <w:tcW w:w="1440" w:type="dxa"/>
          </w:tcPr>
          <w:p w14:paraId="622598E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990" w:type="dxa"/>
          </w:tcPr>
          <w:p w14:paraId="57672B0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112%</w:t>
            </w:r>
          </w:p>
        </w:tc>
        <w:tc>
          <w:tcPr>
            <w:tcW w:w="1260" w:type="dxa"/>
          </w:tcPr>
          <w:p w14:paraId="2BEBBC3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91-93</w:t>
            </w:r>
          </w:p>
        </w:tc>
        <w:tc>
          <w:tcPr>
            <w:tcW w:w="1080" w:type="dxa"/>
          </w:tcPr>
          <w:p w14:paraId="0D9F39D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440" w:type="dxa"/>
          </w:tcPr>
          <w:p w14:paraId="307A634B" w14:textId="6E6DB8BF"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{"citationItems":[{"id":"ITEM-1","itemData":{"DOI":"10.1074/jbc.M809468200","ISSN":"0021-9258 (Print)","PMID":"19189973","abstract":"The bacterial proton-translocating NADH:quinone oxidoreductase (NDH-1) consists of  two domains, a peripheral arm and a membrane arm. NuoH is a counterpart of ND1, which is one of seven mitochondrially encoded hydrophobic subunits, and is considered to be involved in quinone/inhibitor binding. Sequence comparison in a wide range of species showed that NuoH is comprehensively conserved, particularly with charged residues in the cytoplasmic side loops. We have constructed 40 mutants of 27 conserved residues predicted to be in the cytoplasmic side loops of Escherichia coli NuoH by utilizing the chromosomal DNA manipulation technique and investigated roles of these residues. Mutants of Arg(37), Arg(46), Asp(63), Gly(134), Gly(145), Arg(148), Glu(220), and Glu(228) showed low deamino-NADH-K(3)Fe(CN)(6) reductase activity, undetectable NDH-1 in Blue Native gels, low contents of peripheral subunits (especially NuoB and NuoCD) bound to the membranes, and a significant loss of the membrane potential and proton-pumping function coupled to deamino-NADH oxidation. The results indicated that these conserved residues located in the cytoplasmic side loops are essential for the assembly of the peripheral subunits with the membrane arm. Implications for the involvement of NuoH (ND1) in maintaining the structure and function of NDH-1 are discussed.","author":[{"dropping-particle":"","family":"Sinha","given":"Prem Kumar","non-dropping-particle":"","parse-names":false,"suffix":""},{"dropping-particle":"","family":"Torres-Bacete","given":"Jesus","non-dropping-particle":"","parse-names":false,"suffix":""},{"dropping-particle":"","family":"Nakamaru-Ogiso","given":"Eiko","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chemistry","id":"ITEM-1","issue":"15","issued":{"date-parts":[["2009","4"]]},"language":"eng","page":"9814-9823","title":"Critical roles of subunit NuoH (ND1) in the assembly of peripheral subunits with the  membrane domain of Escherichia coli NDH-1.","type":"article-journal","volume":"284"},"uris":["http://www.mendeley.com/documents/?uuid=94e6ea23-ba78-42b7-8564-979f1e931026"]}],"mendeley":{"formattedCitation":"(Sinha &lt;i&gt;et al&lt;/i&gt;, 2009)","plainTextFormattedCitation":"(Sinha et al, 2009)","previouslyFormattedCitation":"(Sinha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06742262" w14:textId="77777777" w:rsidTr="002471A8">
        <w:trPr>
          <w:trHeight w:val="65"/>
        </w:trPr>
        <w:tc>
          <w:tcPr>
            <w:tcW w:w="1975" w:type="dxa"/>
          </w:tcPr>
          <w:p w14:paraId="49D7484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D63E</w:t>
            </w:r>
          </w:p>
        </w:tc>
        <w:tc>
          <w:tcPr>
            <w:tcW w:w="1800" w:type="dxa"/>
            <w:vMerge/>
          </w:tcPr>
          <w:p w14:paraId="62FD80A5" w14:textId="77777777" w:rsidR="002471A8" w:rsidRPr="00E97FC1" w:rsidRDefault="002471A8" w:rsidP="002471A8">
            <w:pPr>
              <w:rPr>
                <w:rFonts w:ascii="Helvetica" w:hAnsi="Helvetica" w:cs="Helvetica"/>
                <w:sz w:val="20"/>
                <w:szCs w:val="20"/>
                <w:lang w:val="en-GB"/>
              </w:rPr>
            </w:pPr>
          </w:p>
        </w:tc>
        <w:tc>
          <w:tcPr>
            <w:tcW w:w="1440" w:type="dxa"/>
          </w:tcPr>
          <w:p w14:paraId="323D2F8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990" w:type="dxa"/>
          </w:tcPr>
          <w:p w14:paraId="7054417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78%</w:t>
            </w:r>
          </w:p>
        </w:tc>
        <w:tc>
          <w:tcPr>
            <w:tcW w:w="1260" w:type="dxa"/>
          </w:tcPr>
          <w:p w14:paraId="6B60C87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35%</w:t>
            </w:r>
          </w:p>
        </w:tc>
        <w:tc>
          <w:tcPr>
            <w:tcW w:w="1080" w:type="dxa"/>
          </w:tcPr>
          <w:p w14:paraId="7AF6C99A"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440" w:type="dxa"/>
          </w:tcPr>
          <w:p w14:paraId="68A11373" w14:textId="6AC19CC2"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{"citationItems":[{"id":"ITEM-1","itemData":{"DOI":"10.1016/j.bbabio.2011.10.014","ISSN":"0006-3002 (Print)","PMID":"22079202","abstract":"Defects in complex I due to mutations in mitochondrial DNA are associated with  clinical features ranging from single organ manifestation like Leber hereditary optic neuropathy (LHON) to multiorgan disorders like mitochondrial myopathy, encephalopathy, lactic acidosis and stroke-like episodes (MELAS) syndrome. Specific mutations cause overlap syndromes combining several phenotypes, but the mechanisms of their biochemical effects are largely unknown. The m.3376G&gt;A transition leading to p.E24K substitution in ND1 with LHON/MELAS phenotype was modeled here in a homologous position (NuoH-E36K) in the Escherichia coli enzyme and it almost totally abolished complex I activity. The more conservative mutation NuoH-E36Q resulted in higher apparent K(m) for ubiquinone and diminished inhibitor sensitivity. A NuoH homolog of the m.3865A&gt;G transition, which has been found concomitantly in the overlap syndrome patient with the m.3376G&gt;A, had only a minor effect. Consequences of a primary LHON-mutation m.3460G&gt;A affecting the same extramembrane loop as the m.3376G&gt;A substitution were also studied in the E. coli model and were found to be mild. The results indicate that the overlap syndrome-associated m.3376G&gt;A transition in MTND1 is the pathogenic mutation and m.3865A&gt;G transition has minor, if any, effect on presentation of the disease. The kinetic effects of the NuoH-E36Q mutation suggest its proximity to the putative ubiquinone binding domain in 49kD/PSST subunits. In all, m.3376G&gt;A perturbs ubiquinone binding, a phenomenon found in LHON, and decreases the activity of fully assembled complex I as in MELAS.","author":[{"dropping-particle":"","family":"Pätsi","given":"Jukka","non-dropping-particle":"","parse-names":false,"suffix":""},{"dropping-particle":"","family":"Maliniemi","given":"Pilvi","non-dropping-particle":"","parse-names":false,"suffix":""},{"dropping-particle":"","family":"Pakanen","given":"Salla","non-dropping-particle":"","parse-names":false,"suffix":""},{"dropping-particle":"","family":"Hinttala","given":"Reetta","non-dropping-particle":"","parse-names":false,"suffix":""},{"dropping-particle":"","family":"Uusimaa","given":"Johanna","non-dropping-particle":"","parse-names":false,"suffix":""},{"dropping-particle":"","family":"Majamaa","given":"Kari","non-dropping-particle":"","parse-names":false,"suffix":""},{"dropping-particle":"","family":"Nyström","given":"Thomas","non-dropping-particle":"","parse-names":false,"suffix":""},{"dropping-particle":"","family":"Kervinen","given":"Marko","non-dropping-particle":"","parse-names":false,"suffix":""},{"dropping-particle":"","family":"Hassinen","given":"Ilmo E","non-dropping-particle":"","parse-names":false,"suffix":""}],"container-title":"Biochimica et biophysica acta","id":"ITEM-1","issue":"2","issued":{"date-parts":[["2012","2"]]},"language":"eng","page":"312-318","publisher-place":"Netherlands","title":"LHON/MELAS overlap mutation in ND1 subunit of mitochondrial complex I affects  ubiquinone binding as revealed by modeling in Escherichia coli NDH-1.","type":"article-journal","volume":"1817"},"uris":["http://www.mendeley.com/documents/?uuid=7b14b126-b02b-4ad5-b718-01804ce6b89f"]}],"mendeley":{"formattedCitation":"(Pätsi &lt;i&gt;et al&lt;/i&gt;, 2012)","plainTextFormattedCitation":"(Pätsi et al, 2012)","previouslyFormattedCitation":"(Pätsi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(Pätsi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45F45DE6" w14:textId="77777777" w:rsidTr="002471A8">
        <w:trPr>
          <w:trHeight w:val="65"/>
        </w:trPr>
        <w:tc>
          <w:tcPr>
            <w:tcW w:w="1975" w:type="dxa"/>
          </w:tcPr>
          <w:p w14:paraId="3057C9E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D63A</w:t>
            </w:r>
          </w:p>
        </w:tc>
        <w:tc>
          <w:tcPr>
            <w:tcW w:w="1800" w:type="dxa"/>
            <w:vMerge/>
          </w:tcPr>
          <w:p w14:paraId="32E903D3" w14:textId="77777777" w:rsidR="002471A8" w:rsidRPr="00E97FC1" w:rsidRDefault="002471A8" w:rsidP="002471A8">
            <w:pPr>
              <w:rPr>
                <w:rFonts w:ascii="Helvetica" w:hAnsi="Helvetica" w:cs="Helvetica"/>
                <w:sz w:val="20"/>
                <w:szCs w:val="20"/>
                <w:lang w:val="en-GB"/>
              </w:rPr>
            </w:pPr>
          </w:p>
        </w:tc>
        <w:tc>
          <w:tcPr>
            <w:tcW w:w="1440" w:type="dxa"/>
          </w:tcPr>
          <w:p w14:paraId="304480E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 assembly</w:t>
            </w:r>
          </w:p>
        </w:tc>
        <w:tc>
          <w:tcPr>
            <w:tcW w:w="990" w:type="dxa"/>
          </w:tcPr>
          <w:p w14:paraId="4F111FA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18%</w:t>
            </w:r>
          </w:p>
        </w:tc>
        <w:tc>
          <w:tcPr>
            <w:tcW w:w="1260" w:type="dxa"/>
          </w:tcPr>
          <w:p w14:paraId="5EF8941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1-2%</w:t>
            </w:r>
          </w:p>
        </w:tc>
        <w:tc>
          <w:tcPr>
            <w:tcW w:w="1080" w:type="dxa"/>
          </w:tcPr>
          <w:p w14:paraId="0157618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0%</w:t>
            </w:r>
          </w:p>
        </w:tc>
        <w:tc>
          <w:tcPr>
            <w:tcW w:w="1440" w:type="dxa"/>
          </w:tcPr>
          <w:p w14:paraId="1045199D" w14:textId="3906F76E"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{"citationItems":[{"id":"ITEM-1","itemData":{"DOI":"10.1074/jbc.M809468200","ISSN":"0021-9258 (Print)","PMID":"19189973","abstract":"The bacterial proton-translocating NADH:quinone oxidoreductase (NDH-1) consists of  two domains, a peripheral arm and a membrane arm. NuoH is a counterpart of ND1, which is one of seven mitochondrially encoded hydrophobic subunits, and is considered to be involved in quinone/inhibitor binding. Sequence comparison in a wide range of species showed that NuoH is comprehensively conserved, particularly with charged residues in the cytoplasmic side loops. We have constructed 40 mutants of 27 conserved residues predicted to be in the cytoplasmic side loops of Escherichia coli NuoH by utilizing the chromosomal DNA manipulation technique and investigated roles of these residues. Mutants of Arg(37), Arg(46), Asp(63), Gly(134), Gly(145), Arg(148), Glu(220), and Glu(228) showed low deamino-NADH-K(3)Fe(CN)(6) reductase activity, undetectable NDH-1 in Blue Native gels, low contents of peripheral subunits (especially NuoB and NuoCD) bound to the membranes, and a significant loss of the membrane potential and proton-pumping function coupled to deamino-NADH oxidation. The results indicated that these conserved residues located in the cytoplasmic side loops are essential for the assembly of the peripheral subunits with the membrane arm. Implications for the involvement of NuoH (ND1) in maintaining the structure and function of NDH-1 are discussed.","author":[{"dropping-particle":"","family":"Sinha","given":"Prem Kumar","non-dropping-particle":"","parse-names":false,"suffix":""},{"dropping-particle":"","family":"Torres-Bacete","given":"Jesus","non-dropping-particle":"","parse-names":false,"suffix":""},{"dropping-particle":"","family":"Nakamaru-Ogiso","given":"Eiko","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chemistry","id":"ITEM-1","issue":"15","issued":{"date-parts":[["2009","4"]]},"language":"eng","page":"9814-9823","title":"Critical roles of subunit NuoH (ND1) in the assembly of peripheral subunits with the  membrane domain of Escherichia coli NDH-1.","type":"article-journal","volume":"284"},"uris":["http://www.mendeley.com/documents/?uuid=94e6ea23-ba78-42b7-8564-979f1e931026"]}],"mendeley":{"formattedCitation":"(Sinha &lt;i&gt;et al&lt;/i&gt;, 2009)","plainTextFormattedCitation":"(Sinha et al, 2009)","previouslyFormattedCitation":"(Sinha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49A0E081" w14:textId="77777777" w:rsidTr="002471A8">
        <w:trPr>
          <w:trHeight w:val="65"/>
        </w:trPr>
        <w:tc>
          <w:tcPr>
            <w:tcW w:w="1975" w:type="dxa"/>
          </w:tcPr>
          <w:p w14:paraId="4AC318E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D63N</w:t>
            </w:r>
          </w:p>
        </w:tc>
        <w:tc>
          <w:tcPr>
            <w:tcW w:w="1800" w:type="dxa"/>
            <w:vMerge/>
          </w:tcPr>
          <w:p w14:paraId="39A058D9" w14:textId="77777777" w:rsidR="002471A8" w:rsidRPr="00E97FC1" w:rsidRDefault="002471A8" w:rsidP="002471A8">
            <w:pPr>
              <w:rPr>
                <w:rFonts w:ascii="Helvetica" w:hAnsi="Helvetica" w:cs="Helvetica"/>
                <w:sz w:val="20"/>
                <w:szCs w:val="20"/>
                <w:lang w:val="en-GB"/>
              </w:rPr>
            </w:pPr>
          </w:p>
        </w:tc>
        <w:tc>
          <w:tcPr>
            <w:tcW w:w="1440" w:type="dxa"/>
          </w:tcPr>
          <w:p w14:paraId="577D565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 assembly</w:t>
            </w:r>
          </w:p>
        </w:tc>
        <w:tc>
          <w:tcPr>
            <w:tcW w:w="990" w:type="dxa"/>
          </w:tcPr>
          <w:p w14:paraId="7E6756A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24%</w:t>
            </w:r>
          </w:p>
        </w:tc>
        <w:tc>
          <w:tcPr>
            <w:tcW w:w="1260" w:type="dxa"/>
          </w:tcPr>
          <w:p w14:paraId="5D74EE5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w:t>
            </w:r>
          </w:p>
        </w:tc>
        <w:tc>
          <w:tcPr>
            <w:tcW w:w="1080" w:type="dxa"/>
          </w:tcPr>
          <w:p w14:paraId="69E90C3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0%</w:t>
            </w:r>
          </w:p>
        </w:tc>
        <w:tc>
          <w:tcPr>
            <w:tcW w:w="1440" w:type="dxa"/>
          </w:tcPr>
          <w:p w14:paraId="2C86C784" w14:textId="42AF9BB7"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{"citationItems":[{"id":"ITEM-1","itemData":{"DOI":"10.1074/jbc.M809468200","ISSN":"0021-9258 (Print)","PMID":"19189973","abstract":"The bacterial proton-translocating NADH:quinone oxidoreductase (NDH-1) consists of  two domains, a peripheral arm and a membrane arm. NuoH is a counterpart of ND1, which is one of seven mitochondrially encoded hydrophobic subunits, and is considered to be involved in quinone/inhibitor binding. Sequence comparison in a wide range of species showed that NuoH is comprehensively conserved, particularly with charged residues in the cytoplasmic side loops. We have constructed 40 mutants of 27 conserved residues predicted to be in the cytoplasmic side loops of Escherichia coli NuoH by utilizing the chromosomal DNA manipulation technique and investigated roles of these residues. Mutants of Arg(37), Arg(46), Asp(63), Gly(134), Gly(145), Arg(148), Glu(220), and Glu(228) showed low deamino-NADH-K(3)Fe(CN)(6) reductase activity, undetectable NDH-1 in Blue Native gels, low contents of peripheral subunits (especially NuoB and NuoCD) bound to the membranes, and a significant loss of the membrane potential and proton-pumping function coupled to deamino-NADH oxidation. The results indicated that these conserved residues located in the cytoplasmic side loops are essential for the assembly of the peripheral subunits with the membrane arm. Implications for the involvement of NuoH (ND1) in maintaining the structure and function of NDH-1 are discussed.","author":[{"dropping-particle":"","family":"Sinha","given":"Prem Kumar","non-dropping-particle":"","parse-names":false,"suffix":""},{"dropping-particle":"","family":"Torres-Bacete","given":"Jesus","non-dropping-particle":"","parse-names":false,"suffix":""},{"dropping-particle":"","family":"Nakamaru-Ogiso","given":"Eiko","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chemistry","id":"ITEM-1","issue":"15","issued":{"date-parts":[["2009","4"]]},"language":"eng","page":"9814-9823","title":"Critical roles of subunit NuoH (ND1) in the assembly of peripheral subunits with the  membrane domain of Escherichia coli NDH-1.","type":"article-journal","volume":"284"},"uris":["http://www.mendeley.com/documents/?uuid=94e6ea23-ba78-42b7-8564-979f1e931026"]}],"mendeley":{"formattedCitation":"(Sinha &lt;i&gt;et al&lt;/i&gt;, 2009)","plainTextFormattedCitation":"(Sinha et al, 2009)","previouslyFormattedCitation":"(Sinha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501AC13F" w14:textId="77777777" w:rsidTr="002471A8">
        <w:trPr>
          <w:trHeight w:val="65"/>
        </w:trPr>
        <w:tc>
          <w:tcPr>
            <w:tcW w:w="1975" w:type="dxa"/>
          </w:tcPr>
          <w:p w14:paraId="3BD18EA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M64T</w:t>
            </w:r>
          </w:p>
        </w:tc>
        <w:tc>
          <w:tcPr>
            <w:tcW w:w="1800" w:type="dxa"/>
          </w:tcPr>
          <w:p w14:paraId="7159813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Q-entry</w:t>
            </w:r>
          </w:p>
        </w:tc>
        <w:tc>
          <w:tcPr>
            <w:tcW w:w="1440" w:type="dxa"/>
          </w:tcPr>
          <w:p w14:paraId="11BE125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990" w:type="dxa"/>
          </w:tcPr>
          <w:p w14:paraId="43D154E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86%</w:t>
            </w:r>
          </w:p>
        </w:tc>
        <w:tc>
          <w:tcPr>
            <w:tcW w:w="1260" w:type="dxa"/>
          </w:tcPr>
          <w:p w14:paraId="50B3644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90%</w:t>
            </w:r>
          </w:p>
        </w:tc>
        <w:tc>
          <w:tcPr>
            <w:tcW w:w="1080" w:type="dxa"/>
          </w:tcPr>
          <w:p w14:paraId="0D1AFEB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440" w:type="dxa"/>
          </w:tcPr>
          <w:p w14:paraId="5FAB77AB" w14:textId="3C378672"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{"citationItems":[{"id":"ITEM-1","itemData":{"DOI":"10.1016/j.bbabio.2011.10.014","ISSN":"0006-3002 (Print)","PMID":"22079202","abstract":"Defects in complex I due to mutations in mitochondrial DNA are associated with  clinical features ranging from single organ manifestation like Leber hereditary optic neuropathy (LHON) to multiorgan disorders like mitochondrial myopathy, encephalopathy, lactic acidosis and stroke-like episodes (MELAS) syndrome. Specific mutations cause overlap syndromes combining several phenotypes, but the mechanisms of their biochemical effects are largely unknown. The m.3376G&gt;A transition leading to p.E24K substitution in ND1 with LHON/MELAS phenotype was modeled here in a homologous position (NuoH-E36K) in the Escherichia coli enzyme and it almost totally abolished complex I activity. The more conservative mutation NuoH-E36Q resulted in higher apparent K(m) for ubiquinone and diminished inhibitor sensitivity. A NuoH homolog of the m.3865A&gt;G transition, which has been found concomitantly in the overlap syndrome patient with the m.3376G&gt;A, had only a minor effect. Consequences of a primary LHON-mutation m.3460G&gt;A affecting the same extramembrane loop as the m.3376G&gt;A substitution were also studied in the E. coli model and were found to be mild. The results indicate that the overlap syndrome-associated m.3376G&gt;A transition in MTND1 is the pathogenic mutation and m.3865A&gt;G transition has minor, if any, effect on presentation of the disease. The kinetic effects of the NuoH-E36Q mutation suggest its proximity to the putative ubiquinone binding domain in 49kD/PSST subunits. In all, m.3376G&gt;A perturbs ubiquinone binding, a phenomenon found in LHON, and decreases the activity of fully assembled complex I as in MELAS.","author":[{"dropping-particle":"","family":"Pätsi","given":"Jukka","non-dropping-particle":"","parse-names":false,"suffix":""},{"dropping-particle":"","family":"Maliniemi","given":"Pilvi","non-dropping-particle":"","parse-names":false,"suffix":""},{"dropping-particle":"","family":"Pakanen","given":"Salla","non-dropping-particle":"","parse-names":false,"suffix":""},{"dropping-particle":"","family":"Hinttala","given":"Reetta","non-dropping-particle":"","parse-names":false,"suffix":""},{"dropping-particle":"","family":"Uusimaa","given":"Johanna","non-dropping-particle":"","parse-names":false,"suffix":""},{"dropping-particle":"","family":"Majamaa","given":"Kari","non-dropping-particle":"","parse-names":false,"suffix":""},{"dropping-particle":"","family":"Nyström","given":"Thomas","non-dropping-particle":"","parse-names":false,"suffix":""},{"dropping-particle":"","family":"Kervinen","given":"Marko","non-dropping-particle":"","parse-names":false,"suffix":""},{"dropping-particle":"","family":"Hassinen","given":"Ilmo E","non-dropping-particle":"","parse-names":false,"suffix":""}],"container-title":"Biochimica et biophysica acta","id":"ITEM-1","issue":"2","issued":{"date-parts":[["2012","2"]]},"language":"eng","page":"312-318","publisher-place":"Netherlands","title":"LHON/MELAS overlap mutation in ND1 subunit of mitochondrial complex I affects  ubiquinone binding as revealed by modeling in Escherichia coli NDH-1.","type":"article-journal","volume":"1817"},"uris":["http://www.mendeley.com/documents/?uuid=7b14b126-b02b-4ad5-b718-01804ce6b89f"]}],"mendeley":{"formattedCitation":"(Pätsi &lt;i&gt;et al&lt;/i&gt;, 2012)","plainTextFormattedCitation":"(Pätsi et al, 2012)","previouslyFormattedCitation":"(Pätsi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(Pätsi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269239DA" w14:textId="77777777" w:rsidTr="002471A8">
        <w:trPr>
          <w:trHeight w:val="65"/>
        </w:trPr>
        <w:tc>
          <w:tcPr>
            <w:tcW w:w="1975" w:type="dxa"/>
          </w:tcPr>
          <w:p w14:paraId="2D747DD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K70A</w:t>
            </w:r>
          </w:p>
        </w:tc>
        <w:tc>
          <w:tcPr>
            <w:tcW w:w="1800" w:type="dxa"/>
          </w:tcPr>
          <w:p w14:paraId="690C161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NuoB interface</w:t>
            </w:r>
          </w:p>
        </w:tc>
        <w:tc>
          <w:tcPr>
            <w:tcW w:w="1440" w:type="dxa"/>
          </w:tcPr>
          <w:p w14:paraId="0FB855A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990" w:type="dxa"/>
          </w:tcPr>
          <w:p w14:paraId="2DBAFE0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111%</w:t>
            </w:r>
          </w:p>
        </w:tc>
        <w:tc>
          <w:tcPr>
            <w:tcW w:w="1260" w:type="dxa"/>
          </w:tcPr>
          <w:p w14:paraId="79B1016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93-98%</w:t>
            </w:r>
          </w:p>
        </w:tc>
        <w:tc>
          <w:tcPr>
            <w:tcW w:w="1080" w:type="dxa"/>
          </w:tcPr>
          <w:p w14:paraId="168FAD9A"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440" w:type="dxa"/>
          </w:tcPr>
          <w:p w14:paraId="2103B70D" w14:textId="0E9EB190"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{"citationItems":[{"id":"ITEM-1","itemData":{"DOI":"10.1074/jbc.M809468200","ISSN":"0021-9258 (Print)","PMID":"19189973","abstract":"The bacterial proton-translocating NADH:quinone oxidoreductase (NDH-1) consists of  two domains, a peripheral arm and a membrane arm. NuoH is a counterpart of ND1, which is one of seven mitochondrially encoded hydrophobic subunits, and is considered to be involved in quinone/inhibitor binding. Sequence comparison in a wide range of species showed that NuoH is comprehensively conserved, particularly with charged residues in the cytoplasmic side loops. We have constructed 40 mutants of 27 conserved residues predicted to be in the cytoplasmic side loops of Escherichia coli NuoH by utilizing the chromosomal DNA manipulation technique and investigated roles of these residues. Mutants of Arg(37), Arg(46), Asp(63), Gly(134), Gly(145), Arg(148), Glu(220), and Glu(228) showed low deamino-NADH-K(3)Fe(CN)(6) reductase activity, undetectable NDH-1 in Blue Native gels, low contents of peripheral subunits (especially NuoB and NuoCD) bound to the membranes, and a significant loss of the membrane potential and proton-pumping function coupled to deamino-NADH oxidation. The results indicated that these conserved residues located in the cytoplasmic side loops are essential for the assembly of the peripheral subunits with the membrane arm. Implications for the involvement of NuoH (ND1) in maintaining the structure and function of NDH-1 are discussed.","author":[{"dropping-particle":"","family":"Sinha","given":"Prem Kumar","non-dropping-particle":"","parse-names":false,"suffix":""},{"dropping-particle":"","family":"Torres-Bacete","given":"Jesus","non-dropping-particle":"","parse-names":false,"suffix":""},{"dropping-particle":"","family":"Nakamaru-Ogiso","given":"Eiko","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chemistry","id":"ITEM-1","issue":"15","issued":{"date-parts":[["2009","4"]]},"language":"eng","page":"9814-9823","title":"Critical roles of subunit NuoH (ND1) in the assembly of peripheral subunits with the  membrane domain of Escherichia coli NDH-1.","type":"article-journal","volume":"284"},"uris":["http://www.mendeley.com/documents/?uuid=94e6ea23-ba78-42b7-8564-979f1e931026"]}],"mendeley":{"formattedCitation":"(Sinha &lt;i&gt;et al&lt;/i&gt;, 2009)","plainTextFormattedCitation":"(Sinha et al, 2009)","previouslyFormattedCitation":"(Sinha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09B6B83A" w14:textId="77777777" w:rsidTr="002471A8">
        <w:trPr>
          <w:trHeight w:val="65"/>
        </w:trPr>
        <w:tc>
          <w:tcPr>
            <w:tcW w:w="1975" w:type="dxa"/>
          </w:tcPr>
          <w:p w14:paraId="52C228A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E71A</w:t>
            </w:r>
          </w:p>
        </w:tc>
        <w:tc>
          <w:tcPr>
            <w:tcW w:w="1800" w:type="dxa"/>
          </w:tcPr>
          <w:p w14:paraId="7D9E5AF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NuoB, A interface</w:t>
            </w:r>
          </w:p>
        </w:tc>
        <w:tc>
          <w:tcPr>
            <w:tcW w:w="1440" w:type="dxa"/>
          </w:tcPr>
          <w:p w14:paraId="3F13CC4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990" w:type="dxa"/>
          </w:tcPr>
          <w:p w14:paraId="7591B6C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72%</w:t>
            </w:r>
          </w:p>
        </w:tc>
        <w:tc>
          <w:tcPr>
            <w:tcW w:w="1260" w:type="dxa"/>
          </w:tcPr>
          <w:p w14:paraId="721F014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37-65%</w:t>
            </w:r>
          </w:p>
        </w:tc>
        <w:tc>
          <w:tcPr>
            <w:tcW w:w="1080" w:type="dxa"/>
          </w:tcPr>
          <w:p w14:paraId="2A8212E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reduced</w:t>
            </w:r>
          </w:p>
        </w:tc>
        <w:tc>
          <w:tcPr>
            <w:tcW w:w="1440" w:type="dxa"/>
          </w:tcPr>
          <w:p w14:paraId="5B1D2F91" w14:textId="5FD81415"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{"citationItems":[{"id":"ITEM-1","itemData":{"DOI":"10.1074/jbc.M809468200","ISSN":"0021-9258 (Print)","PMID":"19189973","abstract":"The bacterial proton-translocating NADH:quinone oxidoreductase (NDH-1) consists of  two domains, a peripheral arm and a membrane arm. NuoH is a counterpart of ND1, which is one of seven mitochondrially encoded hydrophobic subunits, and is considered to be involved in quinone/inhibitor binding. Sequence comparison in a wide range of species showed that NuoH is comprehensively conserved, particularly with charged residues in the cytoplasmic side loops. We have constructed 40 mutants of 27 conserved residues predicted to be in the cytoplasmic side loops of Escherichia coli NuoH by utilizing the chromosomal DNA manipulation technique and investigated roles of these residues. Mutants of Arg(37), Arg(46), Asp(63), Gly(134), Gly(145), Arg(148), Glu(220), and Glu(228) showed low deamino-NADH-K(3)Fe(CN)(6) reductase activity, undetectable NDH-1 in Blue Native gels, low contents of peripheral subunits (especially NuoB and NuoCD) bound to the membranes, and a significant loss of the membrane potential and proton-pumping function coupled to deamino-NADH oxidation. The results indicated that these conserved residues located in the cytoplasmic side loops are essential for the assembly of the peripheral subunits with the membrane arm. Implications for the involvement of NuoH (ND1) in maintaining the structure and function of NDH-1 are discussed.","author":[{"dropping-particle":"","family":"Sinha","given":"Prem Kumar","non-dropping-particle":"","parse-names":false,"suffix":""},{"dropping-particle":"","family":"Torres-Bacete","given":"Jesus","non-dropping-particle":"","parse-names":false,"suffix":""},{"dropping-particle":"","family":"Nakamaru-Ogiso","given":"Eiko","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chemistry","id":"ITEM-1","issue":"15","issued":{"date-parts":[["2009","4"]]},"language":"eng","page":"9814-9823","title":"Critical roles of subunit NuoH (ND1) in the assembly of peripheral subunits with the  membrane domain of Escherichia coli NDH-1.","type":"article-journal","volume":"284"},"uris":["http://www.mendeley.com/documents/?uuid=94e6ea23-ba78-42b7-8564-979f1e931026"]}],"mendeley":{"formattedCitation":"(Sinha &lt;i&gt;et al&lt;/i&gt;, 2009)","plainTextFormattedCitation":"(Sinha et al, 2009)","previouslyFormattedCitation":"(Sinha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1FB56299" w14:textId="77777777" w:rsidTr="002471A8">
        <w:trPr>
          <w:trHeight w:val="65"/>
        </w:trPr>
        <w:tc>
          <w:tcPr>
            <w:tcW w:w="1975" w:type="dxa"/>
          </w:tcPr>
          <w:p w14:paraId="41C647C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G134A</w:t>
            </w:r>
          </w:p>
        </w:tc>
        <w:tc>
          <w:tcPr>
            <w:tcW w:w="1800" w:type="dxa"/>
            <w:vMerge w:val="restart"/>
          </w:tcPr>
          <w:p w14:paraId="6EBCC52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near TM5-6  loop</w:t>
            </w:r>
          </w:p>
        </w:tc>
        <w:tc>
          <w:tcPr>
            <w:tcW w:w="1440" w:type="dxa"/>
          </w:tcPr>
          <w:p w14:paraId="5AE37E6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990" w:type="dxa"/>
          </w:tcPr>
          <w:p w14:paraId="6474C8D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69%</w:t>
            </w:r>
          </w:p>
        </w:tc>
        <w:tc>
          <w:tcPr>
            <w:tcW w:w="1260" w:type="dxa"/>
          </w:tcPr>
          <w:p w14:paraId="6F49223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70%</w:t>
            </w:r>
          </w:p>
        </w:tc>
        <w:tc>
          <w:tcPr>
            <w:tcW w:w="1080" w:type="dxa"/>
          </w:tcPr>
          <w:p w14:paraId="63B2707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440" w:type="dxa"/>
          </w:tcPr>
          <w:p w14:paraId="4F91995D" w14:textId="6C40352F"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{"citationItems":[{"id":"ITEM-1","itemData":{"DOI":"10.1074/jbc.M809468200","ISSN":"0021-9258 (Print)","PMID":"19189973","abstract":"The bacterial proton-translocating NADH:quinone oxidoreductase (NDH-1) consists of  two domains, a peripheral arm and a membrane arm. NuoH is a counterpart of ND1, which is one of seven mitochondrially encoded hydrophobic subunits, and is considered to be involved in quinone/inhibitor binding. Sequence comparison in a wide range of species showed that NuoH is comprehensively conserved, particularly with charged residues in the cytoplasmic side loops. We have constructed 40 mutants of 27 conserved residues predicted to be in the cytoplasmic side loops of Escherichia coli NuoH by utilizing the chromosomal DNA manipulation technique and investigated roles of these residues. Mutants of Arg(37), Arg(46), Asp(63), Gly(134), Gly(145), Arg(148), Glu(220), and Glu(228) showed low deamino-NADH-K(3)Fe(CN)(6) reductase activity, undetectable NDH-1 in Blue Native gels, low contents of peripheral subunits (especially NuoB and NuoCD) bound to the membranes, and a significant loss of the membrane potential and proton-pumping function coupled to deamino-NADH oxidation. The results indicated that these conserved residues located in the cytoplasmic side loops are essential for the assembly of the peripheral subunits with the membrane arm. Implications for the involvement of NuoH (ND1) in maintaining the structure and function of NDH-1 are discussed.","author":[{"dropping-particle":"","family":"Sinha","given":"Prem Kumar","non-dropping-particle":"","parse-names":false,"suffix":""},{"dropping-particle":"","family":"Torres-Bacete","given":"Jesus","non-dropping-particle":"","parse-names":false,"suffix":""},{"dropping-particle":"","family":"Nakamaru-Ogiso","given":"Eiko","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chemistry","id":"ITEM-1","issue":"15","issued":{"date-parts":[["2009","4"]]},"language":"eng","page":"9814-9823","title":"Critical roles of subunit NuoH (ND1) in the assembly of peripheral subunits with the  membrane domain of Escherichia coli NDH-1.","type":"article-journal","volume":"284"},"uris":["http://www.mendeley.com/documents/?uuid=94e6ea23-ba78-42b7-8564-979f1e931026"]}],"mendeley":{"formattedCitation":"(Sinha &lt;i&gt;et al&lt;/i&gt;, 2009)","plainTextFormattedCitation":"(Sinha et al, 2009)","previouslyFormattedCitation":"(Sinha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2614443A" w14:textId="77777777" w:rsidTr="002471A8">
        <w:trPr>
          <w:trHeight w:val="65"/>
        </w:trPr>
        <w:tc>
          <w:tcPr>
            <w:tcW w:w="1975" w:type="dxa"/>
          </w:tcPr>
          <w:p w14:paraId="0C944AF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G134L</w:t>
            </w:r>
          </w:p>
        </w:tc>
        <w:tc>
          <w:tcPr>
            <w:tcW w:w="1800" w:type="dxa"/>
            <w:vMerge/>
          </w:tcPr>
          <w:p w14:paraId="300BE4B5" w14:textId="77777777" w:rsidR="002471A8" w:rsidRPr="00E97FC1" w:rsidRDefault="002471A8" w:rsidP="002471A8">
            <w:pPr>
              <w:rPr>
                <w:rFonts w:ascii="Helvetica" w:hAnsi="Helvetica" w:cs="Helvetica"/>
                <w:sz w:val="20"/>
                <w:szCs w:val="20"/>
                <w:lang w:val="en-GB"/>
              </w:rPr>
            </w:pPr>
          </w:p>
        </w:tc>
        <w:tc>
          <w:tcPr>
            <w:tcW w:w="1440" w:type="dxa"/>
          </w:tcPr>
          <w:p w14:paraId="5351AF7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 assembly</w:t>
            </w:r>
          </w:p>
        </w:tc>
        <w:tc>
          <w:tcPr>
            <w:tcW w:w="990" w:type="dxa"/>
          </w:tcPr>
          <w:p w14:paraId="7FC585E0"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44%</w:t>
            </w:r>
          </w:p>
        </w:tc>
        <w:tc>
          <w:tcPr>
            <w:tcW w:w="1260" w:type="dxa"/>
          </w:tcPr>
          <w:p w14:paraId="57ADE92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7-18%</w:t>
            </w:r>
          </w:p>
        </w:tc>
        <w:tc>
          <w:tcPr>
            <w:tcW w:w="1080" w:type="dxa"/>
          </w:tcPr>
          <w:p w14:paraId="45D70E2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0%</w:t>
            </w:r>
          </w:p>
        </w:tc>
        <w:tc>
          <w:tcPr>
            <w:tcW w:w="1440" w:type="dxa"/>
          </w:tcPr>
          <w:p w14:paraId="6645FD53" w14:textId="5BE107E2"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{"citationItems":[{"id":"ITEM-1","itemData":{"DOI":"10.1074/jbc.M809468200","ISSN":"0021-9258 (Print)","PMID":"19189973","abstract":"The bacterial proton-translocating NADH:quinone oxidoreductase (NDH-1) consists of  two domains, a peripheral arm and a membrane arm. NuoH is a counterpart of ND1, which is one of seven mitochondrially encoded hydrophobic subunits, and is considered to be involved in quinone/inhibitor binding. Sequence comparison in a wide range of species showed that NuoH is comprehensively conserved, particularly with charged residues in the cytoplasmic side loops. We have constructed 40 mutants of 27 conserved residues predicted to be in the cytoplasmic side loops of Escherichia coli NuoH by utilizing the chromosomal DNA manipulation technique and investigated roles of these residues. Mutants of Arg(37), Arg(46), Asp(63), Gly(134), Gly(145), Arg(148), Glu(220), and Glu(228) showed low deamino-NADH-K(3)Fe(CN)(6) reductase activity, undetectable NDH-1 in Blue Native gels, low contents of peripheral subunits (especially NuoB and NuoCD) bound to the membranes, and a significant loss of the membrane potential and proton-pumping function coupled to deamino-NADH oxidation. The results indicated that these conserved residues located in the cytoplasmic side loops are essential for the assembly of the peripheral subunits with the membrane arm. Implications for the involvement of NuoH (ND1) in maintaining the structure and function of NDH-1 are discussed.","author":[{"dropping-particle":"","family":"Sinha","given":"Prem Kumar","non-dropping-particle":"","parse-names":false,"suffix":""},{"dropping-particle":"","family":"Torres-Bacete","given":"Jesus","non-dropping-particle":"","parse-names":false,"suffix":""},{"dropping-particle":"","family":"Nakamaru-Ogiso","given":"Eiko","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chemistry","id":"ITEM-1","issue":"15","issued":{"date-parts":[["2009","4"]]},"language":"eng","page":"9814-9823","title":"Critical roles of subunit NuoH (ND1) in the assembly of peripheral subunits with the  membrane domain of Escherichia coli NDH-1.","type":"article-journal","volume":"284"},"uris":["http://www.mendeley.com/documents/?uuid=94e6ea23-ba78-42b7-8564-979f1e931026"]}],"mendeley":{"formattedCitation":"(Sinha &lt;i&gt;et al&lt;/i&gt;, 2009)","plainTextFormattedCitation":"(Sinha et al, 2009)","previouslyFormattedCitation":"(Sinha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02364878" w14:textId="77777777" w:rsidTr="002471A8">
        <w:trPr>
          <w:trHeight w:val="65"/>
        </w:trPr>
        <w:tc>
          <w:tcPr>
            <w:tcW w:w="1975" w:type="dxa"/>
          </w:tcPr>
          <w:p w14:paraId="728A2E3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G134V</w:t>
            </w:r>
          </w:p>
        </w:tc>
        <w:tc>
          <w:tcPr>
            <w:tcW w:w="1800" w:type="dxa"/>
            <w:vMerge/>
          </w:tcPr>
          <w:p w14:paraId="3A1B3F28" w14:textId="77777777" w:rsidR="002471A8" w:rsidRPr="00E97FC1" w:rsidRDefault="002471A8" w:rsidP="002471A8">
            <w:pPr>
              <w:rPr>
                <w:rFonts w:ascii="Helvetica" w:hAnsi="Helvetica" w:cs="Helvetica"/>
                <w:sz w:val="20"/>
                <w:szCs w:val="20"/>
                <w:lang w:val="en-GB"/>
              </w:rPr>
            </w:pPr>
          </w:p>
        </w:tc>
        <w:tc>
          <w:tcPr>
            <w:tcW w:w="1440" w:type="dxa"/>
          </w:tcPr>
          <w:p w14:paraId="4252B94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low</w:t>
            </w:r>
          </w:p>
        </w:tc>
        <w:tc>
          <w:tcPr>
            <w:tcW w:w="990" w:type="dxa"/>
          </w:tcPr>
          <w:p w14:paraId="7A9A80C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54%</w:t>
            </w:r>
          </w:p>
        </w:tc>
        <w:tc>
          <w:tcPr>
            <w:tcW w:w="1260" w:type="dxa"/>
          </w:tcPr>
          <w:p w14:paraId="144C388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3-6%</w:t>
            </w:r>
          </w:p>
        </w:tc>
        <w:tc>
          <w:tcPr>
            <w:tcW w:w="1080" w:type="dxa"/>
          </w:tcPr>
          <w:p w14:paraId="4B2156DA"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0%</w:t>
            </w:r>
          </w:p>
        </w:tc>
        <w:tc>
          <w:tcPr>
            <w:tcW w:w="1440" w:type="dxa"/>
          </w:tcPr>
          <w:p w14:paraId="590DD1CB" w14:textId="56E43CAD"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{"citationItems":[{"id":"ITEM-1","itemData":{"DOI":"10.1074/jbc.M809468200","ISSN":"0021-9258 (Print)","PMID":"19189973","abstract":"The bacterial proton-translocating NADH:quinone oxidoreductase (NDH-1) consists of  two domains, a peripheral arm and a membrane arm. NuoH is a counterpart of ND1, which is one of seven mitochondrially encoded hydrophobic subunits, and is considered to be involved in quinone/inhibitor binding. Sequence comparison in a wide range of species showed that NuoH is comprehensively conserved, particularly with charged residues in the cytoplasmic side loops. We have constructed 40 mutants of 27 conserved residues predicted to be in the cytoplasmic side loops of Escherichia coli NuoH by utilizing the chromosomal DNA manipulation technique and investigated roles of these residues. Mutants of Arg(37), Arg(46), Asp(63), Gly(134), Gly(145), Arg(148), Glu(220), and Glu(228) showed low deamino-NADH-K(3)Fe(CN)(6) reductase activity, undetectable NDH-1 in Blue Native gels, low contents of peripheral subunits (especially NuoB and NuoCD) bound to the membranes, and a significant loss of the membrane potential and proton-pumping function coupled to deamino-NADH oxidation. The results indicated that these conserved residues located in the cytoplasmic side loops are essential for the assembly of the peripheral subunits with the membrane arm. Implications for the involvement of NuoH (ND1) in maintaining the structure and function of NDH-1 are discussed.","author":[{"dropping-particle":"","family":"Sinha","given":"Prem Kumar","non-dropping-particle":"","parse-names":false,"suffix":""},{"dropping-particle":"","family":"Torres-Bacete","given":"Jesus","non-dropping-particle":"","parse-names":false,"suffix":""},{"dropping-particle":"","family":"Nakamaru-Ogiso","given":"Eiko","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chemistry","id":"ITEM-1","issue":"15","issued":{"date-parts":[["2009","4"]]},"language":"eng","page":"9814-9823","title":"Critical roles of subunit NuoH (ND1) in the assembly of peripheral subunits with the  membrane domain of Escherichia coli NDH-1.","type":"article-journal","volume":"284"},"uris":["http://www.mendeley.com/documents/?uuid=94e6ea23-ba78-42b7-8564-979f1e931026"]}],"mendeley":{"formattedCitation":"(Sinha &lt;i&gt;et al&lt;/i&gt;, 2009)","plainTextFormattedCitation":"(Sinha et al, 2009)","previouslyFormattedCitation":"(Sinha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57D3FEE5" w14:textId="77777777" w:rsidTr="002471A8">
        <w:trPr>
          <w:trHeight w:val="65"/>
        </w:trPr>
        <w:tc>
          <w:tcPr>
            <w:tcW w:w="1975" w:type="dxa"/>
          </w:tcPr>
          <w:p w14:paraId="7786D06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S137A</w:t>
            </w:r>
          </w:p>
        </w:tc>
        <w:tc>
          <w:tcPr>
            <w:tcW w:w="1800" w:type="dxa"/>
          </w:tcPr>
          <w:p w14:paraId="09F5CABA"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near TM5-6 loop</w:t>
            </w:r>
          </w:p>
        </w:tc>
        <w:tc>
          <w:tcPr>
            <w:tcW w:w="1440" w:type="dxa"/>
          </w:tcPr>
          <w:p w14:paraId="356EFAB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990" w:type="dxa"/>
          </w:tcPr>
          <w:p w14:paraId="7D96153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90%</w:t>
            </w:r>
          </w:p>
        </w:tc>
        <w:tc>
          <w:tcPr>
            <w:tcW w:w="1260" w:type="dxa"/>
          </w:tcPr>
          <w:p w14:paraId="01B83EF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72-76%</w:t>
            </w:r>
          </w:p>
        </w:tc>
        <w:tc>
          <w:tcPr>
            <w:tcW w:w="1080" w:type="dxa"/>
          </w:tcPr>
          <w:p w14:paraId="1455345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440" w:type="dxa"/>
          </w:tcPr>
          <w:p w14:paraId="23C5016A" w14:textId="2E3F4B8B"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{"citationItems":[{"id":"ITEM-1","itemData":{"DOI":"10.1074/jbc.M809468200","ISSN":"0021-9258 (Print)","PMID":"19189973","abstract":"The bacterial proton-translocating NADH:quinone oxidoreductase (NDH-1) consists of  two domains, a peripheral arm and a membrane arm. NuoH is a counterpart of ND1, which is one of seven mitochondrially encoded hydrophobic subunits, and is considered to be involved in quinone/inhibitor binding. Sequence comparison in a wide range of species showed that NuoH is comprehensively conserved, particularly with charged residues in the cytoplasmic side loops. We have constructed 40 mutants of 27 conserved residues predicted to be in the cytoplasmic side loops of Escherichia coli NuoH by utilizing the chromosomal DNA manipulation technique and investigated roles of these residues. Mutants of Arg(37), Arg(46), Asp(63), Gly(134), Gly(145), Arg(148), Glu(220), and Glu(228) showed low deamino-NADH-K(3)Fe(CN)(6) reductase activity, undetectable NDH-1 in Blue Native gels, low contents of peripheral subunits (especially NuoB and NuoCD) bound to the membranes, and a significant loss of the membrane potential and proton-pumping function coupled to deamino-NADH oxidation. The results indicated that these conserved residues located in the cytoplasmic side loops are essential for the assembly of the peripheral subunits with the membrane arm. Implications for the involvement of NuoH (ND1) in maintaining the structure and function of NDH-1 are discussed.","author":[{"dropping-particle":"","family":"Sinha","given":"Prem Kumar","non-dropping-particle":"","parse-names":false,"suffix":""},{"dropping-particle":"","family":"Torres-Bacete","given":"Jesus","non-dropping-particle":"","parse-names":false,"suffix":""},{"dropping-particle":"","family":"Nakamaru-Ogiso","given":"Eiko","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chemistry","id":"ITEM-1","issue":"15","issued":{"date-parts":[["2009","4"]]},"language":"eng","page":"9814-9823","title":"Critical roles of subunit NuoH (ND1) in the assembly of peripheral subunits with the  membrane domain of Escherichia coli NDH-1.","type":"article-journal","volume":"284"},"uris":["http://www.mendeley.com/documents/?uuid=94e6ea23-ba78-42b7-8564-979f1e931026"]}],"mendeley":{"formattedCitation":"(Sinha &lt;i&gt;et al&lt;/i&gt;, 2009)","plainTextFormattedCitation":"(Sinha et al, 2009)","previouslyFormattedCitation":"(Sinha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254DA601" w14:textId="77777777" w:rsidTr="002471A8">
        <w:trPr>
          <w:trHeight w:val="65"/>
        </w:trPr>
        <w:tc>
          <w:tcPr>
            <w:tcW w:w="1975" w:type="dxa"/>
          </w:tcPr>
          <w:p w14:paraId="7AE68AA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G145A</w:t>
            </w:r>
          </w:p>
        </w:tc>
        <w:tc>
          <w:tcPr>
            <w:tcW w:w="1800" w:type="dxa"/>
            <w:vMerge w:val="restart"/>
          </w:tcPr>
          <w:p w14:paraId="7962255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near TM5-6 loop</w:t>
            </w:r>
          </w:p>
        </w:tc>
        <w:tc>
          <w:tcPr>
            <w:tcW w:w="1440" w:type="dxa"/>
          </w:tcPr>
          <w:p w14:paraId="453FAAC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990" w:type="dxa"/>
          </w:tcPr>
          <w:p w14:paraId="3686D62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114%</w:t>
            </w:r>
          </w:p>
        </w:tc>
        <w:tc>
          <w:tcPr>
            <w:tcW w:w="1260" w:type="dxa"/>
          </w:tcPr>
          <w:p w14:paraId="6DD3664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70-75%</w:t>
            </w:r>
          </w:p>
        </w:tc>
        <w:tc>
          <w:tcPr>
            <w:tcW w:w="1080" w:type="dxa"/>
          </w:tcPr>
          <w:p w14:paraId="6208454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440" w:type="dxa"/>
          </w:tcPr>
          <w:p w14:paraId="72579720" w14:textId="1E649888"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{"citationItems":[{"id":"ITEM-1","itemData":{"DOI":"10.1074/jbc.M809468200","ISSN":"0021-9258 (Print)","PMID":"19189973","abstract":"The bacterial proton-translocating NADH:quinone oxidoreductase (NDH-1) consists of  two domains, a peripheral arm and a membrane arm. NuoH is a counterpart of ND1, which is one of seven mitochondrially encoded hydrophobic subunits, and is considered to be involved in quinone/inhibitor binding. Sequence comparison in a wide range of species showed that NuoH is comprehensively conserved, particularly with charged residues in the cytoplasmic side loops. We have constructed 40 mutants of 27 conserved residues predicted to be in the cytoplasmic side loops of Escherichia coli NuoH by utilizing the chromosomal DNA manipulation technique and investigated roles of these residues. Mutants of Arg(37), Arg(46), Asp(63), Gly(134), Gly(145), Arg(148), Glu(220), and Glu(228) showed low deamino-NADH-K(3)Fe(CN)(6) reductase activity, undetectable NDH-1 in Blue Native gels, low contents of peripheral subunits (especially NuoB and NuoCD) bound to the membranes, and a significant loss of the membrane potential and proton-pumping function coupled to deamino-NADH oxidation. The results indicated that these conserved residues located in the cytoplasmic side loops are essential for the assembly of the peripheral subunits with the membrane arm. Implications for the involvement of NuoH (ND1) in maintaining the structure and function of NDH-1 are discussed.","author":[{"dropping-particle":"","family":"Sinha","given":"Prem Kumar","non-dropping-particle":"","parse-names":false,"suffix":""},{"dropping-particle":"","family":"Torres-Bacete","given":"Jesus","non-dropping-particle":"","parse-names":false,"suffix":""},{"dropping-particle":"","family":"Nakamaru-Ogiso","given":"Eiko","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chemistry","id":"ITEM-1","issue":"15","issued":{"date-parts":[["2009","4"]]},"language":"eng","page":"9814-9823","title":"Critical roles of subunit NuoH (ND1) in the assembly of peripheral subunits with the  membrane domain of Escherichia coli NDH-1.","type":"article-journal","volume":"284"},"uris":["http://www.mendeley.com/documents/?uuid=94e6ea23-ba78-42b7-8564-979f1e931026"]}],"mendeley":{"formattedCitation":"(Sinha &lt;i&gt;et al&lt;/i&gt;, 2009)","plainTextFormattedCitation":"(Sinha et al, 2009)","previouslyFormattedCitation":"(Sinha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0859AFFB" w14:textId="77777777" w:rsidTr="002471A8">
        <w:trPr>
          <w:trHeight w:val="65"/>
        </w:trPr>
        <w:tc>
          <w:tcPr>
            <w:tcW w:w="1975" w:type="dxa"/>
          </w:tcPr>
          <w:p w14:paraId="2EE6461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G145V</w:t>
            </w:r>
          </w:p>
        </w:tc>
        <w:tc>
          <w:tcPr>
            <w:tcW w:w="1800" w:type="dxa"/>
            <w:vMerge/>
          </w:tcPr>
          <w:p w14:paraId="531C8087" w14:textId="77777777" w:rsidR="002471A8" w:rsidRPr="00E97FC1" w:rsidRDefault="002471A8" w:rsidP="002471A8">
            <w:pPr>
              <w:rPr>
                <w:rFonts w:ascii="Helvetica" w:hAnsi="Helvetica" w:cs="Helvetica"/>
                <w:sz w:val="20"/>
                <w:szCs w:val="20"/>
                <w:lang w:val="en-GB"/>
              </w:rPr>
            </w:pPr>
          </w:p>
        </w:tc>
        <w:tc>
          <w:tcPr>
            <w:tcW w:w="1440" w:type="dxa"/>
          </w:tcPr>
          <w:p w14:paraId="077BAB8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low</w:t>
            </w:r>
          </w:p>
        </w:tc>
        <w:tc>
          <w:tcPr>
            <w:tcW w:w="990" w:type="dxa"/>
          </w:tcPr>
          <w:p w14:paraId="2E6F8CB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50%</w:t>
            </w:r>
          </w:p>
        </w:tc>
        <w:tc>
          <w:tcPr>
            <w:tcW w:w="1260" w:type="dxa"/>
          </w:tcPr>
          <w:p w14:paraId="0876374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4-5%</w:t>
            </w:r>
          </w:p>
        </w:tc>
        <w:tc>
          <w:tcPr>
            <w:tcW w:w="1080" w:type="dxa"/>
          </w:tcPr>
          <w:p w14:paraId="3A34514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0%</w:t>
            </w:r>
          </w:p>
        </w:tc>
        <w:tc>
          <w:tcPr>
            <w:tcW w:w="1440" w:type="dxa"/>
          </w:tcPr>
          <w:p w14:paraId="041DDAA5" w14:textId="081BD45B"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{"citationItems":[{"id":"ITEM-1","itemData":{"DOI":"10.1074/jbc.M809468200","ISSN":"0021-9258 (Print)","PMID":"19189973","abstract":"The bacterial proton-translocating NADH:quinone oxidoreductase (NDH-1) consists of  two domains, a peripheral arm and a membrane arm. NuoH is a counterpart of ND1, which is one of seven mitochondrially encoded hydrophobic subunits, and is considered to be involved in quinone/inhibitor binding. Sequence comparison in a wide range of species showed that NuoH is comprehensively conserved, particularly with charged residues in the cytoplasmic side loops. We have constructed 40 mutants of 27 conserved residues predicted to be in the cytoplasmic side loops of Escherichia coli NuoH by utilizing the chromosomal DNA manipulation technique and investigated roles of these residues. Mutants of Arg(37), Arg(46), Asp(63), Gly(134), Gly(145), Arg(148), Glu(220), and Glu(228) showed low deamino-NADH-K(3)Fe(CN)(6) reductase activity, undetectable NDH-1 in Blue Native gels, low contents of peripheral subunits (especially NuoB and NuoCD) bound to the membranes, and a significant loss of the membrane potential and proton-pumping function coupled to deamino-NADH oxidation. The results indicated that these conserved residues located in the cytoplasmic side loops are essential for the assembly of the peripheral subunits with the membrane arm. Implications for the involvement of NuoH (ND1) in maintaining the structure and function of NDH-1 are discussed.","author":[{"dropping-particle":"","family":"Sinha","given":"Prem Kumar","non-dropping-particle":"","parse-names":false,"suffix":""},{"dropping-particle":"","family":"Torres-Bacete","given":"Jesus","non-dropping-particle":"","parse-names":false,"suffix":""},{"dropping-particle":"","family":"Nakamaru-Ogiso","given":"Eiko","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chemistry","id":"ITEM-1","issue":"15","issued":{"date-parts":[["2009","4"]]},"language":"eng","page":"9814-9823","title":"Critical roles of subunit NuoH (ND1) in the assembly of peripheral subunits with the  membrane domain of Escherichia coli NDH-1.","type":"article-journal","volume":"284"},"uris":["http://www.mendeley.com/documents/?uuid=94e6ea23-ba78-42b7-8564-979f1e931026"]}],"mendeley":{"formattedCitation":"(Sinha &lt;i&gt;et al&lt;/i&gt;, 2009)","plainTextFormattedCitation":"(Sinha et al, 2009)","previouslyFormattedCitation":"(Sinha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471C35DA" w14:textId="77777777" w:rsidTr="002471A8">
        <w:trPr>
          <w:trHeight w:val="65"/>
        </w:trPr>
        <w:tc>
          <w:tcPr>
            <w:tcW w:w="1975" w:type="dxa"/>
          </w:tcPr>
          <w:p w14:paraId="73C0E0F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R148A</w:t>
            </w:r>
          </w:p>
        </w:tc>
        <w:tc>
          <w:tcPr>
            <w:tcW w:w="1800" w:type="dxa"/>
          </w:tcPr>
          <w:p w14:paraId="498320B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 xml:space="preserve">NuoCD interface, SB with </w:t>
            </w:r>
            <w:r w:rsidRPr="00E97FC1">
              <w:rPr>
                <w:rFonts w:ascii="Helvetica" w:hAnsi="Helvetica" w:cs="Helvetica"/>
                <w:sz w:val="20"/>
                <w:szCs w:val="20"/>
                <w:vertAlign w:val="subscript"/>
                <w:lang w:val="en-GB"/>
              </w:rPr>
              <w:t>C</w:t>
            </w:r>
            <w:r w:rsidRPr="00E97FC1">
              <w:rPr>
                <w:rFonts w:ascii="Helvetica" w:hAnsi="Helvetica" w:cs="Helvetica"/>
                <w:sz w:val="20"/>
                <w:szCs w:val="20"/>
                <w:lang w:val="en-GB"/>
              </w:rPr>
              <w:t>E240</w:t>
            </w:r>
          </w:p>
        </w:tc>
        <w:tc>
          <w:tcPr>
            <w:tcW w:w="1440" w:type="dxa"/>
          </w:tcPr>
          <w:p w14:paraId="468B2DA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low</w:t>
            </w:r>
          </w:p>
        </w:tc>
        <w:tc>
          <w:tcPr>
            <w:tcW w:w="990" w:type="dxa"/>
          </w:tcPr>
          <w:p w14:paraId="64632E57"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49%</w:t>
            </w:r>
          </w:p>
        </w:tc>
        <w:tc>
          <w:tcPr>
            <w:tcW w:w="1260" w:type="dxa"/>
          </w:tcPr>
          <w:p w14:paraId="4BF5B52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4-18</w:t>
            </w:r>
          </w:p>
        </w:tc>
        <w:tc>
          <w:tcPr>
            <w:tcW w:w="1080" w:type="dxa"/>
          </w:tcPr>
          <w:p w14:paraId="2C340C3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0%</w:t>
            </w:r>
          </w:p>
        </w:tc>
        <w:tc>
          <w:tcPr>
            <w:tcW w:w="1440" w:type="dxa"/>
          </w:tcPr>
          <w:p w14:paraId="63C63CED" w14:textId="17A2272A"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{"citationItems":[{"id":"ITEM-1","itemData":{"DOI":"10.1074/jbc.M809468200","ISSN":"0021-9258 (Print)","PMID":"19189973","abstract":"The bacterial proton-translocating NADH:quinone oxidoreductase (NDH-1) consists of  two domains, a peripheral arm and a membrane arm. NuoH is a counterpart of ND1, which is one of seven mitochondrially encoded hydrophobic subunits, and is considered to be involved in quinone/inhibitor binding. Sequence comparison in a wide range of species showed that NuoH is comprehensively conserved, particularly with charged residues in the cytoplasmic side loops. We have constructed 40 mutants of 27 conserved residues predicted to be in the cytoplasmic side loops of Escherichia coli NuoH by utilizing the chromosomal DNA manipulation technique and investigated roles of these residues. Mutants of Arg(37), Arg(46), Asp(63), Gly(134), Gly(145), Arg(148), Glu(220), and Glu(228) showed low deamino-NADH-K(3)Fe(CN)(6) reductase activity, undetectable NDH-1 in Blue Native gels, low contents of peripheral subunits (especially NuoB and NuoCD) bound to the membranes, and a significant loss of the membrane potential and proton-pumping function coupled to deamino-NADH oxidation. The results indicated that these conserved residues located in the cytoplasmic side loops are essential for the assembly of the peripheral subunits with the membrane arm. Implications for the involvement of NuoH (ND1) in maintaining the structure and function of NDH-1 are discussed.","author":[{"dropping-particle":"","family":"Sinha","given":"Prem Kumar","non-dropping-particle":"","parse-names":false,"suffix":""},{"dropping-particle":"","family":"Torres-Bacete","given":"Jesus","non-dropping-particle":"","parse-names":false,"suffix":""},{"dropping-particle":"","family":"Nakamaru-Ogiso","given":"Eiko","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chemistry","id":"ITEM-1","issue":"15","issued":{"date-parts":[["2009","4"]]},"language":"eng","page":"9814-9823","title":"Critical roles of subunit NuoH (ND1) in the assembly of peripheral subunits with the  membrane domain of Escherichia coli NDH-1.","type":"article-journal","volume":"284"},"uris":["http://www.mendeley.com/documents/?uuid=94e6ea23-ba78-42b7-8564-979f1e931026"]}],"mendeley":{"formattedCitation":"(Sinha &lt;i&gt;et al&lt;/i&gt;, 2009)","plainTextFormattedCitation":"(Sinha et al, 2009)","previouslyFormattedCitation":"(Sinha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36E73596" w14:textId="77777777" w:rsidTr="002471A8">
        <w:trPr>
          <w:trHeight w:val="65"/>
        </w:trPr>
        <w:tc>
          <w:tcPr>
            <w:tcW w:w="1975" w:type="dxa"/>
          </w:tcPr>
          <w:p w14:paraId="204AB94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S155A</w:t>
            </w:r>
          </w:p>
        </w:tc>
        <w:tc>
          <w:tcPr>
            <w:tcW w:w="1800" w:type="dxa"/>
          </w:tcPr>
          <w:p w14:paraId="6DB36EED"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NuoA interface</w:t>
            </w:r>
          </w:p>
        </w:tc>
        <w:tc>
          <w:tcPr>
            <w:tcW w:w="1440" w:type="dxa"/>
          </w:tcPr>
          <w:p w14:paraId="17B35D8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990" w:type="dxa"/>
          </w:tcPr>
          <w:p w14:paraId="5717DF61"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95%</w:t>
            </w:r>
          </w:p>
        </w:tc>
        <w:tc>
          <w:tcPr>
            <w:tcW w:w="1260" w:type="dxa"/>
          </w:tcPr>
          <w:p w14:paraId="49E1763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95-104%</w:t>
            </w:r>
          </w:p>
        </w:tc>
        <w:tc>
          <w:tcPr>
            <w:tcW w:w="1080" w:type="dxa"/>
          </w:tcPr>
          <w:p w14:paraId="697FE32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440" w:type="dxa"/>
          </w:tcPr>
          <w:p w14:paraId="6A396511" w14:textId="0F150CF4"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{"citationItems":[{"id":"ITEM-1","itemData":{"DOI":"10.1074/jbc.M809468200","ISSN":"0021-9258 (Print)","PMID":"19189973","abstract":"The bacterial proton-translocating NADH:quinone oxidoreductase (NDH-1) consists of  two domains, a peripheral arm and a membrane arm. NuoH is a counterpart of ND1, which is one of seven mitochondrially encoded hydrophobic subunits, and is considered to be involved in quinone/inhibitor binding. Sequence comparison in a wide range of species showed that NuoH is comprehensively conserved, particularly with charged residues in the cytoplasmic side loops. We have constructed 40 mutants of 27 conserved residues predicted to be in the cytoplasmic side loops of Escherichia coli NuoH by utilizing the chromosomal DNA manipulation technique and investigated roles of these residues. Mutants of Arg(37), Arg(46), Asp(63), Gly(134), Gly(145), Arg(148), Glu(220), and Glu(228) showed low deamino-NADH-K(3)Fe(CN)(6) reductase activity, undetectable NDH-1 in Blue Native gels, low contents of peripheral subunits (especially NuoB and NuoCD) bound to the membranes, and a significant loss of the membrane potential and proton-pumping function coupled to deamino-NADH oxidation. The results indicated that these conserved residues located in the cytoplasmic side loops are essential for the assembly of the peripheral subunits with the membrane arm. Implications for the involvement of NuoH (ND1) in maintaining the structure and function of NDH-1 are discussed.","author":[{"dropping-particle":"","family":"Sinha","given":"Prem Kumar","non-dropping-particle":"","parse-names":false,"suffix":""},{"dropping-particle":"","family":"Torres-Bacete","given":"Jesus","non-dropping-particle":"","parse-names":false,"suffix":""},{"dropping-particle":"","family":"Nakamaru-Ogiso","given":"Eiko","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chemistry","id":"ITEM-1","issue":"15","issued":{"date-parts":[["2009","4"]]},"language":"eng","page":"9814-9823","title":"Critical roles of subunit NuoH (ND1) in the assembly of peripheral subunits with the  membrane domain of Escherichia coli NDH-1.","type":"article-journal","volume":"284"},"uris":["http://www.mendeley.com/documents/?uuid=94e6ea23-ba78-42b7-8564-979f1e931026"]}],"mendeley":{"formattedCitation":"(Sinha &lt;i&gt;et al&lt;/i&gt;, 2009)","plainTextFormattedCitation":"(Sinha et al, 2009)","previouslyFormattedCitation":"(Sinha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4140BB53" w14:textId="77777777" w:rsidTr="002471A8">
        <w:trPr>
          <w:trHeight w:val="65"/>
        </w:trPr>
        <w:tc>
          <w:tcPr>
            <w:tcW w:w="1975" w:type="dxa"/>
          </w:tcPr>
          <w:p w14:paraId="5EFF915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Y156A</w:t>
            </w:r>
          </w:p>
        </w:tc>
        <w:tc>
          <w:tcPr>
            <w:tcW w:w="1800" w:type="dxa"/>
          </w:tcPr>
          <w:p w14:paraId="0D785669"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Intermembrane surface</w:t>
            </w:r>
          </w:p>
        </w:tc>
        <w:tc>
          <w:tcPr>
            <w:tcW w:w="1440" w:type="dxa"/>
          </w:tcPr>
          <w:p w14:paraId="5C97A16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990" w:type="dxa"/>
          </w:tcPr>
          <w:p w14:paraId="4017F384"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80%</w:t>
            </w:r>
          </w:p>
        </w:tc>
        <w:tc>
          <w:tcPr>
            <w:tcW w:w="1260" w:type="dxa"/>
          </w:tcPr>
          <w:p w14:paraId="71E5D58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51-61%</w:t>
            </w:r>
          </w:p>
        </w:tc>
        <w:tc>
          <w:tcPr>
            <w:tcW w:w="1080" w:type="dxa"/>
          </w:tcPr>
          <w:p w14:paraId="193DC6A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reduced</w:t>
            </w:r>
          </w:p>
        </w:tc>
        <w:tc>
          <w:tcPr>
            <w:tcW w:w="1440" w:type="dxa"/>
          </w:tcPr>
          <w:p w14:paraId="71FAE56F" w14:textId="772278A4"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{"citationItems":[{"id":"ITEM-1","itemData":{"DOI":"10.1074/jbc.M809468200","ISSN":"0021-9258 (Print)","PMID":"19189973","abstract":"The bacterial proton-translocating NADH:quinone oxidoreductase (NDH-1) consists of  two domains, a peripheral arm and a membrane arm. NuoH is a counterpart of ND1, which is one of seven mitochondrially encoded hydrophobic subunits, and is considered to be involved in quinone/inhibitor binding. Sequence comparison in a wide range of species showed that NuoH is comprehensively conserved, particularly with charged residues in the cytoplasmic side loops. We have constructed 40 mutants of 27 conserved residues predicted to be in the cytoplasmic side loops of Escherichia coli NuoH by utilizing the chromosomal DNA manipulation technique and investigated roles of these residues. Mutants of Arg(37), Arg(46), Asp(63), Gly(134), Gly(145), Arg(148), Glu(220), and Glu(228) showed low deamino-NADH-K(3)Fe(CN)(6) reductase activity, undetectable NDH-1 in Blue Native gels, low contents of peripheral subunits (especially NuoB and NuoCD) bound to the membranes, and a significant loss of the membrane potential and proton-pumping function coupled to deamino-NADH oxidation. The results indicated that these conserved residues located in the cytoplasmic side loops are essential for the assembly of the peripheral subunits with the membrane arm. Implications for the involvement of NuoH (ND1) in maintaining the structure and function of NDH-1 are discussed.","author":[{"dropping-particle":"","family":"Sinha","given":"Prem Kumar","non-dropping-particle":"","parse-names":false,"suffix":""},{"dropping-particle":"","family":"Torres-Bacete","given":"Jesus","non-dropping-particle":"","parse-names":false,"suffix":""},{"dropping-particle":"","family":"Nakamaru-Ogiso","given":"Eiko","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chemistry","id":"ITEM-1","issue":"15","issued":{"date-parts":[["2009","4"]]},"language":"eng","page":"9814-9823","title":"Critical roles of subunit NuoH (ND1) in the assembly of peripheral subunits with the  membrane domain of Escherichia coli NDH-1.","type":"article-journal","volume":"284"},"uris":["http://www.mendeley.com/documents/?uuid=94e6ea23-ba78-42b7-8564-979f1e931026"]}],"mendeley":{"formattedCitation":"(Sinha &lt;i&gt;et al&lt;/i&gt;, 2009)","plainTextFormattedCitation":"(Sinha et al, 2009)","previouslyFormattedCitation":"(Sinha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7CD6E261" w14:textId="77777777" w:rsidTr="002471A8">
        <w:trPr>
          <w:trHeight w:val="65"/>
        </w:trPr>
        <w:tc>
          <w:tcPr>
            <w:tcW w:w="1975" w:type="dxa"/>
          </w:tcPr>
          <w:p w14:paraId="6B5F3D7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E157A</w:t>
            </w:r>
          </w:p>
        </w:tc>
        <w:tc>
          <w:tcPr>
            <w:tcW w:w="1800" w:type="dxa"/>
            <w:vMerge w:val="restart"/>
          </w:tcPr>
          <w:p w14:paraId="3FC6B23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E-channel,</w:t>
            </w:r>
          </w:p>
          <w:p w14:paraId="44AEA3E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Central axe</w:t>
            </w:r>
          </w:p>
        </w:tc>
        <w:tc>
          <w:tcPr>
            <w:tcW w:w="1440" w:type="dxa"/>
          </w:tcPr>
          <w:p w14:paraId="7AD2547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990" w:type="dxa"/>
          </w:tcPr>
          <w:p w14:paraId="71FF55F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95%</w:t>
            </w:r>
          </w:p>
        </w:tc>
        <w:tc>
          <w:tcPr>
            <w:tcW w:w="1260" w:type="dxa"/>
          </w:tcPr>
          <w:p w14:paraId="6B928F0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24-29%</w:t>
            </w:r>
          </w:p>
        </w:tc>
        <w:tc>
          <w:tcPr>
            <w:tcW w:w="1080" w:type="dxa"/>
          </w:tcPr>
          <w:p w14:paraId="7085910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reduced</w:t>
            </w:r>
          </w:p>
        </w:tc>
        <w:tc>
          <w:tcPr>
            <w:tcW w:w="1440" w:type="dxa"/>
          </w:tcPr>
          <w:p w14:paraId="4F189347" w14:textId="101964A7"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{"citationItems":[{"id":"ITEM-1","itemData":{"DOI":"10.1074/jbc.M809468200","ISSN":"0021-9258 (Print)","PMID":"19189973","abstract":"The bacterial proton-translocating NADH:quinone oxidoreductase (NDH-1) consists of  two domains, a peripheral arm and a membrane arm. NuoH is a counterpart of ND1, which is one of seven mitochondrially encoded hydrophobic subunits, and is considered to be involved in quinone/inhibitor binding. Sequence comparison in a wide range of species showed that NuoH is comprehensively conserved, particularly with charged residues in the cytoplasmic side loops. We have constructed 40 mutants of 27 conserved residues predicted to be in the cytoplasmic side loops of Escherichia coli NuoH by utilizing the chromosomal DNA manipulation technique and investigated roles of these residues. Mutants of Arg(37), Arg(46), Asp(63), Gly(134), Gly(145), Arg(148), Glu(220), and Glu(228) showed low deamino-NADH-K(3)Fe(CN)(6) reductase activity, undetectable NDH-1 in Blue Native gels, low contents of peripheral subunits (especially NuoB and NuoCD) bound to the membranes, and a significant loss of the membrane potential and proton-pumping function coupled to deamino-NADH oxidation. The results indicated that these conserved residues located in the cytoplasmic side loops are essential for the assembly of the peripheral subunits with the membrane arm. Implications for the involvement of NuoH (ND1) in maintaining the structure and function of NDH-1 are discussed.","author":[{"dropping-particle":"","family":"Sinha","given":"Prem Kumar","non-dropping-particle":"","parse-names":false,"suffix":""},{"dropping-particle":"","family":"Torres-Bacete","given":"Jesus","non-dropping-particle":"","parse-names":false,"suffix":""},{"dropping-particle":"","family":"Nakamaru-Ogiso","given":"Eiko","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chemistry","id":"ITEM-1","issue":"15","issued":{"date-parts":[["2009","4"]]},"language":"eng","page":"9814-9823","title":"Critical roles of subunit NuoH (ND1) in the assembly of peripheral subunits with the  membrane domain of Escherichia coli NDH-1.","type":"article-journal","volume":"284"},"uris":["http://www.mendeley.com/documents/?uuid=94e6ea23-ba78-42b7-8564-979f1e931026"]}],"mendeley":{"formattedCitation":"(Sinha &lt;i&gt;et al&lt;/i&gt;, 2009)","plainTextFormattedCitation":"(Sinha et al, 2009)","previouslyFormattedCitation":"(Sinha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01885060" w14:textId="77777777" w:rsidTr="002471A8">
        <w:trPr>
          <w:trHeight w:val="65"/>
        </w:trPr>
        <w:tc>
          <w:tcPr>
            <w:tcW w:w="1975" w:type="dxa"/>
          </w:tcPr>
          <w:p w14:paraId="5AB7B06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E157K</w:t>
            </w:r>
          </w:p>
        </w:tc>
        <w:tc>
          <w:tcPr>
            <w:tcW w:w="1800" w:type="dxa"/>
            <w:vMerge/>
          </w:tcPr>
          <w:p w14:paraId="53F74159" w14:textId="77777777" w:rsidR="002471A8" w:rsidRPr="00E97FC1" w:rsidRDefault="002471A8" w:rsidP="002471A8">
            <w:pPr>
              <w:rPr>
                <w:rFonts w:ascii="Helvetica" w:hAnsi="Helvetica" w:cs="Helvetica"/>
                <w:sz w:val="20"/>
                <w:szCs w:val="20"/>
                <w:lang w:val="en-GB"/>
              </w:rPr>
            </w:pPr>
          </w:p>
        </w:tc>
        <w:tc>
          <w:tcPr>
            <w:tcW w:w="1440" w:type="dxa"/>
          </w:tcPr>
          <w:p w14:paraId="4F92DCA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990" w:type="dxa"/>
          </w:tcPr>
          <w:p w14:paraId="5028E7E3"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160%</w:t>
            </w:r>
          </w:p>
        </w:tc>
        <w:tc>
          <w:tcPr>
            <w:tcW w:w="1260" w:type="dxa"/>
          </w:tcPr>
          <w:p w14:paraId="4C54BFCA"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80-111%</w:t>
            </w:r>
          </w:p>
        </w:tc>
        <w:tc>
          <w:tcPr>
            <w:tcW w:w="1080" w:type="dxa"/>
          </w:tcPr>
          <w:p w14:paraId="6A4E776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440" w:type="dxa"/>
          </w:tcPr>
          <w:p w14:paraId="5F48A900" w14:textId="014EC639"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{"citationItems":[{"id":"ITEM-1","itemData":{"DOI":"10.1074/jbc.M809468200","ISSN":"0021-9258 (Print)","PMID":"19189973","abstract":"The bacterial proton-translocating NADH:quinone oxidoreductase (NDH-1) consists of  two domains, a peripheral arm and a membrane arm. NuoH is a counterpart of ND1, which is one of seven mitochondrially encoded hydrophobic subunits, and is considered to be involved in quinone/inhibitor binding. Sequence comparison in a wide range of species showed that NuoH is comprehensively conserved, particularly with charged residues in the cytoplasmic side loops. We have constructed 40 mutants of 27 conserved residues predicted to be in the cytoplasmic side loops of Escherichia coli NuoH by utilizing the chromosomal DNA manipulation technique and investigated roles of these residues. Mutants of Arg(37), Arg(46), Asp(63), Gly(134), Gly(145), Arg(148), Glu(220), and Glu(228) showed low deamino-NADH-K(3)Fe(CN)(6) reductase activity, undetectable NDH-1 in Blue Native gels, low contents of peripheral subunits (especially NuoB and NuoCD) bound to the membranes, and a significant loss of the membrane potential and proton-pumping function coupled to deamino-NADH oxidation. The results indicated that these conserved residues located in the cytoplasmic side loops are essential for the assembly of the peripheral subunits with the membrane arm. Implications for the involvement of NuoH (ND1) in maintaining the structure and function of NDH-1 are discussed.","author":[{"dropping-particle":"","family":"Sinha","given":"Prem Kumar","non-dropping-particle":"","parse-names":false,"suffix":""},{"dropping-particle":"","family":"Torres-Bacete","given":"Jesus","non-dropping-particle":"","parse-names":false,"suffix":""},{"dropping-particle":"","family":"Nakamaru-Ogiso","given":"Eiko","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chemistry","id":"ITEM-1","issue":"15","issued":{"date-parts":[["2009","4"]]},"language":"eng","page":"9814-9823","title":"Critical roles of subunit NuoH (ND1) in the assembly of peripheral subunits with the  membrane domain of Escherichia coli NDH-1.","type":"article-journal","volume":"284"},"uris":["http://www.mendeley.com/documents/?uuid=94e6ea23-ba78-42b7-8564-979f1e931026"]}],"mendeley":{"formattedCitation":"(Sinha &lt;i&gt;et al&lt;/i&gt;, 2009)","plainTextFormattedCitation":"(Sinha et al, 2009)","previouslyFormattedCitation":"(Sinha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3A0AE96B" w14:textId="77777777" w:rsidTr="002471A8">
        <w:trPr>
          <w:trHeight w:val="65"/>
        </w:trPr>
        <w:tc>
          <w:tcPr>
            <w:tcW w:w="1975" w:type="dxa"/>
          </w:tcPr>
          <w:p w14:paraId="6580318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I201V</w:t>
            </w:r>
          </w:p>
        </w:tc>
        <w:tc>
          <w:tcPr>
            <w:tcW w:w="1800" w:type="dxa"/>
            <w:vMerge w:val="restart"/>
          </w:tcPr>
          <w:p w14:paraId="01F8691A"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Intermembrane surface</w:t>
            </w:r>
          </w:p>
        </w:tc>
        <w:tc>
          <w:tcPr>
            <w:tcW w:w="1440" w:type="dxa"/>
          </w:tcPr>
          <w:p w14:paraId="31E4C8B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990" w:type="dxa"/>
          </w:tcPr>
          <w:p w14:paraId="30F4C5C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105%</w:t>
            </w:r>
          </w:p>
        </w:tc>
        <w:tc>
          <w:tcPr>
            <w:tcW w:w="1260" w:type="dxa"/>
          </w:tcPr>
          <w:p w14:paraId="39548E6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67%</w:t>
            </w:r>
          </w:p>
        </w:tc>
        <w:tc>
          <w:tcPr>
            <w:tcW w:w="1080" w:type="dxa"/>
          </w:tcPr>
          <w:p w14:paraId="7BE8E6B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440" w:type="dxa"/>
          </w:tcPr>
          <w:p w14:paraId="30E771F1" w14:textId="0C969D81"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{"citationItems":[{"id":"ITEM-1","itemData":{"DOI":"10.1016/j.bbabio.2011.10.014","ISSN":"0006-3002 (Print)","PMID":"22079202","abstract":"Defects in complex I due to mutations in mitochondrial DNA are associated with  clinical features ranging from single organ manifestation like Leber hereditary optic neuropathy (LHON) to multiorgan disorders like mitochondrial myopathy, encephalopathy, lactic acidosis and stroke-like episodes (MELAS) syndrome. Specific mutations cause overlap syndromes combining several phenotypes, but the mechanisms of their biochemical effects are largely unknown. The m.3376G&gt;A transition leading to p.E24K substitution in ND1 with LHON/MELAS phenotype was modeled here in a homologous position (NuoH-E36K) in the Escherichia coli enzyme and it almost totally abolished complex I activity. The more conservative mutation NuoH-E36Q resulted in higher apparent K(m) for ubiquinone and diminished inhibitor sensitivity. A NuoH homolog of the m.3865A&gt;G transition, which has been found concomitantly in the overlap syndrome patient with the m.3376G&gt;A, had only a minor effect. Consequences of a primary LHON-mutation m.3460G&gt;A affecting the same extramembrane loop as the m.3376G&gt;A substitution were also studied in the E. coli model and were found to be mild. The results indicate that the overlap syndrome-associated m.3376G&gt;A transition in MTND1 is the pathogenic mutation and m.3865A&gt;G transition has minor, if any, effect on presentation of the disease. The kinetic effects of the NuoH-E36Q mutation suggest its proximity to the putative ubiquinone binding domain in 49kD/PSST subunits. In all, m.3376G&gt;A perturbs ubiquinone binding, a phenomenon found in LHON, and decreases the activity of fully assembled complex I as in MELAS.","author":[{"dropping-particle":"","family":"Pätsi","given":"Jukka","non-dropping-particle":"","parse-names":false,"suffix":""},{"dropping-particle":"","family":"Maliniemi","given":"Pilvi","non-dropping-particle":"","parse-names":false,"suffix":""},{"dropping-particle":"","family":"Pakanen","given":"Salla","non-dropping-particle":"","parse-names":false,"suffix":""},{"dropping-particle":"","family":"Hinttala","given":"Reetta","non-dropping-particle":"","parse-names":false,"suffix":""},{"dropping-particle":"","family":"Uusimaa","given":"Johanna","non-dropping-particle":"","parse-names":false,"suffix":""},{"dropping-particle":"","family":"Majamaa","given":"Kari","non-dropping-particle":"","parse-names":false,"suffix":""},{"dropping-particle":"","family":"Nyström","given":"Thomas","non-dropping-particle":"","parse-names":false,"suffix":""},{"dropping-particle":"","family":"Kervinen","given":"Marko","non-dropping-particle":"","parse-names":false,"suffix":""},{"dropping-particle":"","family":"Hassinen","given":"Ilmo E","non-dropping-particle":"","parse-names":false,"suffix":""}],"container-title":"Biochimica et biophysica acta","id":"ITEM-1","issue":"2","issued":{"date-parts":[["2012","2"]]},"language":"eng","page":"312-318","publisher-place":"Netherlands","title":"LHON/MELAS overlap mutation in ND1 subunit of mitochondrial complex I affects  ubiquinone binding as revealed by modeling in Escherichia coli NDH-1.","type":"article-journal","volume":"1817"},"uris":["http://www.mendeley.com/documents/?uuid=7b14b126-b02b-4ad5-b718-01804ce6b89f"]}],"mendeley":{"formattedCitation":"(Pätsi &lt;i&gt;et al&lt;/i&gt;, 2012)","plainTextFormattedCitation":"(Pätsi et al, 2012)","previouslyFormattedCitation":"(Pätsi &lt;i&gt;et al&lt;/i&gt;, 2012)"},"properties":{"noteIndex":0},"schema":"https://github.com/citation-style-language/schema/raw/master/csl-citation.json"}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(Pätsi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2012)</w:t>
            </w:r>
            <w:r w:rsidRPr="00E97FC1">
              <w:rPr>
                <w:rFonts w:ascii="Helvetica" w:hAnsi="Helvetica" w:cs="Helvetica"/>
                <w:b/>
                <w:bCs/>
                <w:sz w:val="16"/>
                <w:szCs w:val="20"/>
                <w:lang w:val="en-GB"/>
              </w:rPr>
              <w:fldChar w:fldCharType="end"/>
            </w:r>
          </w:p>
        </w:tc>
      </w:tr>
      <w:tr w:rsidR="002471A8" w:rsidRPr="00E97FC1" w14:paraId="1ACDC019" w14:textId="77777777" w:rsidTr="002471A8">
        <w:trPr>
          <w:trHeight w:val="65"/>
        </w:trPr>
        <w:tc>
          <w:tcPr>
            <w:tcW w:w="1975" w:type="dxa"/>
          </w:tcPr>
          <w:p w14:paraId="4FA9708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lastRenderedPageBreak/>
              <w:t>I201T</w:t>
            </w:r>
          </w:p>
        </w:tc>
        <w:tc>
          <w:tcPr>
            <w:tcW w:w="1800" w:type="dxa"/>
            <w:vMerge/>
          </w:tcPr>
          <w:p w14:paraId="324FEAC0" w14:textId="77777777" w:rsidR="002471A8" w:rsidRPr="00E97FC1" w:rsidRDefault="002471A8" w:rsidP="002471A8">
            <w:pPr>
              <w:rPr>
                <w:rFonts w:ascii="Helvetica" w:hAnsi="Helvetica" w:cs="Helvetica"/>
                <w:sz w:val="20"/>
                <w:szCs w:val="20"/>
                <w:lang w:val="en-GB"/>
              </w:rPr>
            </w:pPr>
          </w:p>
        </w:tc>
        <w:tc>
          <w:tcPr>
            <w:tcW w:w="1440" w:type="dxa"/>
          </w:tcPr>
          <w:p w14:paraId="3EEDA88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990" w:type="dxa"/>
          </w:tcPr>
          <w:p w14:paraId="3E684380"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65%</w:t>
            </w:r>
          </w:p>
        </w:tc>
        <w:tc>
          <w:tcPr>
            <w:tcW w:w="1260" w:type="dxa"/>
          </w:tcPr>
          <w:p w14:paraId="40F25F4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59-72%</w:t>
            </w:r>
          </w:p>
        </w:tc>
        <w:tc>
          <w:tcPr>
            <w:tcW w:w="1080" w:type="dxa"/>
          </w:tcPr>
          <w:p w14:paraId="2D3D7E68" w14:textId="77777777" w:rsidR="002471A8" w:rsidRPr="00E97FC1" w:rsidRDefault="002471A8" w:rsidP="002471A8">
            <w:pPr>
              <w:tabs>
                <w:tab w:val="left" w:pos="829"/>
              </w:tabs>
              <w:rPr>
                <w:rFonts w:ascii="Helvetica" w:hAnsi="Helvetica" w:cs="Helvetica"/>
                <w:sz w:val="20"/>
                <w:szCs w:val="20"/>
                <w:lang w:val="en-GB"/>
              </w:rPr>
            </w:pPr>
            <w:r w:rsidRPr="00E97FC1">
              <w:rPr>
                <w:rFonts w:ascii="Helvetica" w:hAnsi="Helvetica" w:cs="Helvetica"/>
                <w:sz w:val="20"/>
                <w:szCs w:val="20"/>
                <w:lang w:val="en-GB"/>
              </w:rPr>
              <w:t>NA</w:t>
            </w:r>
          </w:p>
        </w:tc>
        <w:tc>
          <w:tcPr>
            <w:tcW w:w="1440" w:type="dxa"/>
          </w:tcPr>
          <w:p w14:paraId="2B27394B" w14:textId="2ACBEAD5"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{"citationItems":[{"id":"ITEM-1","itemData":{"DOI":"10.1016/j.mito.2010.02.002","ISSN":"1872-8278 (Electronic)","PMID":"20197120","abstract":"MtDNA sequence variation is presumed to be neutral in effect, but associations with  diseases and mtDNA haplogroups have been reported. The aim here was to evaluate the functional consequences of m.4216T&gt;C present in haplogroup J. Furthermore, we evaluated m.3866T&gt;C in MT-ND1, a variant detected in a child belonging to haplogroup J and with an isolated complex I deficiency. Homologous substitutions were introduced into Escherichia coli. NADH dehydrogenase domain activity of NDH-1 with either one or both mutations was markedly decreased suggesting that m.4216T&gt;C and m.3866T&gt;C may have an effect on the structural integrity of complex I.","author":[{"dropping-particle":"","family":"Hinttala","given":"Reetta","non-dropping-particle":"","parse-names":false,"suffix":""},{"dropping-particle":"","family":"Kervinen","given":"Marko","non-dropping-particle":"","parse-names":false,"suffix":""},{"dropping-particle":"","family":"Uusimaa","given":"Johanna","non-dropping-particle":"","parse-names":false,"suffix":""},{"dropping-particle":"","family":"Maliniemi","given":"Pilvi","non-dropping-particle":"","parse-names":false,"suffix":""},{"dropping-particle":"","family":"Finnilä","given":"Saara","non-dropping-particle":"","parse-names":false,"suffix":""},{"dropping-particle":"","family":"Rantala","given":"Heikki","non-dropping-particle":"","parse-names":false,"suffix":""},{"dropping-particle":"","family":"Remes","given":"Anne M","non-dropping-particle":"","parse-names":false,"suffix":""},{"dropping-particle":"","family":"Hassinen","given":"Ilmo E","non-dropping-particle":"","parse-names":false,"suffix":""},{"dropping-particle":"","family":"Majamaa","given":"Kari","non-dropping-particle":"","parse-names":false,"suffix":""}],"container-title":"Mitochondrion","id":"ITEM-1","issue":"4","issued":{"date-parts":[["2010","6"]]},"language":"eng","page":"358-361","publisher-place":"Netherlands","title":"Analysis of functional consequences of haplogroup J polymorphisms m.4216T&gt;C and  m.3866T&gt;C in human MT-ND1: mutagenesis of homologous positions in Escherichia coli.","type":"article-journal","volume":"10"},"uris":["http://www.mendeley.com/documents/?uuid=86325c84-6717-4888-a56d-10d2b11daef9"]}],"mendeley":{"formattedCitation":"(Hinttala &lt;i&gt;et al&lt;/i&gt;, 2010)","plainTextFormattedCitation":"(Hinttala et al, 2010)","previouslyFormattedCitation":"(Hinttala &lt;i&gt;et al&lt;/i&gt;, 2010)"},"properties":{"noteIndex":0},"schema":"https://github.com/citation-style-language/schema/raw/master/csl-citation.json"}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(Hinttala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2010)</w:t>
            </w:r>
            <w:r w:rsidRPr="00E97FC1">
              <w:rPr>
                <w:rFonts w:ascii="Helvetica" w:hAnsi="Helvetica" w:cs="Helvetica"/>
                <w:b/>
                <w:bCs/>
                <w:sz w:val="16"/>
                <w:szCs w:val="20"/>
                <w:lang w:val="en-GB"/>
              </w:rPr>
              <w:fldChar w:fldCharType="end"/>
            </w:r>
          </w:p>
        </w:tc>
      </w:tr>
    </w:tbl>
    <w:p w14:paraId="2233BDAF" w14:textId="77777777" w:rsidR="002471A8" w:rsidRPr="00E97FC1" w:rsidRDefault="002471A8" w:rsidP="002471A8">
      <w:pPr>
        <w:ind w:left="720"/>
        <w:rPr>
          <w:rFonts w:ascii="Helvetica" w:hAnsi="Helvetica" w:cs="Helvetica"/>
          <w:b/>
          <w:lang w:val="en-GB"/>
        </w:rPr>
      </w:pPr>
    </w:p>
    <w:p w14:paraId="3600A184" w14:textId="77777777" w:rsidR="002471A8" w:rsidRPr="00E97FC1" w:rsidRDefault="002471A8" w:rsidP="002471A8">
      <w:pPr>
        <w:ind w:left="720"/>
        <w:rPr>
          <w:rFonts w:ascii="Helvetica" w:hAnsi="Helvetica" w:cs="Helvetica"/>
          <w:b/>
          <w:lang w:val="en-GB"/>
        </w:rPr>
      </w:pPr>
      <w:r w:rsidRPr="00E97FC1">
        <w:rPr>
          <w:rFonts w:ascii="Helvetica" w:hAnsi="Helvetica" w:cs="Helvetica"/>
          <w:b/>
          <w:lang w:val="en-GB"/>
        </w:rPr>
        <w:t>b) Mutations in the membrane arm, continuation</w:t>
      </w:r>
    </w:p>
    <w:p w14:paraId="51410E9B" w14:textId="77777777" w:rsidR="002471A8" w:rsidRPr="00E97FC1" w:rsidRDefault="002471A8" w:rsidP="002471A8">
      <w:pPr>
        <w:rPr>
          <w:rFonts w:ascii="Helvetica" w:hAnsi="Helvetica" w:cs="Helvetica"/>
          <w:lang w:val="en-GB"/>
        </w:rPr>
      </w:pPr>
    </w:p>
    <w:tbl>
      <w:tblPr>
        <w:tblW w:w="9985" w:type="dxa"/>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0A0" w:firstRow="1" w:lastRow="0" w:firstColumn="1" w:lastColumn="0" w:noHBand="0" w:noVBand="0"/>
      </w:tblPr>
      <w:tblGrid>
        <w:gridCol w:w="1975"/>
        <w:gridCol w:w="1800"/>
        <w:gridCol w:w="1440"/>
        <w:gridCol w:w="1170"/>
        <w:gridCol w:w="1260"/>
        <w:gridCol w:w="1080"/>
        <w:gridCol w:w="1260"/>
      </w:tblGrid>
      <w:tr w:rsidR="002471A8" w:rsidRPr="00E97FC1" w14:paraId="6E28D8B4" w14:textId="77777777" w:rsidTr="002471A8">
        <w:tc>
          <w:tcPr>
            <w:tcW w:w="1975" w:type="dxa"/>
            <w:vMerge w:val="restart"/>
          </w:tcPr>
          <w:p w14:paraId="47DA3F5A" w14:textId="77777777" w:rsidR="002471A8" w:rsidRPr="00E97FC1" w:rsidRDefault="002471A8" w:rsidP="002471A8">
            <w:pPr>
              <w:rPr>
                <w:rFonts w:ascii="Helvetica" w:hAnsi="Helvetica" w:cs="Helvetica"/>
                <w:sz w:val="22"/>
                <w:lang w:val="en-GB"/>
              </w:rPr>
            </w:pPr>
            <w:r w:rsidRPr="00E97FC1">
              <w:rPr>
                <w:rFonts w:ascii="Helvetica" w:hAnsi="Helvetica" w:cs="Helvetica"/>
                <w:sz w:val="22"/>
                <w:lang w:val="en-GB"/>
              </w:rPr>
              <w:t>Mutation</w:t>
            </w:r>
          </w:p>
        </w:tc>
        <w:tc>
          <w:tcPr>
            <w:tcW w:w="1800" w:type="dxa"/>
            <w:vMerge w:val="restart"/>
          </w:tcPr>
          <w:p w14:paraId="1ABD40E1"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Amino acid location</w:t>
            </w:r>
          </w:p>
        </w:tc>
        <w:tc>
          <w:tcPr>
            <w:tcW w:w="1440" w:type="dxa"/>
            <w:vMerge w:val="restart"/>
          </w:tcPr>
          <w:p w14:paraId="696EC1C4"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Expression/assembly</w:t>
            </w:r>
          </w:p>
        </w:tc>
        <w:tc>
          <w:tcPr>
            <w:tcW w:w="3510" w:type="dxa"/>
            <w:gridSpan w:val="3"/>
          </w:tcPr>
          <w:p w14:paraId="590C67B9"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Effect</w:t>
            </w:r>
          </w:p>
        </w:tc>
        <w:tc>
          <w:tcPr>
            <w:tcW w:w="1260" w:type="dxa"/>
            <w:vMerge w:val="restart"/>
          </w:tcPr>
          <w:p w14:paraId="4BF41726"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Reference and comments</w:t>
            </w:r>
          </w:p>
        </w:tc>
      </w:tr>
      <w:tr w:rsidR="002471A8" w:rsidRPr="00E97FC1" w14:paraId="4373C4B5" w14:textId="77777777" w:rsidTr="002471A8">
        <w:tc>
          <w:tcPr>
            <w:tcW w:w="1975" w:type="dxa"/>
            <w:vMerge/>
          </w:tcPr>
          <w:p w14:paraId="300E71AB" w14:textId="77777777" w:rsidR="002471A8" w:rsidRPr="00E97FC1" w:rsidRDefault="002471A8" w:rsidP="002471A8">
            <w:pPr>
              <w:jc w:val="center"/>
              <w:rPr>
                <w:rFonts w:ascii="Helvetica" w:hAnsi="Helvetica" w:cs="Helvetica"/>
                <w:sz w:val="22"/>
                <w:lang w:val="en-GB"/>
              </w:rPr>
            </w:pPr>
          </w:p>
        </w:tc>
        <w:tc>
          <w:tcPr>
            <w:tcW w:w="1800" w:type="dxa"/>
            <w:vMerge/>
          </w:tcPr>
          <w:p w14:paraId="352B85C3" w14:textId="77777777" w:rsidR="002471A8" w:rsidRPr="00E97FC1" w:rsidRDefault="002471A8" w:rsidP="002471A8">
            <w:pPr>
              <w:jc w:val="center"/>
              <w:rPr>
                <w:rFonts w:ascii="Helvetica" w:hAnsi="Helvetica" w:cs="Helvetica"/>
                <w:sz w:val="22"/>
                <w:lang w:val="en-GB"/>
              </w:rPr>
            </w:pPr>
          </w:p>
        </w:tc>
        <w:tc>
          <w:tcPr>
            <w:tcW w:w="1440" w:type="dxa"/>
            <w:vMerge/>
          </w:tcPr>
          <w:p w14:paraId="61B75F1B" w14:textId="77777777" w:rsidR="002471A8" w:rsidRPr="00E97FC1" w:rsidRDefault="002471A8" w:rsidP="002471A8">
            <w:pPr>
              <w:jc w:val="center"/>
              <w:rPr>
                <w:rFonts w:ascii="Helvetica" w:hAnsi="Helvetica" w:cs="Helvetica"/>
                <w:sz w:val="22"/>
                <w:lang w:val="en-GB"/>
              </w:rPr>
            </w:pPr>
          </w:p>
        </w:tc>
        <w:tc>
          <w:tcPr>
            <w:tcW w:w="1170" w:type="dxa"/>
          </w:tcPr>
          <w:p w14:paraId="52C883C5"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FMN-site</w:t>
            </w:r>
          </w:p>
          <w:p w14:paraId="71740B28"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activity</w:t>
            </w:r>
          </w:p>
        </w:tc>
        <w:tc>
          <w:tcPr>
            <w:tcW w:w="1260" w:type="dxa"/>
          </w:tcPr>
          <w:p w14:paraId="0BDD01A2"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Oxido-reductase activity</w:t>
            </w:r>
          </w:p>
        </w:tc>
        <w:tc>
          <w:tcPr>
            <w:tcW w:w="1080" w:type="dxa"/>
          </w:tcPr>
          <w:p w14:paraId="38946052" w14:textId="77777777" w:rsidR="002471A8" w:rsidRPr="00E97FC1" w:rsidRDefault="002471A8" w:rsidP="002471A8">
            <w:pPr>
              <w:jc w:val="center"/>
              <w:rPr>
                <w:rFonts w:ascii="Helvetica" w:hAnsi="Helvetica" w:cs="Helvetica"/>
                <w:sz w:val="22"/>
                <w:lang w:val="en-GB"/>
              </w:rPr>
            </w:pPr>
            <w:r w:rsidRPr="00E97FC1">
              <w:rPr>
                <w:rFonts w:ascii="Helvetica" w:hAnsi="Helvetica" w:cs="Helvetica"/>
                <w:sz w:val="22"/>
                <w:lang w:val="en-GB"/>
              </w:rPr>
              <w:t>Proton pumping activity</w:t>
            </w:r>
          </w:p>
        </w:tc>
        <w:tc>
          <w:tcPr>
            <w:tcW w:w="1260" w:type="dxa"/>
            <w:vMerge/>
          </w:tcPr>
          <w:p w14:paraId="2F3FF3AB" w14:textId="77777777" w:rsidR="002471A8" w:rsidRPr="00E97FC1" w:rsidRDefault="002471A8" w:rsidP="002471A8">
            <w:pPr>
              <w:jc w:val="center"/>
              <w:rPr>
                <w:rFonts w:ascii="Helvetica" w:hAnsi="Helvetica" w:cs="Helvetica"/>
                <w:sz w:val="22"/>
                <w:lang w:val="en-GB"/>
              </w:rPr>
            </w:pPr>
          </w:p>
        </w:tc>
      </w:tr>
      <w:tr w:rsidR="002471A8" w:rsidRPr="00E97FC1" w14:paraId="10775A8F" w14:textId="77777777" w:rsidTr="002471A8">
        <w:trPr>
          <w:trHeight w:val="65"/>
        </w:trPr>
        <w:tc>
          <w:tcPr>
            <w:tcW w:w="9985" w:type="dxa"/>
            <w:gridSpan w:val="7"/>
          </w:tcPr>
          <w:p w14:paraId="4B4E2893" w14:textId="77777777" w:rsidR="002471A8" w:rsidRPr="00E97FC1" w:rsidRDefault="002471A8" w:rsidP="002471A8">
            <w:pPr>
              <w:rPr>
                <w:rFonts w:ascii="Helvetica" w:hAnsi="Helvetica" w:cs="Helvetica"/>
                <w:noProof/>
                <w:sz w:val="22"/>
                <w:lang w:val="en-GB"/>
              </w:rPr>
            </w:pPr>
            <w:r w:rsidRPr="00E97FC1">
              <w:rPr>
                <w:rFonts w:ascii="Helvetica" w:hAnsi="Helvetica" w:cs="Helvetica"/>
                <w:b/>
                <w:bCs/>
                <w:sz w:val="28"/>
                <w:lang w:val="en-GB"/>
              </w:rPr>
              <w:t>NuoH</w:t>
            </w:r>
          </w:p>
        </w:tc>
      </w:tr>
      <w:tr w:rsidR="002471A8" w:rsidRPr="00E97FC1" w14:paraId="7B5E540A" w14:textId="77777777" w:rsidTr="002471A8">
        <w:trPr>
          <w:trHeight w:val="65"/>
        </w:trPr>
        <w:tc>
          <w:tcPr>
            <w:tcW w:w="1975" w:type="dxa"/>
          </w:tcPr>
          <w:p w14:paraId="4DD9DA8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V206G</w:t>
            </w:r>
          </w:p>
        </w:tc>
        <w:tc>
          <w:tcPr>
            <w:tcW w:w="1800" w:type="dxa"/>
            <w:vMerge w:val="restart"/>
          </w:tcPr>
          <w:p w14:paraId="39A1E1FC"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Deep Intermembrane</w:t>
            </w:r>
          </w:p>
        </w:tc>
        <w:tc>
          <w:tcPr>
            <w:tcW w:w="1440" w:type="dxa"/>
          </w:tcPr>
          <w:p w14:paraId="1267521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20C447F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110%</w:t>
            </w:r>
          </w:p>
        </w:tc>
        <w:tc>
          <w:tcPr>
            <w:tcW w:w="1260" w:type="dxa"/>
          </w:tcPr>
          <w:p w14:paraId="250AB1B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95-100%</w:t>
            </w:r>
          </w:p>
        </w:tc>
        <w:tc>
          <w:tcPr>
            <w:tcW w:w="1080" w:type="dxa"/>
          </w:tcPr>
          <w:p w14:paraId="2651910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22358C91" w14:textId="2BF30A5E"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{"citationItems":[{"id":"ITEM-1","itemData":{"DOI":"10.1074/jbc.M809468200","ISSN":"0021-9258 (Print)","PMID":"19189973","abstract":"The bacterial proton-translocating NADH:quinone oxidoreductase (NDH-1) consists of  two domains, a peripheral arm and a membrane arm. NuoH is a counterpart of ND1, which is one of seven mitochondrially encoded hydrophobic subunits, and is considered to be involved in quinone/inhibitor binding. Sequence comparison in a wide range of species showed that NuoH is comprehensively conserved, particularly with charged residues in the cytoplasmic side loops. We have constructed 40 mutants of 27 conserved residues predicted to be in the cytoplasmic side loops of Escherichia coli NuoH by utilizing the chromosomal DNA manipulation technique and investigated roles of these residues. Mutants of Arg(37), Arg(46), Asp(63), Gly(134), Gly(145), Arg(148), Glu(220), and Glu(228) showed low deamino-NADH-K(3)Fe(CN)(6) reductase activity, undetectable NDH-1 in Blue Native gels, low contents of peripheral subunits (especially NuoB and NuoCD) bound to the membranes, and a significant loss of the membrane potential and proton-pumping function coupled to deamino-NADH oxidation. The results indicated that these conserved residues located in the cytoplasmic side loops are essential for the assembly of the peripheral subunits with the membrane arm. Implications for the involvement of NuoH (ND1) in maintaining the structure and function of NDH-1 are discussed.","author":[{"dropping-particle":"","family":"Sinha","given":"Prem Kumar","non-dropping-particle":"","parse-names":false,"suffix":""},{"dropping-particle":"","family":"Torres-Bacete","given":"Jesus","non-dropping-particle":"","parse-names":false,"suffix":""},{"dropping-particle":"","family":"Nakamaru-Ogiso","given":"Eiko","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chemistry","id":"ITEM-1","issue":"15","issued":{"date-parts":[["2009","4"]]},"language":"eng","page":"9814-9823","title":"Critical roles of subunit NuoH (ND1) in the assembly of peripheral subunits with the  membrane domain of Escherichia coli NDH-1.","type":"article-journal","volume":"284"},"uris":["http://www.mendeley.com/documents/?uuid=94e6ea23-ba78-42b7-8564-979f1e931026"]}],"mendeley":{"formattedCitation":"(Sinha &lt;i&gt;et al&lt;/i&gt;, 2009)","plainTextFormattedCitation":"(Sinha et al, 2009)","previouslyFormattedCitation":"(Sinha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61ED8F8E" w14:textId="77777777" w:rsidTr="002471A8">
        <w:trPr>
          <w:trHeight w:val="65"/>
        </w:trPr>
        <w:tc>
          <w:tcPr>
            <w:tcW w:w="1975" w:type="dxa"/>
          </w:tcPr>
          <w:p w14:paraId="6CCAFAC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V206E</w:t>
            </w:r>
          </w:p>
        </w:tc>
        <w:tc>
          <w:tcPr>
            <w:tcW w:w="1800" w:type="dxa"/>
            <w:vMerge/>
          </w:tcPr>
          <w:p w14:paraId="42032A36" w14:textId="77777777" w:rsidR="002471A8" w:rsidRPr="00E97FC1" w:rsidRDefault="002471A8" w:rsidP="002471A8">
            <w:pPr>
              <w:rPr>
                <w:rFonts w:ascii="Helvetica" w:hAnsi="Helvetica" w:cs="Helvetica"/>
                <w:sz w:val="20"/>
                <w:szCs w:val="20"/>
                <w:lang w:val="en-GB"/>
              </w:rPr>
            </w:pPr>
          </w:p>
        </w:tc>
        <w:tc>
          <w:tcPr>
            <w:tcW w:w="1440" w:type="dxa"/>
          </w:tcPr>
          <w:p w14:paraId="0E7740F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170" w:type="dxa"/>
          </w:tcPr>
          <w:p w14:paraId="100349E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67%</w:t>
            </w:r>
          </w:p>
        </w:tc>
        <w:tc>
          <w:tcPr>
            <w:tcW w:w="1260" w:type="dxa"/>
          </w:tcPr>
          <w:p w14:paraId="6936C90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63%</w:t>
            </w:r>
          </w:p>
        </w:tc>
        <w:tc>
          <w:tcPr>
            <w:tcW w:w="1080" w:type="dxa"/>
          </w:tcPr>
          <w:p w14:paraId="75CC096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2F90D2A3" w14:textId="74EAE81C"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{"citationItems":[{"id":"ITEM-1","itemData":{"DOI":"10.1093/hmg/ddl176","ISSN":"0964-6906 (Print)","PMID":"16849371","abstract":"The ND1 subunit gene of the mitochondrial NADH-ubiquinone oxidoreductase (complex I)  is a hot spot for mutations causing Leber hereditary optic neuropathy and several mutations causing the mitochondrial encephalopathy, lactic acidosis and stroke-like episodes syndrome (MELAS). We have used Escherichia coli and Paracoccus denitrificans as model systems to study the effect of mutations 3946 and 3949, which change conserved residues in ND1 and cause MELAS. The vicinity of these mutations was also explored with a series of mutations in charged residues. The 3946 mutation results in E214K substitution in human ND1. Replacement of the equivalent residue in E. coli with lysine or glutamine detracted from enzyme assembly and the assembled enzyme was inactive. However, the equivalent E234Q mutant enzyme in P. denitrificans failed to assemble completely (or was rapidly degraded). Also the corresponding substitution with aspartate decreased the enzyme activity in P. denitrificans and E. coli. The 3949-equivalent substitution, Y229H in E. coli, lowered the catalytic activity by 30%. In addition, an activation of the enzyme during catalytic turnover was seen in this bacterial NDH-1, something that was even more pronounced in another mutant in the same loop, D213E. Several other mutations in this region decreased the enzyme activity. The studied MELAS mutations are situated in a matrix-side loop, which appears to be highly sensitive to structural perturbations. The results provide new information on the function of the region affected by the MELAS mutations 3946 and 3949 that is not obtainable from patient samples or current eukaryote models.","author":[{"dropping-particle":"","family":"Kervinen","given":"Marko","non-dropping-particle":"","parse-names":false,"suffix":""},{"dropping-particle":"","family":"Hinttala","given":"Reetta","non-dropping-particle":"","parse-names":false,"suffix":""},{"dropping-particle":"","family":"Helander","given":"Heli M","non-dropping-particle":"","parse-names":false,"suffix":""},{"dropping-particle":"","family":"Kurki","given":"Sari","non-dropping-particle":"","parse-names":false,"suffix":""},{"dropping-particle":"","family":"Uusimaa","given":"Johanna","non-dropping-particle":"","parse-names":false,"suffix":""},{"dropping-particle":"","family":"Finel","given":"Moshe","non-dropping-particle":"","parse-names":false,"suffix":""},{"dropping-particle":"","family":"Majamaa","given":"Kari","non-dropping-particle":"","parse-names":false,"suffix":""},{"dropping-particle":"","family":"Hassinen","given":"Ilmo E","non-dropping-particle":"","parse-names":false,"suffix":""}],"container-title":"Human molecular genetics","id":"ITEM-1","issue":"17","issued":{"date-parts":[["2006","9"]]},"language":"eng","page":"2543-2552","publisher-place":"England","title":"The MELAS mutations 3946 and 3949 perturb the critical structure in a conserved loop  of the ND1 subunit of mitochondrial complex I.","type":"article-journal","volume":"15"},"uris":["http://www.mendeley.com/documents/?uuid=cce4cbf5-7370-4ed6-a9dc-cea7d144968f"]}],"mendeley":{"formattedCitation":"(Kervinen &lt;i&gt;et al&lt;/i&gt;, 2006)","plainTextFormattedCitation":"(Kervinen et al, 2006)","previouslyFormattedCitation":"(Kervinen &lt;i&gt;et al&lt;/i&gt;, 2006)"},"properties":{"noteIndex":0},"schema":"https://github.com/citation-style-language/schema/raw/master/csl-citation.json"}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(Kervinen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2006)</w:t>
            </w:r>
            <w:r w:rsidRPr="00E97FC1">
              <w:rPr>
                <w:rFonts w:ascii="Helvetica" w:hAnsi="Helvetica" w:cs="Helvetica"/>
                <w:b/>
                <w:bCs/>
                <w:sz w:val="16"/>
                <w:szCs w:val="20"/>
                <w:lang w:val="en-GB"/>
              </w:rPr>
              <w:fldChar w:fldCharType="end"/>
            </w:r>
          </w:p>
        </w:tc>
      </w:tr>
      <w:tr w:rsidR="002471A8" w:rsidRPr="00E97FC1" w14:paraId="7E79F48B" w14:textId="77777777" w:rsidTr="002471A8">
        <w:trPr>
          <w:trHeight w:val="65"/>
        </w:trPr>
        <w:tc>
          <w:tcPr>
            <w:tcW w:w="1975" w:type="dxa"/>
          </w:tcPr>
          <w:p w14:paraId="71A91A5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R209F</w:t>
            </w:r>
          </w:p>
        </w:tc>
        <w:tc>
          <w:tcPr>
            <w:tcW w:w="1800" w:type="dxa"/>
            <w:vMerge w:val="restart"/>
          </w:tcPr>
          <w:p w14:paraId="7F64810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Intermembrane, points into Q site</w:t>
            </w:r>
          </w:p>
        </w:tc>
        <w:tc>
          <w:tcPr>
            <w:tcW w:w="1440" w:type="dxa"/>
          </w:tcPr>
          <w:p w14:paraId="4DB7BCE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170" w:type="dxa"/>
          </w:tcPr>
          <w:p w14:paraId="1CD669B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59%</w:t>
            </w:r>
          </w:p>
        </w:tc>
        <w:tc>
          <w:tcPr>
            <w:tcW w:w="1260" w:type="dxa"/>
          </w:tcPr>
          <w:p w14:paraId="68A1969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43%</w:t>
            </w:r>
          </w:p>
        </w:tc>
        <w:tc>
          <w:tcPr>
            <w:tcW w:w="1080" w:type="dxa"/>
          </w:tcPr>
          <w:p w14:paraId="1A1B499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23E40AAA" w14:textId="5BFA75F0"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{"citationItems":[{"id":"ITEM-1","itemData":{"DOI":"10.1093/hmg/ddl176","ISSN":"0964-6906 (Print)","PMID":"16849371","abstract":"The ND1 subunit gene of the mitochondrial NADH-ubiquinone oxidoreductase (complex I)  is a hot spot for mutations causing Leber hereditary optic neuropathy and several mutations causing the mitochondrial encephalopathy, lactic acidosis and stroke-like episodes syndrome (MELAS). We have used Escherichia coli and Paracoccus denitrificans as model systems to study the effect of mutations 3946 and 3949, which change conserved residues in ND1 and cause MELAS. The vicinity of these mutations was also explored with a series of mutations in charged residues. The 3946 mutation results in E214K substitution in human ND1. Replacement of the equivalent residue in E. coli with lysine or glutamine detracted from enzyme assembly and the assembled enzyme was inactive. However, the equivalent E234Q mutant enzyme in P. denitrificans failed to assemble completely (or was rapidly degraded). Also the corresponding substitution with aspartate decreased the enzyme activity in P. denitrificans and E. coli. The 3949-equivalent substitution, Y229H in E. coli, lowered the catalytic activity by 30%. In addition, an activation of the enzyme during catalytic turnover was seen in this bacterial NDH-1, something that was even more pronounced in another mutant in the same loop, D213E. Several other mutations in this region decreased the enzyme activity. The studied MELAS mutations are situated in a matrix-side loop, which appears to be highly sensitive to structural perturbations. The results provide new information on the function of the region affected by the MELAS mutations 3946 and 3949 that is not obtainable from patient samples or current eukaryote models.","author":[{"dropping-particle":"","family":"Kervinen","given":"Marko","non-dropping-particle":"","parse-names":false,"suffix":""},{"dropping-particle":"","family":"Hinttala","given":"Reetta","non-dropping-particle":"","parse-names":false,"suffix":""},{"dropping-particle":"","family":"Helander","given":"Heli M","non-dropping-particle":"","parse-names":false,"suffix":""},{"dropping-particle":"","family":"Kurki","given":"Sari","non-dropping-particle":"","parse-names":false,"suffix":""},{"dropping-particle":"","family":"Uusimaa","given":"Johanna","non-dropping-particle":"","parse-names":false,"suffix":""},{"dropping-particle":"","family":"Finel","given":"Moshe","non-dropping-particle":"","parse-names":false,"suffix":""},{"dropping-particle":"","family":"Majamaa","given":"Kari","non-dropping-particle":"","parse-names":false,"suffix":""},{"dropping-particle":"","family":"Hassinen","given":"Ilmo E","non-dropping-particle":"","parse-names":false,"suffix":""}],"container-title":"Human molecular genetics","id":"ITEM-1","issue":"17","issued":{"date-parts":[["2006","9"]]},"language":"eng","page":"2543-2552","publisher-place":"England","title":"The MELAS mutations 3946 and 3949 perturb the critical structure in a conserved loop  of the ND1 subunit of mitochondrial complex I.","type":"article-journal","volume":"15"},"uris":["http://www.mendeley.com/documents/?uuid=cce4cbf5-7370-4ed6-a9dc-cea7d144968f"]}],"mendeley":{"formattedCitation":"(Kervinen &lt;i&gt;et al&lt;/i&gt;, 2006)","plainTextFormattedCitation":"(Kervinen et al, 2006)","previouslyFormattedCitation":"(Kervinen &lt;i&gt;et al&lt;/i&gt;, 2006)"},"properties":{"noteIndex":0},"schema":"https://github.com/citation-style-language/schema/raw/master/csl-citation.json"}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(Kervinen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2006)</w:t>
            </w:r>
            <w:r w:rsidRPr="00E97FC1">
              <w:rPr>
                <w:rFonts w:ascii="Helvetica" w:hAnsi="Helvetica" w:cs="Helvetica"/>
                <w:b/>
                <w:bCs/>
                <w:sz w:val="16"/>
                <w:szCs w:val="20"/>
                <w:lang w:val="en-GB"/>
              </w:rPr>
              <w:fldChar w:fldCharType="end"/>
            </w:r>
          </w:p>
        </w:tc>
      </w:tr>
      <w:tr w:rsidR="002471A8" w:rsidRPr="00E97FC1" w14:paraId="4A6F73A4" w14:textId="77777777" w:rsidTr="002471A8">
        <w:trPr>
          <w:trHeight w:val="65"/>
        </w:trPr>
        <w:tc>
          <w:tcPr>
            <w:tcW w:w="1975" w:type="dxa"/>
          </w:tcPr>
          <w:p w14:paraId="27A7821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R209A</w:t>
            </w:r>
          </w:p>
        </w:tc>
        <w:tc>
          <w:tcPr>
            <w:tcW w:w="1800" w:type="dxa"/>
            <w:vMerge/>
          </w:tcPr>
          <w:p w14:paraId="60358C88" w14:textId="77777777" w:rsidR="002471A8" w:rsidRPr="00E97FC1" w:rsidRDefault="002471A8" w:rsidP="002471A8">
            <w:pPr>
              <w:rPr>
                <w:rFonts w:ascii="Helvetica" w:hAnsi="Helvetica" w:cs="Helvetica"/>
                <w:sz w:val="20"/>
                <w:szCs w:val="20"/>
                <w:lang w:val="en-GB"/>
              </w:rPr>
            </w:pPr>
          </w:p>
        </w:tc>
        <w:tc>
          <w:tcPr>
            <w:tcW w:w="1440" w:type="dxa"/>
          </w:tcPr>
          <w:p w14:paraId="015D2CC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6E8A9871"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85%</w:t>
            </w:r>
          </w:p>
        </w:tc>
        <w:tc>
          <w:tcPr>
            <w:tcW w:w="1260" w:type="dxa"/>
          </w:tcPr>
          <w:p w14:paraId="560706F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63-87%</w:t>
            </w:r>
          </w:p>
        </w:tc>
        <w:tc>
          <w:tcPr>
            <w:tcW w:w="1080" w:type="dxa"/>
          </w:tcPr>
          <w:p w14:paraId="66A2DD9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reduced</w:t>
            </w:r>
          </w:p>
        </w:tc>
        <w:tc>
          <w:tcPr>
            <w:tcW w:w="1260" w:type="dxa"/>
          </w:tcPr>
          <w:p w14:paraId="111AC11F" w14:textId="53D1D729"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{"citationItems":[{"id":"ITEM-1","itemData":{"DOI":"10.1074/jbc.M809468200","ISSN":"0021-9258 (Print)","PMID":"19189973","abstract":"The bacterial proton-translocating NADH:quinone oxidoreductase (NDH-1) consists of  two domains, a peripheral arm and a membrane arm. NuoH is a counterpart of ND1, which is one of seven mitochondrially encoded hydrophobic subunits, and is considered to be involved in quinone/inhibitor binding. Sequence comparison in a wide range of species showed that NuoH is comprehensively conserved, particularly with charged residues in the cytoplasmic side loops. We have constructed 40 mutants of 27 conserved residues predicted to be in the cytoplasmic side loops of Escherichia coli NuoH by utilizing the chromosomal DNA manipulation technique and investigated roles of these residues. Mutants of Arg(37), Arg(46), Asp(63), Gly(134), Gly(145), Arg(148), Glu(220), and Glu(228) showed low deamino-NADH-K(3)Fe(CN)(6) reductase activity, undetectable NDH-1 in Blue Native gels, low contents of peripheral subunits (especially NuoB and NuoCD) bound to the membranes, and a significant loss of the membrane potential and proton-pumping function coupled to deamino-NADH oxidation. The results indicated that these conserved residues located in the cytoplasmic side loops are essential for the assembly of the peripheral subunits with the membrane arm. Implications for the involvement of NuoH (ND1) in maintaining the structure and function of NDH-1 are discussed.","author":[{"dropping-particle":"","family":"Sinha","given":"Prem Kumar","non-dropping-particle":"","parse-names":false,"suffix":""},{"dropping-particle":"","family":"Torres-Bacete","given":"Jesus","non-dropping-particle":"","parse-names":false,"suffix":""},{"dropping-particle":"","family":"Nakamaru-Ogiso","given":"Eiko","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chemistry","id":"ITEM-1","issue":"15","issued":{"date-parts":[["2009","4"]]},"language":"eng","page":"9814-9823","title":"Critical roles of subunit NuoH (ND1) in the assembly of peripheral subunits with the  membrane domain of Escherichia coli NDH-1.","type":"article-journal","volume":"284"},"uris":["http://www.mendeley.com/documents/?uuid=94e6ea23-ba78-42b7-8564-979f1e931026"]}],"mendeley":{"formattedCitation":"(Sinha &lt;i&gt;et al&lt;/i&gt;, 2009)","plainTextFormattedCitation":"(Sinha et al, 2009)","previouslyFormattedCitation":"(Sinha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710725F2" w14:textId="77777777" w:rsidTr="002471A8">
        <w:trPr>
          <w:trHeight w:val="65"/>
        </w:trPr>
        <w:tc>
          <w:tcPr>
            <w:tcW w:w="1975" w:type="dxa"/>
          </w:tcPr>
          <w:p w14:paraId="30B428F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H210T</w:t>
            </w:r>
          </w:p>
        </w:tc>
        <w:tc>
          <w:tcPr>
            <w:tcW w:w="1800" w:type="dxa"/>
          </w:tcPr>
          <w:p w14:paraId="0A93F25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Q-site, NuoCD interface</w:t>
            </w:r>
          </w:p>
        </w:tc>
        <w:tc>
          <w:tcPr>
            <w:tcW w:w="1440" w:type="dxa"/>
          </w:tcPr>
          <w:p w14:paraId="68C46A9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170" w:type="dxa"/>
          </w:tcPr>
          <w:p w14:paraId="523AEAA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82%</w:t>
            </w:r>
          </w:p>
        </w:tc>
        <w:tc>
          <w:tcPr>
            <w:tcW w:w="1260" w:type="dxa"/>
          </w:tcPr>
          <w:p w14:paraId="39496F9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63%</w:t>
            </w:r>
          </w:p>
        </w:tc>
        <w:tc>
          <w:tcPr>
            <w:tcW w:w="1080" w:type="dxa"/>
          </w:tcPr>
          <w:p w14:paraId="514B136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48333F10" w14:textId="74AE3F7B"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{"citationItems":[{"id":"ITEM-1","itemData":{"DOI":"10.1093/hmg/ddl176","ISSN":"0964-6906 (Print)","PMID":"16849371","abstract":"The ND1 subunit gene of the mitochondrial NADH-ubiquinone oxidoreductase (complex I)  is a hot spot for mutations causing Leber hereditary optic neuropathy and several mutations causing the mitochondrial encephalopathy, lactic acidosis and stroke-like episodes syndrome (MELAS). We have used Escherichia coli and Paracoccus denitrificans as model systems to study the effect of mutations 3946 and 3949, which change conserved residues in ND1 and cause MELAS. The vicinity of these mutations was also explored with a series of mutations in charged residues. The 3946 mutation results in E214K substitution in human ND1. Replacement of the equivalent residue in E. coli with lysine or glutamine detracted from enzyme assembly and the assembled enzyme was inactive. However, the equivalent E234Q mutant enzyme in P. denitrificans failed to assemble completely (or was rapidly degraded). Also the corresponding substitution with aspartate decreased the enzyme activity in P. denitrificans and E. coli. The 3949-equivalent substitution, Y229H in E. coli, lowered the catalytic activity by 30%. In addition, an activation of the enzyme during catalytic turnover was seen in this bacterial NDH-1, something that was even more pronounced in another mutant in the same loop, D213E. Several other mutations in this region decreased the enzyme activity. The studied MELAS mutations are situated in a matrix-side loop, which appears to be highly sensitive to structural perturbations. The results provide new information on the function of the region affected by the MELAS mutations 3946 and 3949 that is not obtainable from patient samples or current eukaryote models.","author":[{"dropping-particle":"","family":"Kervinen","given":"Marko","non-dropping-particle":"","parse-names":false,"suffix":""},{"dropping-particle":"","family":"Hinttala","given":"Reetta","non-dropping-particle":"","parse-names":false,"suffix":""},{"dropping-particle":"","family":"Helander","given":"Heli M","non-dropping-particle":"","parse-names":false,"suffix":""},{"dropping-particle":"","family":"Kurki","given":"Sari","non-dropping-particle":"","parse-names":false,"suffix":""},{"dropping-particle":"","family":"Uusimaa","given":"Johanna","non-dropping-particle":"","parse-names":false,"suffix":""},{"dropping-particle":"","family":"Finel","given":"Moshe","non-dropping-particle":"","parse-names":false,"suffix":""},{"dropping-particle":"","family":"Majamaa","given":"Kari","non-dropping-particle":"","parse-names":false,"suffix":""},{"dropping-particle":"","family":"Hassinen","given":"Ilmo E","non-dropping-particle":"","parse-names":false,"suffix":""}],"container-title":"Human molecular genetics","id":"ITEM-1","issue":"17","issued":{"date-parts":[["2006","9"]]},"language":"eng","page":"2543-2552","publisher-place":"England","title":"The MELAS mutations 3946 and 3949 perturb the critical structure in a conserved loop  of the ND1 subunit of mitochondrial complex I.","type":"article-journal","volume":"15"},"uris":["http://www.mendeley.com/documents/?uuid=cce4cbf5-7370-4ed6-a9dc-cea7d144968f"]}],"mendeley":{"formattedCitation":"(Kervinen &lt;i&gt;et al&lt;/i&gt;, 2006)","plainTextFormattedCitation":"(Kervinen et al, 2006)","previouslyFormattedCitation":"(Kervinen &lt;i&gt;et al&lt;/i&gt;, 2006)"},"properties":{"noteIndex":0},"schema":"https://github.com/citation-style-language/schema/raw/master/csl-citation.json"}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(Kervinen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2006)</w:t>
            </w:r>
            <w:r w:rsidRPr="00E97FC1">
              <w:rPr>
                <w:rFonts w:ascii="Helvetica" w:hAnsi="Helvetica" w:cs="Helvetica"/>
                <w:b/>
                <w:bCs/>
                <w:sz w:val="16"/>
                <w:szCs w:val="20"/>
                <w:lang w:val="en-GB"/>
              </w:rPr>
              <w:fldChar w:fldCharType="end"/>
            </w:r>
          </w:p>
        </w:tc>
      </w:tr>
      <w:tr w:rsidR="002471A8" w:rsidRPr="00E97FC1" w14:paraId="73F476DD" w14:textId="77777777" w:rsidTr="002471A8">
        <w:trPr>
          <w:trHeight w:val="65"/>
        </w:trPr>
        <w:tc>
          <w:tcPr>
            <w:tcW w:w="1975" w:type="dxa"/>
          </w:tcPr>
          <w:p w14:paraId="3A47ACA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D213A</w:t>
            </w:r>
          </w:p>
        </w:tc>
        <w:tc>
          <w:tcPr>
            <w:tcW w:w="1800" w:type="dxa"/>
            <w:vMerge w:val="restart"/>
          </w:tcPr>
          <w:p w14:paraId="6AB7405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Q-site, NuoCD interface</w:t>
            </w:r>
          </w:p>
        </w:tc>
        <w:tc>
          <w:tcPr>
            <w:tcW w:w="1440" w:type="dxa"/>
          </w:tcPr>
          <w:p w14:paraId="132BE98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low</w:t>
            </w:r>
          </w:p>
        </w:tc>
        <w:tc>
          <w:tcPr>
            <w:tcW w:w="1170" w:type="dxa"/>
          </w:tcPr>
          <w:p w14:paraId="16AAA20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53%</w:t>
            </w:r>
          </w:p>
        </w:tc>
        <w:tc>
          <w:tcPr>
            <w:tcW w:w="1260" w:type="dxa"/>
          </w:tcPr>
          <w:p w14:paraId="2B17CDE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12%</w:t>
            </w:r>
          </w:p>
        </w:tc>
        <w:tc>
          <w:tcPr>
            <w:tcW w:w="1080" w:type="dxa"/>
          </w:tcPr>
          <w:p w14:paraId="4B42D01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0%</w:t>
            </w:r>
          </w:p>
        </w:tc>
        <w:tc>
          <w:tcPr>
            <w:tcW w:w="1260" w:type="dxa"/>
          </w:tcPr>
          <w:p w14:paraId="5D35CC88" w14:textId="39590F37"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{"citationItems":[{"id":"ITEM-1","itemData":{"DOI":"10.1074/jbc.M809468200","ISSN":"0021-9258 (Print)","PMID":"19189973","abstract":"The bacterial proton-translocating NADH:quinone oxidoreductase (NDH-1) consists of  two domains, a peripheral arm and a membrane arm. NuoH is a counterpart of ND1, which is one of seven mitochondrially encoded hydrophobic subunits, and is considered to be involved in quinone/inhibitor binding. Sequence comparison in a wide range of species showed that NuoH is comprehensively conserved, particularly with charged residues in the cytoplasmic side loops. We have constructed 40 mutants of 27 conserved residues predicted to be in the cytoplasmic side loops of Escherichia coli NuoH by utilizing the chromosomal DNA manipulation technique and investigated roles of these residues. Mutants of Arg(37), Arg(46), Asp(63), Gly(134), Gly(145), Arg(148), Glu(220), and Glu(228) showed low deamino-NADH-K(3)Fe(CN)(6) reductase activity, undetectable NDH-1 in Blue Native gels, low contents of peripheral subunits (especially NuoB and NuoCD) bound to the membranes, and a significant loss of the membrane potential and proton-pumping function coupled to deamino-NADH oxidation. The results indicated that these conserved residues located in the cytoplasmic side loops are essential for the assembly of the peripheral subunits with the membrane arm. Implications for the involvement of NuoH (ND1) in maintaining the structure and function of NDH-1 are discussed.","author":[{"dropping-particle":"","family":"Sinha","given":"Prem Kumar","non-dropping-particle":"","parse-names":false,"suffix":""},{"dropping-particle":"","family":"Torres-Bacete","given":"Jesus","non-dropping-particle":"","parse-names":false,"suffix":""},{"dropping-particle":"","family":"Nakamaru-Ogiso","given":"Eiko","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chemistry","id":"ITEM-1","issue":"15","issued":{"date-parts":[["2009","4"]]},"language":"eng","page":"9814-9823","title":"Critical roles of subunit NuoH (ND1) in the assembly of peripheral subunits with the  membrane domain of Escherichia coli NDH-1.","type":"article-journal","volume":"284"},"uris":["http://www.mendeley.com/documents/?uuid=94e6ea23-ba78-42b7-8564-979f1e931026"]}],"mendeley":{"formattedCitation":"(Sinha &lt;i&gt;et al&lt;/i&gt;, 2009)","plainTextFormattedCitation":"(Sinha et al, 2009)","previouslyFormattedCitation":"(Sinha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235C99E2" w14:textId="77777777" w:rsidTr="002471A8">
        <w:trPr>
          <w:trHeight w:val="65"/>
        </w:trPr>
        <w:tc>
          <w:tcPr>
            <w:tcW w:w="1975" w:type="dxa"/>
          </w:tcPr>
          <w:p w14:paraId="0480E6F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D213E</w:t>
            </w:r>
          </w:p>
        </w:tc>
        <w:tc>
          <w:tcPr>
            <w:tcW w:w="1800" w:type="dxa"/>
            <w:vMerge/>
          </w:tcPr>
          <w:p w14:paraId="602A1E32" w14:textId="77777777" w:rsidR="002471A8" w:rsidRPr="00E97FC1" w:rsidRDefault="002471A8" w:rsidP="002471A8">
            <w:pPr>
              <w:rPr>
                <w:rFonts w:ascii="Helvetica" w:hAnsi="Helvetica" w:cs="Helvetica"/>
                <w:sz w:val="20"/>
                <w:szCs w:val="20"/>
                <w:lang w:val="en-GB"/>
              </w:rPr>
            </w:pPr>
          </w:p>
        </w:tc>
        <w:tc>
          <w:tcPr>
            <w:tcW w:w="1440" w:type="dxa"/>
          </w:tcPr>
          <w:p w14:paraId="4AD55D6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170" w:type="dxa"/>
          </w:tcPr>
          <w:p w14:paraId="766CE7D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69%</w:t>
            </w:r>
          </w:p>
        </w:tc>
        <w:tc>
          <w:tcPr>
            <w:tcW w:w="1260" w:type="dxa"/>
          </w:tcPr>
          <w:p w14:paraId="4B0748D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43%</w:t>
            </w:r>
          </w:p>
        </w:tc>
        <w:tc>
          <w:tcPr>
            <w:tcW w:w="1080" w:type="dxa"/>
          </w:tcPr>
          <w:p w14:paraId="71827E9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363ED420" w14:textId="4104A23C"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{"citationItems":[{"id":"ITEM-1","itemData":{"DOI":"10.1093/hmg/ddl176","ISSN":"0964-6906 (Print)","PMID":"16849371","abstract":"The ND1 subunit gene of the mitochondrial NADH-ubiquinone oxidoreductase (complex I)  is a hot spot for mutations causing Leber hereditary optic neuropathy and several mutations causing the mitochondrial encephalopathy, lactic acidosis and stroke-like episodes syndrome (MELAS). We have used Escherichia coli and Paracoccus denitrificans as model systems to study the effect of mutations 3946 and 3949, which change conserved residues in ND1 and cause MELAS. The vicinity of these mutations was also explored with a series of mutations in charged residues. The 3946 mutation results in E214K substitution in human ND1. Replacement of the equivalent residue in E. coli with lysine or glutamine detracted from enzyme assembly and the assembled enzyme was inactive. However, the equivalent E234Q mutant enzyme in P. denitrificans failed to assemble completely (or was rapidly degraded). Also the corresponding substitution with aspartate decreased the enzyme activity in P. denitrificans and E. coli. The 3949-equivalent substitution, Y229H in E. coli, lowered the catalytic activity by 30%. In addition, an activation of the enzyme during catalytic turnover was seen in this bacterial NDH-1, something that was even more pronounced in another mutant in the same loop, D213E. Several other mutations in this region decreased the enzyme activity. The studied MELAS mutations are situated in a matrix-side loop, which appears to be highly sensitive to structural perturbations. The results provide new information on the function of the region affected by the MELAS mutations 3946 and 3949 that is not obtainable from patient samples or current eukaryote models.","author":[{"dropping-particle":"","family":"Kervinen","given":"Marko","non-dropping-particle":"","parse-names":false,"suffix":""},{"dropping-particle":"","family":"Hinttala","given":"Reetta","non-dropping-particle":"","parse-names":false,"suffix":""},{"dropping-particle":"","family":"Helander","given":"Heli M","non-dropping-particle":"","parse-names":false,"suffix":""},{"dropping-particle":"","family":"Kurki","given":"Sari","non-dropping-particle":"","parse-names":false,"suffix":""},{"dropping-particle":"","family":"Uusimaa","given":"Johanna","non-dropping-particle":"","parse-names":false,"suffix":""},{"dropping-particle":"","family":"Finel","given":"Moshe","non-dropping-particle":"","parse-names":false,"suffix":""},{"dropping-particle":"","family":"Majamaa","given":"Kari","non-dropping-particle":"","parse-names":false,"suffix":""},{"dropping-particle":"","family":"Hassinen","given":"Ilmo E","non-dropping-particle":"","parse-names":false,"suffix":""}],"container-title":"Human molecular genetics","id":"ITEM-1","issue":"17","issued":{"date-parts":[["2006","9"]]},"language":"eng","page":"2543-2552","publisher-place":"England","title":"The MELAS mutations 3946 and 3949 perturb the critical structure in a conserved loop  of the ND1 subunit of mitochondrial complex I.","type":"article-journal","volume":"15"},"uris":["http://www.mendeley.com/documents/?uuid=cce4cbf5-7370-4ed6-a9dc-cea7d144968f"]}],"mendeley":{"formattedCitation":"(Kervinen &lt;i&gt;et al&lt;/i&gt;, 2006)","plainTextFormattedCitation":"(Kervinen et al, 2006)","previouslyFormattedCitation":"(Kervinen &lt;i&gt;et al&lt;/i&gt;, 2006)"},"properties":{"noteIndex":0},"schema":"https://github.com/citation-style-language/schema/raw/master/csl-citation.json"}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(Kervinen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2006)</w:t>
            </w:r>
            <w:r w:rsidRPr="00E97FC1">
              <w:rPr>
                <w:rFonts w:ascii="Helvetica" w:hAnsi="Helvetica" w:cs="Helvetica"/>
                <w:b/>
                <w:bCs/>
                <w:sz w:val="16"/>
                <w:szCs w:val="20"/>
                <w:lang w:val="en-GB"/>
              </w:rPr>
              <w:fldChar w:fldCharType="end"/>
            </w:r>
          </w:p>
        </w:tc>
      </w:tr>
      <w:tr w:rsidR="002471A8" w:rsidRPr="00E97FC1" w14:paraId="53C4C469" w14:textId="77777777" w:rsidTr="002471A8">
        <w:trPr>
          <w:trHeight w:val="65"/>
        </w:trPr>
        <w:tc>
          <w:tcPr>
            <w:tcW w:w="1975" w:type="dxa"/>
          </w:tcPr>
          <w:p w14:paraId="328826C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D213N</w:t>
            </w:r>
          </w:p>
        </w:tc>
        <w:tc>
          <w:tcPr>
            <w:tcW w:w="1800" w:type="dxa"/>
            <w:vMerge/>
          </w:tcPr>
          <w:p w14:paraId="2C456D0D" w14:textId="77777777" w:rsidR="002471A8" w:rsidRPr="00E97FC1" w:rsidRDefault="002471A8" w:rsidP="002471A8">
            <w:pPr>
              <w:rPr>
                <w:rFonts w:ascii="Helvetica" w:hAnsi="Helvetica" w:cs="Helvetica"/>
                <w:sz w:val="20"/>
                <w:szCs w:val="20"/>
                <w:lang w:val="en-GB"/>
              </w:rPr>
            </w:pPr>
          </w:p>
        </w:tc>
        <w:tc>
          <w:tcPr>
            <w:tcW w:w="1440" w:type="dxa"/>
          </w:tcPr>
          <w:p w14:paraId="7E7558B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170" w:type="dxa"/>
          </w:tcPr>
          <w:p w14:paraId="76DA8D1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95%</w:t>
            </w:r>
          </w:p>
        </w:tc>
        <w:tc>
          <w:tcPr>
            <w:tcW w:w="1260" w:type="dxa"/>
          </w:tcPr>
          <w:p w14:paraId="3963DFB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71%</w:t>
            </w:r>
          </w:p>
        </w:tc>
        <w:tc>
          <w:tcPr>
            <w:tcW w:w="1080" w:type="dxa"/>
          </w:tcPr>
          <w:p w14:paraId="478A04A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14E296ED" w14:textId="5662BD49"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{"citationItems":[{"id":"ITEM-1","itemData":{"DOI":"10.1093/hmg/ddl176","ISSN":"0964-6906 (Print)","PMID":"16849371","abstract":"The ND1 subunit gene of the mitochondrial NADH-ubiquinone oxidoreductase (complex I)  is a hot spot for mutations causing Leber hereditary optic neuropathy and several mutations causing the mitochondrial encephalopathy, lactic acidosis and stroke-like episodes syndrome (MELAS). We have used Escherichia coli and Paracoccus denitrificans as model systems to study the effect of mutations 3946 and 3949, which change conserved residues in ND1 and cause MELAS. The vicinity of these mutations was also explored with a series of mutations in charged residues. The 3946 mutation results in E214K substitution in human ND1. Replacement of the equivalent residue in E. coli with lysine or glutamine detracted from enzyme assembly and the assembled enzyme was inactive. However, the equivalent E234Q mutant enzyme in P. denitrificans failed to assemble completely (or was rapidly degraded). Also the corresponding substitution with aspartate decreased the enzyme activity in P. denitrificans and E. coli. The 3949-equivalent substitution, Y229H in E. coli, lowered the catalytic activity by 30%. In addition, an activation of the enzyme during catalytic turnover was seen in this bacterial NDH-1, something that was even more pronounced in another mutant in the same loop, D213E. Several other mutations in this region decreased the enzyme activity. The studied MELAS mutations are situated in a matrix-side loop, which appears to be highly sensitive to structural perturbations. The results provide new information on the function of the region affected by the MELAS mutations 3946 and 3949 that is not obtainable from patient samples or current eukaryote models.","author":[{"dropping-particle":"","family":"Kervinen","given":"Marko","non-dropping-particle":"","parse-names":false,"suffix":""},{"dropping-particle":"","family":"Hinttala","given":"Reetta","non-dropping-particle":"","parse-names":false,"suffix":""},{"dropping-particle":"","family":"Helander","given":"Heli M","non-dropping-particle":"","parse-names":false,"suffix":""},{"dropping-particle":"","family":"Kurki","given":"Sari","non-dropping-particle":"","parse-names":false,"suffix":""},{"dropping-particle":"","family":"Uusimaa","given":"Johanna","non-dropping-particle":"","parse-names":false,"suffix":""},{"dropping-particle":"","family":"Finel","given":"Moshe","non-dropping-particle":"","parse-names":false,"suffix":""},{"dropping-particle":"","family":"Majamaa","given":"Kari","non-dropping-particle":"","parse-names":false,"suffix":""},{"dropping-particle":"","family":"Hassinen","given":"Ilmo E","non-dropping-particle":"","parse-names":false,"suffix":""}],"container-title":"Human molecular genetics","id":"ITEM-1","issue":"17","issued":{"date-parts":[["2006","9"]]},"language":"eng","page":"2543-2552","publisher-place":"England","title":"The MELAS mutations 3946 and 3949 perturb the critical structure in a conserved loop  of the ND1 subunit of mitochondrial complex I.","type":"article-journal","volume":"15"},"uris":["http://www.mendeley.com/documents/?uuid=cce4cbf5-7370-4ed6-a9dc-cea7d144968f"]}],"mendeley":{"formattedCitation":"(Kervinen &lt;i&gt;et al&lt;/i&gt;, 2006)","plainTextFormattedCitation":"(Kervinen et al, 2006)","previouslyFormattedCitation":"(Kervinen &lt;i&gt;et al&lt;/i&gt;, 2006)"},"properties":{"noteIndex":0},"schema":"https://github.com/citation-style-language/schema/raw/master/csl-citation.json"}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(Kervinen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2006)</w:t>
            </w:r>
            <w:r w:rsidRPr="00E97FC1">
              <w:rPr>
                <w:rFonts w:ascii="Helvetica" w:hAnsi="Helvetica" w:cs="Helvetica"/>
                <w:b/>
                <w:bCs/>
                <w:sz w:val="16"/>
                <w:szCs w:val="20"/>
                <w:lang w:val="en-GB"/>
              </w:rPr>
              <w:fldChar w:fldCharType="end"/>
            </w:r>
          </w:p>
        </w:tc>
      </w:tr>
      <w:tr w:rsidR="002471A8" w:rsidRPr="00E97FC1" w14:paraId="682B6894" w14:textId="77777777" w:rsidTr="002471A8">
        <w:trPr>
          <w:trHeight w:val="65"/>
        </w:trPr>
        <w:tc>
          <w:tcPr>
            <w:tcW w:w="1975" w:type="dxa"/>
          </w:tcPr>
          <w:p w14:paraId="3EAFC07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E216A</w:t>
            </w:r>
          </w:p>
        </w:tc>
        <w:tc>
          <w:tcPr>
            <w:tcW w:w="1800" w:type="dxa"/>
            <w:vMerge w:val="restart"/>
          </w:tcPr>
          <w:p w14:paraId="77778AA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TM5-6 loop “beginning”</w:t>
            </w:r>
          </w:p>
        </w:tc>
        <w:tc>
          <w:tcPr>
            <w:tcW w:w="1440" w:type="dxa"/>
          </w:tcPr>
          <w:p w14:paraId="400EA79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0D4143E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112%</w:t>
            </w:r>
          </w:p>
        </w:tc>
        <w:tc>
          <w:tcPr>
            <w:tcW w:w="1260" w:type="dxa"/>
          </w:tcPr>
          <w:p w14:paraId="1BD7815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63-80%</w:t>
            </w:r>
          </w:p>
        </w:tc>
        <w:tc>
          <w:tcPr>
            <w:tcW w:w="1080" w:type="dxa"/>
          </w:tcPr>
          <w:p w14:paraId="3588A5F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5653CEA5" w14:textId="1FBDAE7F"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{"citationItems":[{"id":"ITEM-1","itemData":{"DOI":"10.1074/jbc.M809468200","ISSN":"0021-9258 (Print)","PMID":"19189973","abstract":"The bacterial proton-translocating NADH:quinone oxidoreductase (NDH-1) consists of  two domains, a peripheral arm and a membrane arm. NuoH is a counterpart of ND1, which is one of seven mitochondrially encoded hydrophobic subunits, and is considered to be involved in quinone/inhibitor binding. Sequence comparison in a wide range of species showed that NuoH is comprehensively conserved, particularly with charged residues in the cytoplasmic side loops. We have constructed 40 mutants of 27 conserved residues predicted to be in the cytoplasmic side loops of Escherichia coli NuoH by utilizing the chromosomal DNA manipulation technique and investigated roles of these residues. Mutants of Arg(37), Arg(46), Asp(63), Gly(134), Gly(145), Arg(148), Glu(220), and Glu(228) showed low deamino-NADH-K(3)Fe(CN)(6) reductase activity, undetectable NDH-1 in Blue Native gels, low contents of peripheral subunits (especially NuoB and NuoCD) bound to the membranes, and a significant loss of the membrane potential and proton-pumping function coupled to deamino-NADH oxidation. The results indicated that these conserved residues located in the cytoplasmic side loops are essential for the assembly of the peripheral subunits with the membrane arm. Implications for the involvement of NuoH (ND1) in maintaining the structure and function of NDH-1 are discussed.","author":[{"dropping-particle":"","family":"Sinha","given":"Prem Kumar","non-dropping-particle":"","parse-names":false,"suffix":""},{"dropping-particle":"","family":"Torres-Bacete","given":"Jesus","non-dropping-particle":"","parse-names":false,"suffix":""},{"dropping-particle":"","family":"Nakamaru-Ogiso","given":"Eiko","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chemistry","id":"ITEM-1","issue":"15","issued":{"date-parts":[["2009","4"]]},"language":"eng","page":"9814-9823","title":"Critical roles of subunit NuoH (ND1) in the assembly of peripheral subunits with the  membrane domain of Escherichia coli NDH-1.","type":"article-journal","volume":"284"},"uris":["http://www.mendeley.com/documents/?uuid=94e6ea23-ba78-42b7-8564-979f1e931026"]}],"mendeley":{"formattedCitation":"(Sinha &lt;i&gt;et al&lt;/i&gt;, 2009)","plainTextFormattedCitation":"(Sinha et al, 2009)","previouslyFormattedCitation":"(Sinha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0B52AE72" w14:textId="77777777" w:rsidTr="002471A8">
        <w:trPr>
          <w:trHeight w:val="65"/>
        </w:trPr>
        <w:tc>
          <w:tcPr>
            <w:tcW w:w="1975" w:type="dxa"/>
          </w:tcPr>
          <w:p w14:paraId="6457F16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E216A</w:t>
            </w:r>
          </w:p>
        </w:tc>
        <w:tc>
          <w:tcPr>
            <w:tcW w:w="1800" w:type="dxa"/>
            <w:vMerge/>
          </w:tcPr>
          <w:p w14:paraId="1CD4A4A8" w14:textId="77777777" w:rsidR="002471A8" w:rsidRPr="00E97FC1" w:rsidRDefault="002471A8" w:rsidP="002471A8">
            <w:pPr>
              <w:rPr>
                <w:rFonts w:ascii="Helvetica" w:hAnsi="Helvetica" w:cs="Helvetica"/>
                <w:sz w:val="20"/>
                <w:szCs w:val="20"/>
                <w:lang w:val="en-GB"/>
              </w:rPr>
            </w:pPr>
          </w:p>
        </w:tc>
        <w:tc>
          <w:tcPr>
            <w:tcW w:w="1440" w:type="dxa"/>
          </w:tcPr>
          <w:p w14:paraId="24BD894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170" w:type="dxa"/>
          </w:tcPr>
          <w:p w14:paraId="1647AD14"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95%</w:t>
            </w:r>
          </w:p>
        </w:tc>
        <w:tc>
          <w:tcPr>
            <w:tcW w:w="1260" w:type="dxa"/>
          </w:tcPr>
          <w:p w14:paraId="56C794A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80%</w:t>
            </w:r>
          </w:p>
        </w:tc>
        <w:tc>
          <w:tcPr>
            <w:tcW w:w="1080" w:type="dxa"/>
          </w:tcPr>
          <w:p w14:paraId="419EDA4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0629C40C" w14:textId="3F324BA5"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{"citationItems":[{"id":"ITEM-1","itemData":{"DOI":"10.1093/hmg/ddl176","ISSN":"0964-6906 (Print)","PMID":"16849371","abstract":"The ND1 subunit gene of the mitochondrial NADH-ubiquinone oxidoreductase (complex I)  is a hot spot for mutations causing Leber hereditary optic neuropathy and several mutations causing the mitochondrial encephalopathy, lactic acidosis and stroke-like episodes syndrome (MELAS). We have used Escherichia coli and Paracoccus denitrificans as model systems to study the effect of mutations 3946 and 3949, which change conserved residues in ND1 and cause MELAS. The vicinity of these mutations was also explored with a series of mutations in charged residues. The 3946 mutation results in E214K substitution in human ND1. Replacement of the equivalent residue in E. coli with lysine or glutamine detracted from enzyme assembly and the assembled enzyme was inactive. However, the equivalent E234Q mutant enzyme in P. denitrificans failed to assemble completely (or was rapidly degraded). Also the corresponding substitution with aspartate decreased the enzyme activity in P. denitrificans and E. coli. The 3949-equivalent substitution, Y229H in E. coli, lowered the catalytic activity by 30%. In addition, an activation of the enzyme during catalytic turnover was seen in this bacterial NDH-1, something that was even more pronounced in another mutant in the same loop, D213E. Several other mutations in this region decreased the enzyme activity. The studied MELAS mutations are situated in a matrix-side loop, which appears to be highly sensitive to structural perturbations. The results provide new information on the function of the region affected by the MELAS mutations 3946 and 3949 that is not obtainable from patient samples or current eukaryote models.","author":[{"dropping-particle":"","family":"Kervinen","given":"Marko","non-dropping-particle":"","parse-names":false,"suffix":""},{"dropping-particle":"","family":"Hinttala","given":"Reetta","non-dropping-particle":"","parse-names":false,"suffix":""},{"dropping-particle":"","family":"Helander","given":"Heli M","non-dropping-particle":"","parse-names":false,"suffix":""},{"dropping-particle":"","family":"Kurki","given":"Sari","non-dropping-particle":"","parse-names":false,"suffix":""},{"dropping-particle":"","family":"Uusimaa","given":"Johanna","non-dropping-particle":"","parse-names":false,"suffix":""},{"dropping-particle":"","family":"Finel","given":"Moshe","non-dropping-particle":"","parse-names":false,"suffix":""},{"dropping-particle":"","family":"Majamaa","given":"Kari","non-dropping-particle":"","parse-names":false,"suffix":""},{"dropping-particle":"","family":"Hassinen","given":"Ilmo E","non-dropping-particle":"","parse-names":false,"suffix":""}],"container-title":"Human molecular genetics","id":"ITEM-1","issue":"17","issued":{"date-parts":[["2006","9"]]},"language":"eng","page":"2543-2552","publisher-place":"England","title":"The MELAS mutations 3946 and 3949 perturb the critical structure in a conserved loop  of the ND1 subunit of mitochondrial complex I.","type":"article-journal","volume":"15"},"uris":["http://www.mendeley.com/documents/?uuid=cce4cbf5-7370-4ed6-a9dc-cea7d144968f"]}],"mendeley":{"formattedCitation":"(Kervinen &lt;i&gt;et al&lt;/i&gt;, 2006)","plainTextFormattedCitation":"(Kervinen et al, 2006)","previouslyFormattedCitation":"(Kervinen &lt;i&gt;et al&lt;/i&gt;, 2006)"},"properties":{"noteIndex":0},"schema":"https://github.com/citation-style-language/schema/raw/master/csl-citation.json"}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(Kervinen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2006)</w:t>
            </w:r>
            <w:r w:rsidRPr="00E97FC1">
              <w:rPr>
                <w:rFonts w:ascii="Helvetica" w:hAnsi="Helvetica" w:cs="Helvetica"/>
                <w:b/>
                <w:bCs/>
                <w:sz w:val="16"/>
                <w:szCs w:val="20"/>
                <w:lang w:val="en-GB"/>
              </w:rPr>
              <w:fldChar w:fldCharType="end"/>
            </w:r>
          </w:p>
        </w:tc>
      </w:tr>
      <w:tr w:rsidR="002471A8" w:rsidRPr="00E97FC1" w14:paraId="32760F79" w14:textId="77777777" w:rsidTr="002471A8">
        <w:trPr>
          <w:trHeight w:val="65"/>
        </w:trPr>
        <w:tc>
          <w:tcPr>
            <w:tcW w:w="1975" w:type="dxa"/>
          </w:tcPr>
          <w:p w14:paraId="7DFAF3B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E218A</w:t>
            </w:r>
          </w:p>
        </w:tc>
        <w:tc>
          <w:tcPr>
            <w:tcW w:w="1800" w:type="dxa"/>
          </w:tcPr>
          <w:p w14:paraId="1F64F5C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TM5-6 loop</w:t>
            </w:r>
          </w:p>
        </w:tc>
        <w:tc>
          <w:tcPr>
            <w:tcW w:w="1440" w:type="dxa"/>
          </w:tcPr>
          <w:p w14:paraId="7F35604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3DBA87B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124%</w:t>
            </w:r>
          </w:p>
        </w:tc>
        <w:tc>
          <w:tcPr>
            <w:tcW w:w="1260" w:type="dxa"/>
          </w:tcPr>
          <w:p w14:paraId="37F532C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35-43%</w:t>
            </w:r>
          </w:p>
        </w:tc>
        <w:tc>
          <w:tcPr>
            <w:tcW w:w="1080" w:type="dxa"/>
          </w:tcPr>
          <w:p w14:paraId="54A8BD3A"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reduced</w:t>
            </w:r>
          </w:p>
        </w:tc>
        <w:tc>
          <w:tcPr>
            <w:tcW w:w="1260" w:type="dxa"/>
          </w:tcPr>
          <w:p w14:paraId="68702CDD" w14:textId="02328B93"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{"citationItems":[{"id":"ITEM-1","itemData":{"DOI":"10.1074/jbc.M809468200","ISSN":"0021-9258 (Print)","PMID":"19189973","abstract":"The bacterial proton-translocating NADH:quinone oxidoreductase (NDH-1) consists of  two domains, a peripheral arm and a membrane arm. NuoH is a counterpart of ND1, which is one of seven mitochondrially encoded hydrophobic subunits, and is considered to be involved in quinone/inhibitor binding. Sequence comparison in a wide range of species showed that NuoH is comprehensively conserved, particularly with charged residues in the cytoplasmic side loops. We have constructed 40 mutants of 27 conserved residues predicted to be in the cytoplasmic side loops of Escherichia coli NuoH by utilizing the chromosomal DNA manipulation technique and investigated roles of these residues. Mutants of Arg(37), Arg(46), Asp(63), Gly(134), Gly(145), Arg(148), Glu(220), and Glu(228) showed low deamino-NADH-K(3)Fe(CN)(6) reductase activity, undetectable NDH-1 in Blue Native gels, low contents of peripheral subunits (especially NuoB and NuoCD) bound to the membranes, and a significant loss of the membrane potential and proton-pumping function coupled to deamino-NADH oxidation. The results indicated that these conserved residues located in the cytoplasmic side loops are essential for the assembly of the peripheral subunits with the membrane arm. Implications for the involvement of NuoH (ND1) in maintaining the structure and function of NDH-1 are discussed.","author":[{"dropping-particle":"","family":"Sinha","given":"Prem Kumar","non-dropping-particle":"","parse-names":false,"suffix":""},{"dropping-particle":"","family":"Torres-Bacete","given":"Jesus","non-dropping-particle":"","parse-names":false,"suffix":""},{"dropping-particle":"","family":"Nakamaru-Ogiso","given":"Eiko","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chemistry","id":"ITEM-1","issue":"15","issued":{"date-parts":[["2009","4"]]},"language":"eng","page":"9814-9823","title":"Critical roles of subunit NuoH (ND1) in the assembly of peripheral subunits with the  membrane domain of Escherichia coli NDH-1.","type":"article-journal","volume":"284"},"uris":["http://www.mendeley.com/documents/?uuid=94e6ea23-ba78-42b7-8564-979f1e931026"]}],"mendeley":{"formattedCitation":"(Sinha &lt;i&gt;et al&lt;/i&gt;, 2009)","plainTextFormattedCitation":"(Sinha et al, 2009)","previouslyFormattedCitation":"(Sinha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3C947692" w14:textId="77777777" w:rsidTr="002471A8">
        <w:trPr>
          <w:trHeight w:val="65"/>
        </w:trPr>
        <w:tc>
          <w:tcPr>
            <w:tcW w:w="1975" w:type="dxa"/>
          </w:tcPr>
          <w:p w14:paraId="763C721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E220A</w:t>
            </w:r>
          </w:p>
        </w:tc>
        <w:tc>
          <w:tcPr>
            <w:tcW w:w="1800" w:type="dxa"/>
            <w:vMerge w:val="restart"/>
          </w:tcPr>
          <w:p w14:paraId="07F1D41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TM5-6 loop</w:t>
            </w:r>
          </w:p>
        </w:tc>
        <w:tc>
          <w:tcPr>
            <w:tcW w:w="1440" w:type="dxa"/>
          </w:tcPr>
          <w:p w14:paraId="63625A6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 assembly</w:t>
            </w:r>
          </w:p>
        </w:tc>
        <w:tc>
          <w:tcPr>
            <w:tcW w:w="1170" w:type="dxa"/>
          </w:tcPr>
          <w:p w14:paraId="4F324E3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49%</w:t>
            </w:r>
          </w:p>
        </w:tc>
        <w:tc>
          <w:tcPr>
            <w:tcW w:w="1260" w:type="dxa"/>
          </w:tcPr>
          <w:p w14:paraId="57F0AF4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2%</w:t>
            </w:r>
          </w:p>
        </w:tc>
        <w:tc>
          <w:tcPr>
            <w:tcW w:w="1080" w:type="dxa"/>
          </w:tcPr>
          <w:p w14:paraId="4780782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0%</w:t>
            </w:r>
          </w:p>
        </w:tc>
        <w:tc>
          <w:tcPr>
            <w:tcW w:w="1260" w:type="dxa"/>
          </w:tcPr>
          <w:p w14:paraId="268E4FB4" w14:textId="06B4395D"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{"citationItems":[{"id":"ITEM-1","itemData":{"DOI":"10.1074/jbc.M809468200","ISSN":"0021-9258 (Print)","PMID":"19189973","abstract":"The bacterial proton-translocating NADH:quinone oxidoreductase (NDH-1) consists of  two domains, a peripheral arm and a membrane arm. NuoH is a counterpart of ND1, which is one of seven mitochondrially encoded hydrophobic subunits, and is considered to be involved in quinone/inhibitor binding. Sequence comparison in a wide range of species showed that NuoH is comprehensively conserved, particularly with charged residues in the cytoplasmic side loops. We have constructed 40 mutants of 27 conserved residues predicted to be in the cytoplasmic side loops of Escherichia coli NuoH by utilizing the chromosomal DNA manipulation technique and investigated roles of these residues. Mutants of Arg(37), Arg(46), Asp(63), Gly(134), Gly(145), Arg(148), Glu(220), and Glu(228) showed low deamino-NADH-K(3)Fe(CN)(6) reductase activity, undetectable NDH-1 in Blue Native gels, low contents of peripheral subunits (especially NuoB and NuoCD) bound to the membranes, and a significant loss of the membrane potential and proton-pumping function coupled to deamino-NADH oxidation. The results indicated that these conserved residues located in the cytoplasmic side loops are essential for the assembly of the peripheral subunits with the membrane arm. Implications for the involvement of NuoH (ND1) in maintaining the structure and function of NDH-1 are discussed.","author":[{"dropping-particle":"","family":"Sinha","given":"Prem Kumar","non-dropping-particle":"","parse-names":false,"suffix":""},{"dropping-particle":"","family":"Torres-Bacete","given":"Jesus","non-dropping-particle":"","parse-names":false,"suffix":""},{"dropping-particle":"","family":"Nakamaru-Ogiso","given":"Eiko","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chemistry","id":"ITEM-1","issue":"15","issued":{"date-parts":[["2009","4"]]},"language":"eng","page":"9814-9823","title":"Critical roles of subunit NuoH (ND1) in the assembly of peripheral subunits with the  membrane domain of Escherichia coli NDH-1.","type":"article-journal","volume":"284"},"uris":["http://www.mendeley.com/documents/?uuid=94e6ea23-ba78-42b7-8564-979f1e931026"]}],"mendeley":{"formattedCitation":"(Sinha &lt;i&gt;et al&lt;/i&gt;, 2009)","plainTextFormattedCitation":"(Sinha et al, 2009)","previouslyFormattedCitation":"(Sinha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44605BC9" w14:textId="77777777" w:rsidTr="002471A8">
        <w:trPr>
          <w:trHeight w:val="65"/>
        </w:trPr>
        <w:tc>
          <w:tcPr>
            <w:tcW w:w="1975" w:type="dxa"/>
          </w:tcPr>
          <w:p w14:paraId="2695922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E220Q</w:t>
            </w:r>
          </w:p>
        </w:tc>
        <w:tc>
          <w:tcPr>
            <w:tcW w:w="1800" w:type="dxa"/>
            <w:vMerge/>
          </w:tcPr>
          <w:p w14:paraId="53140D0C" w14:textId="77777777" w:rsidR="002471A8" w:rsidRPr="00E97FC1" w:rsidRDefault="002471A8" w:rsidP="002471A8">
            <w:pPr>
              <w:rPr>
                <w:rFonts w:ascii="Helvetica" w:hAnsi="Helvetica" w:cs="Helvetica"/>
                <w:sz w:val="20"/>
                <w:szCs w:val="20"/>
                <w:lang w:val="en-GB"/>
              </w:rPr>
            </w:pPr>
          </w:p>
        </w:tc>
        <w:tc>
          <w:tcPr>
            <w:tcW w:w="1440" w:type="dxa"/>
          </w:tcPr>
          <w:p w14:paraId="4345786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 assembly</w:t>
            </w:r>
          </w:p>
        </w:tc>
        <w:tc>
          <w:tcPr>
            <w:tcW w:w="1170" w:type="dxa"/>
          </w:tcPr>
          <w:p w14:paraId="5B27CDB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45%</w:t>
            </w:r>
          </w:p>
        </w:tc>
        <w:tc>
          <w:tcPr>
            <w:tcW w:w="1260" w:type="dxa"/>
          </w:tcPr>
          <w:p w14:paraId="210CEE2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w:t>
            </w:r>
          </w:p>
        </w:tc>
        <w:tc>
          <w:tcPr>
            <w:tcW w:w="1080" w:type="dxa"/>
          </w:tcPr>
          <w:p w14:paraId="081A33B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0%</w:t>
            </w:r>
          </w:p>
        </w:tc>
        <w:tc>
          <w:tcPr>
            <w:tcW w:w="1260" w:type="dxa"/>
          </w:tcPr>
          <w:p w14:paraId="703F3851" w14:textId="6F52FE0D"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{"citationItems":[{"id":"ITEM-1","itemData":{"DOI":"10.1074/jbc.M809468200","ISSN":"0021-9258 (Print)","PMID":"19189973","abstract":"The bacterial proton-translocating NADH:quinone oxidoreductase (NDH-1) consists of  two domains, a peripheral arm and a membrane arm. NuoH is a counterpart of ND1, which is one of seven mitochondrially encoded hydrophobic subunits, and is considered to be involved in quinone/inhibitor binding. Sequence comparison in a wide range of species showed that NuoH is comprehensively conserved, particularly with charged residues in the cytoplasmic side loops. We have constructed 40 mutants of 27 conserved residues predicted to be in the cytoplasmic side loops of Escherichia coli NuoH by utilizing the chromosomal DNA manipulation technique and investigated roles of these residues. Mutants of Arg(37), Arg(46), Asp(63), Gly(134), Gly(145), Arg(148), Glu(220), and Glu(228) showed low deamino-NADH-K(3)Fe(CN)(6) reductase activity, undetectable NDH-1 in Blue Native gels, low contents of peripheral subunits (especially NuoB and NuoCD) bound to the membranes, and a significant loss of the membrane potential and proton-pumping function coupled to deamino-NADH oxidation. The results indicated that these conserved residues located in the cytoplasmic side loops are essential for the assembly of the peripheral subunits with the membrane arm. Implications for the involvement of NuoH (ND1) in maintaining the structure and function of NDH-1 are discussed.","author":[{"dropping-particle":"","family":"Sinha","given":"Prem Kumar","non-dropping-particle":"","parse-names":false,"suffix":""},{"dropping-particle":"","family":"Torres-Bacete","given":"Jesus","non-dropping-particle":"","parse-names":false,"suffix":""},{"dropping-particle":"","family":"Nakamaru-Ogiso","given":"Eiko","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chemistry","id":"ITEM-1","issue":"15","issued":{"date-parts":[["2009","4"]]},"language":"eng","page":"9814-9823","title":"Critical roles of subunit NuoH (ND1) in the assembly of peripheral subunits with the  membrane domain of Escherichia coli NDH-1.","type":"article-journal","volume":"284"},"uris":["http://www.mendeley.com/documents/?uuid=94e6ea23-ba78-42b7-8564-979f1e931026"]}],"mendeley":{"formattedCitation":"(Sinha &lt;i&gt;et al&lt;/i&gt;, 2009)","plainTextFormattedCitation":"(Sinha et al, 2009)","previouslyFormattedCitation":"(Sinha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74E73685" w14:textId="77777777" w:rsidTr="002471A8">
        <w:trPr>
          <w:trHeight w:val="65"/>
        </w:trPr>
        <w:tc>
          <w:tcPr>
            <w:tcW w:w="1975" w:type="dxa"/>
          </w:tcPr>
          <w:p w14:paraId="3FADF84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E228A</w:t>
            </w:r>
          </w:p>
        </w:tc>
        <w:tc>
          <w:tcPr>
            <w:tcW w:w="1800" w:type="dxa"/>
            <w:vMerge w:val="restart"/>
          </w:tcPr>
          <w:p w14:paraId="101A6F7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TM5-6 loop, NuoA, B loop interface</w:t>
            </w:r>
          </w:p>
        </w:tc>
        <w:tc>
          <w:tcPr>
            <w:tcW w:w="1440" w:type="dxa"/>
          </w:tcPr>
          <w:p w14:paraId="61341B5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 assembly</w:t>
            </w:r>
          </w:p>
        </w:tc>
        <w:tc>
          <w:tcPr>
            <w:tcW w:w="1170" w:type="dxa"/>
          </w:tcPr>
          <w:p w14:paraId="270A18B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40%</w:t>
            </w:r>
          </w:p>
        </w:tc>
        <w:tc>
          <w:tcPr>
            <w:tcW w:w="1260" w:type="dxa"/>
          </w:tcPr>
          <w:p w14:paraId="4963408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8%</w:t>
            </w:r>
          </w:p>
        </w:tc>
        <w:tc>
          <w:tcPr>
            <w:tcW w:w="1080" w:type="dxa"/>
          </w:tcPr>
          <w:p w14:paraId="7FB06F2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0%</w:t>
            </w:r>
          </w:p>
        </w:tc>
        <w:tc>
          <w:tcPr>
            <w:tcW w:w="1260" w:type="dxa"/>
          </w:tcPr>
          <w:p w14:paraId="2EA46C9B" w14:textId="24989803"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{"citationItems":[{"id":"ITEM-1","itemData":{"DOI":"10.1074/jbc.M809468200","ISSN":"0021-9258 (Print)","PMID":"19189973","abstract":"The bacterial proton-translocating NADH:quinone oxidoreductase (NDH-1) consists of  two domains, a peripheral arm and a membrane arm. NuoH is a counterpart of ND1, which is one of seven mitochondrially encoded hydrophobic subunits, and is considered to be involved in quinone/inhibitor binding. Sequence comparison in a wide range of species showed that NuoH is comprehensively conserved, particularly with charged residues in the cytoplasmic side loops. We have constructed 40 mutants of 27 conserved residues predicted to be in the cytoplasmic side loops of Escherichia coli NuoH by utilizing the chromosomal DNA manipulation technique and investigated roles of these residues. Mutants of Arg(37), Arg(46), Asp(63), Gly(134), Gly(145), Arg(148), Glu(220), and Glu(228) showed low deamino-NADH-K(3)Fe(CN)(6) reductase activity, undetectable NDH-1 in Blue Native gels, low contents of peripheral subunits (especially NuoB and NuoCD) bound to the membranes, and a significant loss of the membrane potential and proton-pumping function coupled to deamino-NADH oxidation. The results indicated that these conserved residues located in the cytoplasmic side loops are essential for the assembly of the peripheral subunits with the membrane arm. Implications for the involvement of NuoH (ND1) in maintaining the structure and function of NDH-1 are discussed.","author":[{"dropping-particle":"","family":"Sinha","given":"Prem Kumar","non-dropping-particle":"","parse-names":false,"suffix":""},{"dropping-particle":"","family":"Torres-Bacete","given":"Jesus","non-dropping-particle":"","parse-names":false,"suffix":""},{"dropping-particle":"","family":"Nakamaru-Ogiso","given":"Eiko","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chemistry","id":"ITEM-1","issue":"15","issued":{"date-parts":[["2009","4"]]},"language":"eng","page":"9814-9823","title":"Critical roles of subunit NuoH (ND1) in the assembly of peripheral subunits with the  membrane domain of Escherichia coli NDH-1.","type":"article-journal","volume":"284"},"uris":["http://www.mendeley.com/documents/?uuid=94e6ea23-ba78-42b7-8564-979f1e931026"]}],"mendeley":{"formattedCitation":"(Sinha &lt;i&gt;et al&lt;/i&gt;, 2009)","plainTextFormattedCitation":"(Sinha et al, 2009)","previouslyFormattedCitation":"(Sinha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0A3F3D78" w14:textId="77777777" w:rsidTr="002471A8">
        <w:trPr>
          <w:trHeight w:val="65"/>
        </w:trPr>
        <w:tc>
          <w:tcPr>
            <w:tcW w:w="1975" w:type="dxa"/>
          </w:tcPr>
          <w:p w14:paraId="65237FB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E228Q</w:t>
            </w:r>
          </w:p>
        </w:tc>
        <w:tc>
          <w:tcPr>
            <w:tcW w:w="1800" w:type="dxa"/>
            <w:vMerge/>
          </w:tcPr>
          <w:p w14:paraId="1DE7121B" w14:textId="77777777" w:rsidR="002471A8" w:rsidRPr="00E97FC1" w:rsidRDefault="002471A8" w:rsidP="002471A8">
            <w:pPr>
              <w:rPr>
                <w:rFonts w:ascii="Helvetica" w:hAnsi="Helvetica" w:cs="Helvetica"/>
                <w:sz w:val="20"/>
                <w:szCs w:val="20"/>
                <w:lang w:val="en-GB"/>
              </w:rPr>
            </w:pPr>
          </w:p>
        </w:tc>
        <w:tc>
          <w:tcPr>
            <w:tcW w:w="1440" w:type="dxa"/>
          </w:tcPr>
          <w:p w14:paraId="44AE56F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 assembly</w:t>
            </w:r>
          </w:p>
        </w:tc>
        <w:tc>
          <w:tcPr>
            <w:tcW w:w="1170" w:type="dxa"/>
          </w:tcPr>
          <w:p w14:paraId="6F4C4F86"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32%</w:t>
            </w:r>
          </w:p>
        </w:tc>
        <w:tc>
          <w:tcPr>
            <w:tcW w:w="1260" w:type="dxa"/>
          </w:tcPr>
          <w:p w14:paraId="5D93AE2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w:t>
            </w:r>
          </w:p>
        </w:tc>
        <w:tc>
          <w:tcPr>
            <w:tcW w:w="1080" w:type="dxa"/>
          </w:tcPr>
          <w:p w14:paraId="058E072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0%</w:t>
            </w:r>
          </w:p>
        </w:tc>
        <w:tc>
          <w:tcPr>
            <w:tcW w:w="1260" w:type="dxa"/>
          </w:tcPr>
          <w:p w14:paraId="34B476D3" w14:textId="42BC83D0"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{"citationItems":[{"id":"ITEM-1","itemData":{"DOI":"10.1074/jbc.M809468200","ISSN":"0021-9258 (Print)","PMID":"19189973","abstract":"The bacterial proton-translocating NADH:quinone oxidoreductase (NDH-1) consists of  two domains, a peripheral arm and a membrane arm. NuoH is a counterpart of ND1, which is one of seven mitochondrially encoded hydrophobic subunits, and is considered to be involved in quinone/inhibitor binding. Sequence comparison in a wide range of species showed that NuoH is comprehensively conserved, particularly with charged residues in the cytoplasmic side loops. We have constructed 40 mutants of 27 conserved residues predicted to be in the cytoplasmic side loops of Escherichia coli NuoH by utilizing the chromosomal DNA manipulation technique and investigated roles of these residues. Mutants of Arg(37), Arg(46), Asp(63), Gly(134), Gly(145), Arg(148), Glu(220), and Glu(228) showed low deamino-NADH-K(3)Fe(CN)(6) reductase activity, undetectable NDH-1 in Blue Native gels, low contents of peripheral subunits (especially NuoB and NuoCD) bound to the membranes, and a significant loss of the membrane potential and proton-pumping function coupled to deamino-NADH oxidation. The results indicated that these conserved residues located in the cytoplasmic side loops are essential for the assembly of the peripheral subunits with the membrane arm. Implications for the involvement of NuoH (ND1) in maintaining the structure and function of NDH-1 are discussed.","author":[{"dropping-particle":"","family":"Sinha","given":"Prem Kumar","non-dropping-particle":"","parse-names":false,"suffix":""},{"dropping-particle":"","family":"Torres-Bacete","given":"Jesus","non-dropping-particle":"","parse-names":false,"suffix":""},{"dropping-particle":"","family":"Nakamaru-Ogiso","given":"Eiko","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chemistry","id":"ITEM-1","issue":"15","issued":{"date-parts":[["2009","4"]]},"language":"eng","page":"9814-9823","title":"Critical roles of subunit NuoH (ND1) in the assembly of peripheral subunits with the  membrane domain of Escherichia coli NDH-1.","type":"article-journal","volume":"284"},"uris":["http://www.mendeley.com/documents/?uuid=94e6ea23-ba78-42b7-8564-979f1e931026"]}],"mendeley":{"formattedCitation":"(Sinha &lt;i&gt;et al&lt;/i&gt;, 2009)","plainTextFormattedCitation":"(Sinha et al, 2009)","previouslyFormattedCitation":"(Sinha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5B74A931" w14:textId="77777777" w:rsidTr="002471A8">
        <w:trPr>
          <w:trHeight w:val="65"/>
        </w:trPr>
        <w:tc>
          <w:tcPr>
            <w:tcW w:w="1975" w:type="dxa"/>
          </w:tcPr>
          <w:p w14:paraId="3725DCA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E228D</w:t>
            </w:r>
          </w:p>
        </w:tc>
        <w:tc>
          <w:tcPr>
            <w:tcW w:w="1800" w:type="dxa"/>
            <w:vMerge/>
          </w:tcPr>
          <w:p w14:paraId="428E5452" w14:textId="77777777" w:rsidR="002471A8" w:rsidRPr="00E97FC1" w:rsidRDefault="002471A8" w:rsidP="002471A8">
            <w:pPr>
              <w:rPr>
                <w:rFonts w:ascii="Helvetica" w:hAnsi="Helvetica" w:cs="Helvetica"/>
                <w:sz w:val="20"/>
                <w:szCs w:val="20"/>
                <w:lang w:val="en-GB"/>
              </w:rPr>
            </w:pPr>
          </w:p>
        </w:tc>
        <w:tc>
          <w:tcPr>
            <w:tcW w:w="1440" w:type="dxa"/>
          </w:tcPr>
          <w:p w14:paraId="6945B85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170" w:type="dxa"/>
          </w:tcPr>
          <w:p w14:paraId="32BDA05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79%</w:t>
            </w:r>
          </w:p>
        </w:tc>
        <w:tc>
          <w:tcPr>
            <w:tcW w:w="1260" w:type="dxa"/>
          </w:tcPr>
          <w:p w14:paraId="2FBC44E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43%</w:t>
            </w:r>
          </w:p>
        </w:tc>
        <w:tc>
          <w:tcPr>
            <w:tcW w:w="1080" w:type="dxa"/>
          </w:tcPr>
          <w:p w14:paraId="64AC26F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3B5F8B6D" w14:textId="15B4DE8C"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{"citationItems":[{"id":"ITEM-1","itemData":{"DOI":"10.1093/hmg/ddl176","ISSN":"0964-6906 (Print)","PMID":"16849371","abstract":"The ND1 subunit gene of the mitochondrial NADH-ubiquinone oxidoreductase (complex I)  is a hot spot for mutations causing Leber hereditary optic neuropathy and several mutations causing the mitochondrial encephalopathy, lactic acidosis and stroke-like episodes syndrome (MELAS). We have used Escherichia coli and Paracoccus denitrificans as model systems to study the effect of mutations 3946 and 3949, which change conserved residues in ND1 and cause MELAS. The vicinity of these mutations was also explored with a series of mutations in charged residues. The 3946 mutation results in E214K substitution in human ND1. Replacement of the equivalent residue in E. coli with lysine or glutamine detracted from enzyme assembly and the assembled enzyme was inactive. However, the equivalent E234Q mutant enzyme in P. denitrificans failed to assemble completely (or was rapidly degraded). Also the corresponding substitution with aspartate decreased the enzyme activity in P. denitrificans and E. coli. The 3949-equivalent substitution, Y229H in E. coli, lowered the catalytic activity by 30%. In addition, an activation of the enzyme during catalytic turnover was seen in this bacterial NDH-1, something that was even more pronounced in another mutant in the same loop, D213E. Several other mutations in this region decreased the enzyme activity. The studied MELAS mutations are situated in a matrix-side loop, which appears to be highly sensitive to structural perturbations. The results provide new information on the function of the region affected by the MELAS mutations 3946 and 3949 that is not obtainable from patient samples or current eukaryote models.","author":[{"dropping-particle":"","family":"Kervinen","given":"Marko","non-dropping-particle":"","parse-names":false,"suffix":""},{"dropping-particle":"","family":"Hinttala","given":"Reetta","non-dropping-particle":"","parse-names":false,"suffix":""},{"dropping-particle":"","family":"Helander","given":"Heli M","non-dropping-particle":"","parse-names":false,"suffix":""},{"dropping-particle":"","family":"Kurki","given":"Sari","non-dropping-particle":"","parse-names":false,"suffix":""},{"dropping-particle":"","family":"Uusimaa","given":"Johanna","non-dropping-particle":"","parse-names":false,"suffix":""},{"dropping-particle":"","family":"Finel","given":"Moshe","non-dropping-particle":"","parse-names":false,"suffix":""},{"dropping-particle":"","family":"Majamaa","given":"Kari","non-dropping-particle":"","parse-names":false,"suffix":""},{"dropping-particle":"","family":"Hassinen","given":"Ilmo E","non-dropping-particle":"","parse-names":false,"suffix":""}],"container-title":"Human molecular genetics","id":"ITEM-1","issue":"17","issued":{"date-parts":[["2006","9"]]},"language":"eng","page":"2543-2552","publisher-place":"England","title":"The MELAS mutations 3946 and 3949 perturb the critical structure in a conserved loop  of the ND1 subunit of mitochondrial complex I.","type":"article-journal","volume":"15"},"uris":["http://www.mendeley.com/documents/?uuid=cce4cbf5-7370-4ed6-a9dc-cea7d144968f"]}],"mendeley":{"formattedCitation":"(Kervinen &lt;i&gt;et al&lt;/i&gt;, 2006)","plainTextFormattedCitation":"(Kervinen et al, 2006)","previouslyFormattedCitation":"(Kervinen &lt;i&gt;et al&lt;/i&gt;, 2006)"},"properties":{"noteIndex":0},"schema":"https://github.com/citation-style-language/schema/raw/master/csl-citation.json"}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(Kervinen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2006)</w:t>
            </w:r>
            <w:r w:rsidRPr="00E97FC1">
              <w:rPr>
                <w:rFonts w:ascii="Helvetica" w:hAnsi="Helvetica" w:cs="Helvetica"/>
                <w:b/>
                <w:bCs/>
                <w:sz w:val="16"/>
                <w:szCs w:val="20"/>
                <w:lang w:val="en-GB"/>
              </w:rPr>
              <w:fldChar w:fldCharType="end"/>
            </w:r>
          </w:p>
        </w:tc>
      </w:tr>
      <w:tr w:rsidR="002471A8" w:rsidRPr="00E97FC1" w14:paraId="5AF5857A" w14:textId="77777777" w:rsidTr="002471A8">
        <w:trPr>
          <w:trHeight w:val="65"/>
        </w:trPr>
        <w:tc>
          <w:tcPr>
            <w:tcW w:w="1975" w:type="dxa"/>
          </w:tcPr>
          <w:p w14:paraId="258B996A"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Y229H</w:t>
            </w:r>
          </w:p>
        </w:tc>
        <w:tc>
          <w:tcPr>
            <w:tcW w:w="1800" w:type="dxa"/>
            <w:vMerge/>
          </w:tcPr>
          <w:p w14:paraId="77893E76" w14:textId="77777777" w:rsidR="002471A8" w:rsidRPr="00E97FC1" w:rsidRDefault="002471A8" w:rsidP="002471A8">
            <w:pPr>
              <w:rPr>
                <w:rFonts w:ascii="Helvetica" w:hAnsi="Helvetica" w:cs="Helvetica"/>
                <w:sz w:val="20"/>
                <w:szCs w:val="20"/>
                <w:lang w:val="en-GB"/>
              </w:rPr>
            </w:pPr>
          </w:p>
        </w:tc>
        <w:tc>
          <w:tcPr>
            <w:tcW w:w="1440" w:type="dxa"/>
          </w:tcPr>
          <w:p w14:paraId="672E359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170" w:type="dxa"/>
          </w:tcPr>
          <w:p w14:paraId="72CAE474"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71%</w:t>
            </w:r>
          </w:p>
        </w:tc>
        <w:tc>
          <w:tcPr>
            <w:tcW w:w="1260" w:type="dxa"/>
          </w:tcPr>
          <w:p w14:paraId="6CAB26F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39%</w:t>
            </w:r>
          </w:p>
        </w:tc>
        <w:tc>
          <w:tcPr>
            <w:tcW w:w="1080" w:type="dxa"/>
          </w:tcPr>
          <w:p w14:paraId="7D035A4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04AC2434" w14:textId="11F05797"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{"citationItems":[{"id":"ITEM-1","itemData":{"DOI":"10.1093/hmg/ddl176","ISSN":"0964-6906 (Print)","PMID":"16849371","abstract":"The ND1 subunit gene of the mitochondrial NADH-ubiquinone oxidoreductase (complex I)  is a hot spot for mutations causing Leber hereditary optic neuropathy and several mutations causing the mitochondrial encephalopathy, lactic acidosis and stroke-like episodes syndrome (MELAS). We have used Escherichia coli and Paracoccus denitrificans as model systems to study the effect of mutations 3946 and 3949, which change conserved residues in ND1 and cause MELAS. The vicinity of these mutations was also explored with a series of mutations in charged residues. The 3946 mutation results in E214K substitution in human ND1. Replacement of the equivalent residue in E. coli with lysine or glutamine detracted from enzyme assembly and the assembled enzyme was inactive. However, the equivalent E234Q mutant enzyme in P. denitrificans failed to assemble completely (or was rapidly degraded). Also the corresponding substitution with aspartate decreased the enzyme activity in P. denitrificans and E. coli. The 3949-equivalent substitution, Y229H in E. coli, lowered the catalytic activity by 30%. In addition, an activation of the enzyme during catalytic turnover was seen in this bacterial NDH-1, something that was even more pronounced in another mutant in the same loop, D213E. Several other mutations in this region decreased the enzyme activity. The studied MELAS mutations are situated in a matrix-side loop, which appears to be highly sensitive to structural perturbations. The results provide new information on the function of the region affected by the MELAS mutations 3946 and 3949 that is not obtainable from patient samples or current eukaryote models.","author":[{"dropping-particle":"","family":"Kervinen","given":"Marko","non-dropping-particle":"","parse-names":false,"suffix":""},{"dropping-particle":"","family":"Hinttala","given":"Reetta","non-dropping-particle":"","parse-names":false,"suffix":""},{"dropping-particle":"","family":"Helander","given":"Heli M","non-dropping-particle":"","parse-names":false,"suffix":""},{"dropping-particle":"","family":"Kurki","given":"Sari","non-dropping-particle":"","parse-names":false,"suffix":""},{"dropping-particle":"","family":"Uusimaa","given":"Johanna","non-dropping-particle":"","parse-names":false,"suffix":""},{"dropping-particle":"","family":"Finel","given":"Moshe","non-dropping-particle":"","parse-names":false,"suffix":""},{"dropping-particle":"","family":"Majamaa","given":"Kari","non-dropping-particle":"","parse-names":false,"suffix":""},{"dropping-particle":"","family":"Hassinen","given":"Ilmo E","non-dropping-particle":"","parse-names":false,"suffix":""}],"container-title":"Human molecular genetics","id":"ITEM-1","issue":"17","issued":{"date-parts":[["2006","9"]]},"language":"eng","page":"2543-2552","publisher-place":"England","title":"The MELAS mutations 3946 and 3949 perturb the critical structure in a conserved loop  of the ND1 subunit of mitochondrial complex I.","type":"article-journal","volume":"15"},"uris":["http://www.mendeley.com/documents/?uuid=cce4cbf5-7370-4ed6-a9dc-cea7d144968f"]}],"mendeley":{"formattedCitation":"(Kervinen &lt;i&gt;et al&lt;/i&gt;, 2006)","plainTextFormattedCitation":"(Kervinen et al, 2006)","previouslyFormattedCitation":"(Kervinen &lt;i&gt;et al&lt;/i&gt;, 2006)"},"properties":{"noteIndex":0},"schema":"https://github.com/citation-style-language/schema/raw/master/csl-citation.json"}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(Kervinen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2006)</w:t>
            </w:r>
            <w:r w:rsidRPr="00E97FC1">
              <w:rPr>
                <w:rFonts w:ascii="Helvetica" w:hAnsi="Helvetica" w:cs="Helvetica"/>
                <w:b/>
                <w:bCs/>
                <w:sz w:val="16"/>
                <w:szCs w:val="20"/>
                <w:lang w:val="en-GB"/>
              </w:rPr>
              <w:fldChar w:fldCharType="end"/>
            </w:r>
          </w:p>
        </w:tc>
      </w:tr>
      <w:tr w:rsidR="002471A8" w:rsidRPr="00E97FC1" w14:paraId="34DAAB57" w14:textId="77777777" w:rsidTr="002471A8">
        <w:trPr>
          <w:trHeight w:val="65"/>
        </w:trPr>
        <w:tc>
          <w:tcPr>
            <w:tcW w:w="1975" w:type="dxa"/>
          </w:tcPr>
          <w:p w14:paraId="180E881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lastRenderedPageBreak/>
              <w:t>E241A</w:t>
            </w:r>
          </w:p>
        </w:tc>
        <w:tc>
          <w:tcPr>
            <w:tcW w:w="1800" w:type="dxa"/>
            <w:vMerge w:val="restart"/>
          </w:tcPr>
          <w:p w14:paraId="0086B97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E-channel, Q-site, Central axe</w:t>
            </w:r>
          </w:p>
        </w:tc>
        <w:tc>
          <w:tcPr>
            <w:tcW w:w="1440" w:type="dxa"/>
          </w:tcPr>
          <w:p w14:paraId="4B86A48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0763EBF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94%</w:t>
            </w:r>
          </w:p>
        </w:tc>
        <w:tc>
          <w:tcPr>
            <w:tcW w:w="1260" w:type="dxa"/>
          </w:tcPr>
          <w:p w14:paraId="1F60959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59-64%</w:t>
            </w:r>
          </w:p>
        </w:tc>
        <w:tc>
          <w:tcPr>
            <w:tcW w:w="1080" w:type="dxa"/>
          </w:tcPr>
          <w:p w14:paraId="5757651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4ECD4B9D" w14:textId="4641D291"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{"citationItems":[{"id":"ITEM-1","itemData":{"DOI":"10.1074/jbc.M809468200","ISSN":"0021-9258 (Print)","PMID":"19189973","abstract":"The bacterial proton-translocating NADH:quinone oxidoreductase (NDH-1) consists of  two domains, a peripheral arm and a membrane arm. NuoH is a counterpart of ND1, which is one of seven mitochondrially encoded hydrophobic subunits, and is considered to be involved in quinone/inhibitor binding. Sequence comparison in a wide range of species showed that NuoH is comprehensively conserved, particularly with charged residues in the cytoplasmic side loops. We have constructed 40 mutants of 27 conserved residues predicted to be in the cytoplasmic side loops of Escherichia coli NuoH by utilizing the chromosomal DNA manipulation technique and investigated roles of these residues. Mutants of Arg(37), Arg(46), Asp(63), Gly(134), Gly(145), Arg(148), Glu(220), and Glu(228) showed low deamino-NADH-K(3)Fe(CN)(6) reductase activity, undetectable NDH-1 in Blue Native gels, low contents of peripheral subunits (especially NuoB and NuoCD) bound to the membranes, and a significant loss of the membrane potential and proton-pumping function coupled to deamino-NADH oxidation. The results indicated that these conserved residues located in the cytoplasmic side loops are essential for the assembly of the peripheral subunits with the membrane arm. Implications for the involvement of NuoH (ND1) in maintaining the structure and function of NDH-1 are discussed.","author":[{"dropping-particle":"","family":"Sinha","given":"Prem Kumar","non-dropping-particle":"","parse-names":false,"suffix":""},{"dropping-particle":"","family":"Torres-Bacete","given":"Jesus","non-dropping-particle":"","parse-names":false,"suffix":""},{"dropping-particle":"","family":"Nakamaru-Ogiso","given":"Eiko","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chemistry","id":"ITEM-1","issue":"15","issued":{"date-parts":[["2009","4"]]},"language":"eng","page":"9814-9823","title":"Critical roles of subunit NuoH (ND1) in the assembly of peripheral subunits with the  membrane domain of Escherichia coli NDH-1.","type":"article-journal","volume":"284"},"uris":["http://www.mendeley.com/documents/?uuid=94e6ea23-ba78-42b7-8564-979f1e931026"]}],"mendeley":{"formattedCitation":"(Sinha &lt;i&gt;et al&lt;/i&gt;, 2009)","plainTextFormattedCitation":"(Sinha et al, 2009)","previouslyFormattedCitation":"(Sinha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66D3A75D" w14:textId="77777777" w:rsidTr="002471A8">
        <w:trPr>
          <w:trHeight w:val="65"/>
        </w:trPr>
        <w:tc>
          <w:tcPr>
            <w:tcW w:w="1975" w:type="dxa"/>
          </w:tcPr>
          <w:p w14:paraId="43EBF24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E241Q</w:t>
            </w:r>
          </w:p>
        </w:tc>
        <w:tc>
          <w:tcPr>
            <w:tcW w:w="1800" w:type="dxa"/>
            <w:vMerge/>
          </w:tcPr>
          <w:p w14:paraId="4DB9BD05" w14:textId="77777777" w:rsidR="002471A8" w:rsidRPr="00E97FC1" w:rsidRDefault="002471A8" w:rsidP="002471A8">
            <w:pPr>
              <w:rPr>
                <w:rFonts w:ascii="Helvetica" w:hAnsi="Helvetica" w:cs="Helvetica"/>
                <w:sz w:val="20"/>
                <w:szCs w:val="20"/>
                <w:lang w:val="en-GB"/>
              </w:rPr>
            </w:pPr>
          </w:p>
        </w:tc>
        <w:tc>
          <w:tcPr>
            <w:tcW w:w="1440" w:type="dxa"/>
          </w:tcPr>
          <w:p w14:paraId="699549F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1F44AC0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95%</w:t>
            </w:r>
          </w:p>
        </w:tc>
        <w:tc>
          <w:tcPr>
            <w:tcW w:w="1260" w:type="dxa"/>
          </w:tcPr>
          <w:p w14:paraId="2888741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58-60%</w:t>
            </w:r>
          </w:p>
        </w:tc>
        <w:tc>
          <w:tcPr>
            <w:tcW w:w="1080" w:type="dxa"/>
          </w:tcPr>
          <w:p w14:paraId="15D97CC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5393C404" w14:textId="069A409C"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{"citationItems":[{"id":"ITEM-1","itemData":{"DOI":"10.1074/jbc.M809468200","ISSN":"0021-9258 (Print)","PMID":"19189973","abstract":"The bacterial proton-translocating NADH:quinone oxidoreductase (NDH-1) consists of  two domains, a peripheral arm and a membrane arm. NuoH is a counterpart of ND1, which is one of seven mitochondrially encoded hydrophobic subunits, and is considered to be involved in quinone/inhibitor binding. Sequence comparison in a wide range of species showed that NuoH is comprehensively conserved, particularly with charged residues in the cytoplasmic side loops. We have constructed 40 mutants of 27 conserved residues predicted to be in the cytoplasmic side loops of Escherichia coli NuoH by utilizing the chromosomal DNA manipulation technique and investigated roles of these residues. Mutants of Arg(37), Arg(46), Asp(63), Gly(134), Gly(145), Arg(148), Glu(220), and Glu(228) showed low deamino-NADH-K(3)Fe(CN)(6) reductase activity, undetectable NDH-1 in Blue Native gels, low contents of peripheral subunits (especially NuoB and NuoCD) bound to the membranes, and a significant loss of the membrane potential and proton-pumping function coupled to deamino-NADH oxidation. The results indicated that these conserved residues located in the cytoplasmic side loops are essential for the assembly of the peripheral subunits with the membrane arm. Implications for the involvement of NuoH (ND1) in maintaining the structure and function of NDH-1 are discussed.","author":[{"dropping-particle":"","family":"Sinha","given":"Prem Kumar","non-dropping-particle":"","parse-names":false,"suffix":""},{"dropping-particle":"","family":"Torres-Bacete","given":"Jesus","non-dropping-particle":"","parse-names":false,"suffix":""},{"dropping-particle":"","family":"Nakamaru-Ogiso","given":"Eiko","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chemistry","id":"ITEM-1","issue":"15","issued":{"date-parts":[["2009","4"]]},"language":"eng","page":"9814-9823","title":"Critical roles of subunit NuoH (ND1) in the assembly of peripheral subunits with the  membrane domain of Escherichia coli NDH-1.","type":"article-journal","volume":"284"},"uris":["http://www.mendeley.com/documents/?uuid=94e6ea23-ba78-42b7-8564-979f1e931026"]}],"mendeley":{"formattedCitation":"(Sinha &lt;i&gt;et al&lt;/i&gt;, 2009)","plainTextFormattedCitation":"(Sinha et al, 2009)","previouslyFormattedCitation":"(Sinha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04BE2865" w14:textId="77777777" w:rsidTr="002471A8">
        <w:trPr>
          <w:trHeight w:val="65"/>
        </w:trPr>
        <w:tc>
          <w:tcPr>
            <w:tcW w:w="1975" w:type="dxa"/>
          </w:tcPr>
          <w:p w14:paraId="60C899C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R286A</w:t>
            </w:r>
          </w:p>
        </w:tc>
        <w:tc>
          <w:tcPr>
            <w:tcW w:w="1800" w:type="dxa"/>
          </w:tcPr>
          <w:p w14:paraId="0AC0AFA8"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Q site</w:t>
            </w:r>
          </w:p>
        </w:tc>
        <w:tc>
          <w:tcPr>
            <w:tcW w:w="1440" w:type="dxa"/>
          </w:tcPr>
          <w:p w14:paraId="1D1F684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58EFE74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79%</w:t>
            </w:r>
          </w:p>
        </w:tc>
        <w:tc>
          <w:tcPr>
            <w:tcW w:w="1260" w:type="dxa"/>
          </w:tcPr>
          <w:p w14:paraId="06892C5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67-63%</w:t>
            </w:r>
          </w:p>
        </w:tc>
        <w:tc>
          <w:tcPr>
            <w:tcW w:w="1080" w:type="dxa"/>
          </w:tcPr>
          <w:p w14:paraId="57770EB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reduced</w:t>
            </w:r>
          </w:p>
        </w:tc>
        <w:tc>
          <w:tcPr>
            <w:tcW w:w="1260" w:type="dxa"/>
          </w:tcPr>
          <w:p w14:paraId="0D7CB87C" w14:textId="21789CFF"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{"citationItems":[{"id":"ITEM-1","itemData":{"DOI":"10.1074/jbc.M809468200","ISSN":"0021-9258 (Print)","PMID":"19189973","abstract":"The bacterial proton-translocating NADH:quinone oxidoreductase (NDH-1) consists of  two domains, a peripheral arm and a membrane arm. NuoH is a counterpart of ND1, which is one of seven mitochondrially encoded hydrophobic subunits, and is considered to be involved in quinone/inhibitor binding. Sequence comparison in a wide range of species showed that NuoH is comprehensively conserved, particularly with charged residues in the cytoplasmic side loops. We have constructed 40 mutants of 27 conserved residues predicted to be in the cytoplasmic side loops of Escherichia coli NuoH by utilizing the chromosomal DNA manipulation technique and investigated roles of these residues. Mutants of Arg(37), Arg(46), Asp(63), Gly(134), Gly(145), Arg(148), Glu(220), and Glu(228) showed low deamino-NADH-K(3)Fe(CN)(6) reductase activity, undetectable NDH-1 in Blue Native gels, low contents of peripheral subunits (especially NuoB and NuoCD) bound to the membranes, and a significant loss of the membrane potential and proton-pumping function coupled to deamino-NADH oxidation. The results indicated that these conserved residues located in the cytoplasmic side loops are essential for the assembly of the peripheral subunits with the membrane arm. Implications for the involvement of NuoH (ND1) in maintaining the structure and function of NDH-1 are discussed.","author":[{"dropping-particle":"","family":"Sinha","given":"Prem Kumar","non-dropping-particle":"","parse-names":false,"suffix":""},{"dropping-particle":"","family":"Torres-Bacete","given":"Jesus","non-dropping-particle":"","parse-names":false,"suffix":""},{"dropping-particle":"","family":"Nakamaru-Ogiso","given":"Eiko","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chemistry","id":"ITEM-1","issue":"15","issued":{"date-parts":[["2009","4"]]},"language":"eng","page":"9814-9823","title":"Critical roles of subunit NuoH (ND1) in the assembly of peripheral subunits with the  membrane domain of Escherichia coli NDH-1.","type":"article-journal","volume":"284"},"uris":["http://www.mendeley.com/documents/?uuid=94e6ea23-ba78-42b7-8564-979f1e931026"]}],"mendeley":{"formattedCitation":"(Sinha &lt;i&gt;et al&lt;/i&gt;, 2009)","plainTextFormattedCitation":"(Sinha et al, 2009)","previouslyFormattedCitation":"(Sinha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5BBE8978" w14:textId="77777777" w:rsidTr="002471A8">
        <w:trPr>
          <w:trHeight w:val="65"/>
        </w:trPr>
        <w:tc>
          <w:tcPr>
            <w:tcW w:w="1975" w:type="dxa"/>
          </w:tcPr>
          <w:p w14:paraId="0E2058C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R291A</w:t>
            </w:r>
          </w:p>
        </w:tc>
        <w:tc>
          <w:tcPr>
            <w:tcW w:w="1800" w:type="dxa"/>
          </w:tcPr>
          <w:p w14:paraId="09FA729C"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Q-site</w:t>
            </w:r>
          </w:p>
        </w:tc>
        <w:tc>
          <w:tcPr>
            <w:tcW w:w="1440" w:type="dxa"/>
          </w:tcPr>
          <w:p w14:paraId="680B7381"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1A5B1BD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126%</w:t>
            </w:r>
          </w:p>
        </w:tc>
        <w:tc>
          <w:tcPr>
            <w:tcW w:w="1260" w:type="dxa"/>
          </w:tcPr>
          <w:p w14:paraId="3447EA3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85-90%</w:t>
            </w:r>
          </w:p>
        </w:tc>
        <w:tc>
          <w:tcPr>
            <w:tcW w:w="1080" w:type="dxa"/>
          </w:tcPr>
          <w:p w14:paraId="45F1E58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6C001F52" w14:textId="42FDE2A5"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{"citationItems":[{"id":"ITEM-1","itemData":{"DOI":"10.1074/jbc.M809468200","ISSN":"0021-9258 (Print)","PMID":"19189973","abstract":"The bacterial proton-translocating NADH:quinone oxidoreductase (NDH-1) consists of  two domains, a peripheral arm and a membrane arm. NuoH is a counterpart of ND1, which is one of seven mitochondrially encoded hydrophobic subunits, and is considered to be involved in quinone/inhibitor binding. Sequence comparison in a wide range of species showed that NuoH is comprehensively conserved, particularly with charged residues in the cytoplasmic side loops. We have constructed 40 mutants of 27 conserved residues predicted to be in the cytoplasmic side loops of Escherichia coli NuoH by utilizing the chromosomal DNA manipulation technique and investigated roles of these residues. Mutants of Arg(37), Arg(46), Asp(63), Gly(134), Gly(145), Arg(148), Glu(220), and Glu(228) showed low deamino-NADH-K(3)Fe(CN)(6) reductase activity, undetectable NDH-1 in Blue Native gels, low contents of peripheral subunits (especially NuoB and NuoCD) bound to the membranes, and a significant loss of the membrane potential and proton-pumping function coupled to deamino-NADH oxidation. The results indicated that these conserved residues located in the cytoplasmic side loops are essential for the assembly of the peripheral subunits with the membrane arm. Implications for the involvement of NuoH (ND1) in maintaining the structure and function of NDH-1 are discussed.","author":[{"dropping-particle":"","family":"Sinha","given":"Prem Kumar","non-dropping-particle":"","parse-names":false,"suffix":""},{"dropping-particle":"","family":"Torres-Bacete","given":"Jesus","non-dropping-particle":"","parse-names":false,"suffix":""},{"dropping-particle":"","family":"Nakamaru-Ogiso","given":"Eiko","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chemistry","id":"ITEM-1","issue":"15","issued":{"date-parts":[["2009","4"]]},"language":"eng","page":"9814-9823","title":"Critical roles of subunit NuoH (ND1) in the assembly of peripheral subunits with the  membrane domain of Escherichia coli NDH-1.","type":"article-journal","volume":"284"},"uris":["http://www.mendeley.com/documents/?uuid=94e6ea23-ba78-42b7-8564-979f1e931026"]}],"mendeley":{"formattedCitation":"(Sinha &lt;i&gt;et al&lt;/i&gt;, 2009)","plainTextFormattedCitation":"(Sinha et al, 2009)","previouslyFormattedCitation":"(Sinha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23CDB063" w14:textId="77777777" w:rsidTr="002471A8">
        <w:trPr>
          <w:trHeight w:val="65"/>
        </w:trPr>
        <w:tc>
          <w:tcPr>
            <w:tcW w:w="1975" w:type="dxa"/>
          </w:tcPr>
          <w:p w14:paraId="37ACA40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L289C</w:t>
            </w:r>
          </w:p>
        </w:tc>
        <w:tc>
          <w:tcPr>
            <w:tcW w:w="1800" w:type="dxa"/>
          </w:tcPr>
          <w:p w14:paraId="751D5570"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NuoI_H1 interface</w:t>
            </w:r>
          </w:p>
        </w:tc>
        <w:tc>
          <w:tcPr>
            <w:tcW w:w="1440" w:type="dxa"/>
          </w:tcPr>
          <w:p w14:paraId="0163B30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170" w:type="dxa"/>
          </w:tcPr>
          <w:p w14:paraId="68D811C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74%</w:t>
            </w:r>
          </w:p>
        </w:tc>
        <w:tc>
          <w:tcPr>
            <w:tcW w:w="1260" w:type="dxa"/>
          </w:tcPr>
          <w:p w14:paraId="442F9B6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74-81%</w:t>
            </w:r>
          </w:p>
        </w:tc>
        <w:tc>
          <w:tcPr>
            <w:tcW w:w="1080" w:type="dxa"/>
          </w:tcPr>
          <w:p w14:paraId="716A5B2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18377D46" w14:textId="72E42E2F"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{"citationItems":[{"id":"ITEM-1","itemData":{"DOI":"10.1016/j.mito.2009.07.001","ISSN":"1872-8278 (Electronic)","PMID":"19616643","abstract":"Seven of the 45 subunits of mitochondrial NADH:ubiquinone oxidoreductase (complex I)  are mitochondrially encoded and have been shown to harbor pathogenic mutations. We modeled the human disease-associated mutations A4136G/ND1-Y277C, T4160C/ND1-L285P and C4171A/ND1-L289M in a highly conserved region of the fourth matrix-side loop of the ND1 subunit by mutating homologous amino acids and surrounding conserved residues of the NuoH subunit of Escherichia coli NDH-1. Deamino-NADH dehydrogenase activity, decylubiquinone reduction kinetics, hexammineruthenium (HAR) reductase activity, and the proton pumping efficiency of the enzyme were assayed in cytoplasmic membrane preparations. Among the human disease-associated mutations, a statistically significant 22% decrease in enzyme activity was observed in the NuoH-L289C mutant and a 29% decrease in the double mutant NuoH-L289C/V297P compared with controls. The adjacent mutations NuoH-D295A and NuoH-R293M caused 49% and 39% decreases in enzyme activity, respectively. None of the mutations studied significantly affected the K(m) value of the enzyme for decylubiquinone or the amount of membrane-associated NDH-1 as estimated from the HAR reductase activity. In spite of the decrease in enzyme activity, all the mutant strains were able to grow on malate, which necessitates sufficient NDH-1 activity. The results show that in ND1/NuoH its fourth matrix-side loop is probably not directly involved in ubiquinone binding or proton pumping but has a role in modifying enzyme activity.","author":[{"dropping-particle":"","family":"Maliniemi","given":"Pilvi","non-dropping-particle":"","parse-names":false,"suffix":""},{"dropping-particle":"","family":"Kervinen","given":"Marko","non-dropping-particle":"","parse-names":false,"suffix":""},{"dropping-particle":"","family":"Hassinen","given":"Ilmo E","non-dropping-particle":"","parse-names":false,"suffix":""}],"container-title":"Mitochondrion","id":"ITEM-1","issue":"6","issued":{"date-parts":[["2009","11"]]},"language":"eng","page":"394-401","publisher-place":"Netherlands","title":"Modeling of human pathogenic mutations in Escherichia coli complex I reveals a  sensitive region in the fourth inside loop of NuoH.","type":"article-journal","volume":"9"},"uris":["http://www.mendeley.com/documents/?uuid=62772d87-2d4f-46a3-ac77-47b189af0a52"]}],"mendeley":{"formattedCitation":"(Maliniemi &lt;i&gt;et al&lt;/i&gt;, 2009)","plainTextFormattedCitation":"(Maliniemi et al, 2009)","previouslyFormattedCitation":"(Maliniemi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(Maliniemi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12B99AAF" w14:textId="77777777" w:rsidTr="002471A8">
        <w:trPr>
          <w:trHeight w:val="65"/>
        </w:trPr>
        <w:tc>
          <w:tcPr>
            <w:tcW w:w="1975" w:type="dxa"/>
          </w:tcPr>
          <w:p w14:paraId="24F4842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R291M</w:t>
            </w:r>
          </w:p>
        </w:tc>
        <w:tc>
          <w:tcPr>
            <w:tcW w:w="1800" w:type="dxa"/>
          </w:tcPr>
          <w:p w14:paraId="537EC33A"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near TM5-6 loop</w:t>
            </w:r>
          </w:p>
        </w:tc>
        <w:tc>
          <w:tcPr>
            <w:tcW w:w="1440" w:type="dxa"/>
          </w:tcPr>
          <w:p w14:paraId="411479F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170" w:type="dxa"/>
          </w:tcPr>
          <w:p w14:paraId="4997AFC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57%</w:t>
            </w:r>
          </w:p>
        </w:tc>
        <w:tc>
          <w:tcPr>
            <w:tcW w:w="1260" w:type="dxa"/>
          </w:tcPr>
          <w:p w14:paraId="5B4038B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57-107%</w:t>
            </w:r>
          </w:p>
        </w:tc>
        <w:tc>
          <w:tcPr>
            <w:tcW w:w="1080" w:type="dxa"/>
          </w:tcPr>
          <w:p w14:paraId="49CCBE3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105%</w:t>
            </w:r>
          </w:p>
        </w:tc>
        <w:tc>
          <w:tcPr>
            <w:tcW w:w="1260" w:type="dxa"/>
          </w:tcPr>
          <w:p w14:paraId="4EAB0A5E" w14:textId="74AFE98E"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{"citationItems":[{"id":"ITEM-1","itemData":{"DOI":"10.1016/j.mito.2009.07.001","ISSN":"1872-8278 (Electronic)","PMID":"19616643","abstract":"Seven of the 45 subunits of mitochondrial NADH:ubiquinone oxidoreductase (complex I)  are mitochondrially encoded and have been shown to harbor pathogenic mutations. We modeled the human disease-associated mutations A4136G/ND1-Y277C, T4160C/ND1-L285P and C4171A/ND1-L289M in a highly conserved region of the fourth matrix-side loop of the ND1 subunit by mutating homologous amino acids and surrounding conserved residues of the NuoH subunit of Escherichia coli NDH-1. Deamino-NADH dehydrogenase activity, decylubiquinone reduction kinetics, hexammineruthenium (HAR) reductase activity, and the proton pumping efficiency of the enzyme were assayed in cytoplasmic membrane preparations. Among the human disease-associated mutations, a statistically significant 22% decrease in enzyme activity was observed in the NuoH-L289C mutant and a 29% decrease in the double mutant NuoH-L289C/V297P compared with controls. The adjacent mutations NuoH-D295A and NuoH-R293M caused 49% and 39% decreases in enzyme activity, respectively. None of the mutations studied significantly affected the K(m) value of the enzyme for decylubiquinone or the amount of membrane-associated NDH-1 as estimated from the HAR reductase activity. In spite of the decrease in enzyme activity, all the mutant strains were able to grow on malate, which necessitates sufficient NDH-1 activity. The results show that in ND1/NuoH its fourth matrix-side loop is probably not directly involved in ubiquinone binding or proton pumping but has a role in modifying enzyme activity.","author":[{"dropping-particle":"","family":"Maliniemi","given":"Pilvi","non-dropping-particle":"","parse-names":false,"suffix":""},{"dropping-particle":"","family":"Kervinen","given":"Marko","non-dropping-particle":"","parse-names":false,"suffix":""},{"dropping-particle":"","family":"Hassinen","given":"Ilmo E","non-dropping-particle":"","parse-names":false,"suffix":""}],"container-title":"Mitochondrion","id":"ITEM-1","issue":"6","issued":{"date-parts":[["2009","11"]]},"language":"eng","page":"394-401","publisher-place":"Netherlands","title":"Modeling of human pathogenic mutations in Escherichia coli complex I reveals a  sensitive region in the fourth inside loop of NuoH.","type":"article-journal","volume":"9"},"uris":["http://www.mendeley.com/documents/?uuid=62772d87-2d4f-46a3-ac77-47b189af0a52"]}],"mendeley":{"formattedCitation":"(Maliniemi &lt;i&gt;et al&lt;/i&gt;, 2009)","plainTextFormattedCitation":"(Maliniemi et al, 2009)","previouslyFormattedCitation":"(Maliniemi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(Maliniemi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7E606FFD" w14:textId="77777777" w:rsidTr="002471A8">
        <w:trPr>
          <w:trHeight w:val="65"/>
        </w:trPr>
        <w:tc>
          <w:tcPr>
            <w:tcW w:w="1975" w:type="dxa"/>
          </w:tcPr>
          <w:p w14:paraId="756FD99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R293M</w:t>
            </w:r>
          </w:p>
        </w:tc>
        <w:tc>
          <w:tcPr>
            <w:tcW w:w="1800" w:type="dxa"/>
          </w:tcPr>
          <w:p w14:paraId="5EFAF0D5"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 xml:space="preserve">Surface </w:t>
            </w:r>
          </w:p>
        </w:tc>
        <w:tc>
          <w:tcPr>
            <w:tcW w:w="1440" w:type="dxa"/>
          </w:tcPr>
          <w:p w14:paraId="5BF6152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170" w:type="dxa"/>
          </w:tcPr>
          <w:p w14:paraId="0A95BFED"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46%</w:t>
            </w:r>
          </w:p>
        </w:tc>
        <w:tc>
          <w:tcPr>
            <w:tcW w:w="1260" w:type="dxa"/>
          </w:tcPr>
          <w:p w14:paraId="2DF0A34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46-63%</w:t>
            </w:r>
          </w:p>
        </w:tc>
        <w:tc>
          <w:tcPr>
            <w:tcW w:w="1080" w:type="dxa"/>
          </w:tcPr>
          <w:p w14:paraId="03B43C1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34716C9C" w14:textId="79577C84"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{"citationItems":[{"id":"ITEM-1","itemData":{"DOI":"10.1016/j.mito.2009.07.001","ISSN":"1872-8278 (Electronic)","PMID":"19616643","abstract":"Seven of the 45 subunits of mitochondrial NADH:ubiquinone oxidoreductase (complex I)  are mitochondrially encoded and have been shown to harbor pathogenic mutations. We modeled the human disease-associated mutations A4136G/ND1-Y277C, T4160C/ND1-L285P and C4171A/ND1-L289M in a highly conserved region of the fourth matrix-side loop of the ND1 subunit by mutating homologous amino acids and surrounding conserved residues of the NuoH subunit of Escherichia coli NDH-1. Deamino-NADH dehydrogenase activity, decylubiquinone reduction kinetics, hexammineruthenium (HAR) reductase activity, and the proton pumping efficiency of the enzyme were assayed in cytoplasmic membrane preparations. Among the human disease-associated mutations, a statistically significant 22% decrease in enzyme activity was observed in the NuoH-L289C mutant and a 29% decrease in the double mutant NuoH-L289C/V297P compared with controls. The adjacent mutations NuoH-D295A and NuoH-R293M caused 49% and 39% decreases in enzyme activity, respectively. None of the mutations studied significantly affected the K(m) value of the enzyme for decylubiquinone or the amount of membrane-associated NDH-1 as estimated from the HAR reductase activity. In spite of the decrease in enzyme activity, all the mutant strains were able to grow on malate, which necessitates sufficient NDH-1 activity. The results show that in ND1/NuoH its fourth matrix-side loop is probably not directly involved in ubiquinone binding or proton pumping but has a role in modifying enzyme activity.","author":[{"dropping-particle":"","family":"Maliniemi","given":"Pilvi","non-dropping-particle":"","parse-names":false,"suffix":""},{"dropping-particle":"","family":"Kervinen","given":"Marko","non-dropping-particle":"","parse-names":false,"suffix":""},{"dropping-particle":"","family":"Hassinen","given":"Ilmo E","non-dropping-particle":"","parse-names":false,"suffix":""}],"container-title":"Mitochondrion","id":"ITEM-1","issue":"6","issued":{"date-parts":[["2009","11"]]},"language":"eng","page":"394-401","publisher-place":"Netherlands","title":"Modeling of human pathogenic mutations in Escherichia coli complex I reveals a  sensitive region in the fourth inside loop of NuoH.","type":"article-journal","volume":"9"},"uris":["http://www.mendeley.com/documents/?uuid=62772d87-2d4f-46a3-ac77-47b189af0a52"]}],"mendeley":{"formattedCitation":"(Maliniemi &lt;i&gt;et al&lt;/i&gt;, 2009)","plainTextFormattedCitation":"(Maliniemi et al, 2009)","previouslyFormattedCitation":"(Maliniemi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(Maliniemi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10C45C6E" w14:textId="77777777" w:rsidTr="002471A8">
        <w:trPr>
          <w:trHeight w:val="65"/>
        </w:trPr>
        <w:tc>
          <w:tcPr>
            <w:tcW w:w="1975" w:type="dxa"/>
          </w:tcPr>
          <w:p w14:paraId="54B53C8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Y294L</w:t>
            </w:r>
          </w:p>
        </w:tc>
        <w:tc>
          <w:tcPr>
            <w:tcW w:w="1800" w:type="dxa"/>
          </w:tcPr>
          <w:p w14:paraId="47DF5451"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100</w:t>
            </w:r>
            <w:r w:rsidRPr="00E97FC1">
              <w:rPr>
                <w:rFonts w:ascii="Helvetica" w:hAnsi="Helvetica" w:cs="Helvetica"/>
                <w:sz w:val="20"/>
                <w:vertAlign w:val="subscript"/>
                <w:lang w:val="en-GB"/>
              </w:rPr>
              <w:t>DQ</w:t>
            </w:r>
            <w:r w:rsidRPr="00E97FC1">
              <w:rPr>
                <w:rFonts w:ascii="Helvetica" w:hAnsi="Helvetica" w:cs="Helvetica"/>
                <w:sz w:val="20"/>
                <w:lang w:val="en-GB"/>
              </w:rPr>
              <w:t>/89 NADH-O</w:t>
            </w:r>
            <w:r w:rsidRPr="00E97FC1">
              <w:rPr>
                <w:rFonts w:ascii="Helvetica" w:hAnsi="Helvetica" w:cs="Helvetica"/>
                <w:sz w:val="20"/>
                <w:vertAlign w:val="subscript"/>
                <w:lang w:val="en-GB"/>
              </w:rPr>
              <w:t>2</w:t>
            </w:r>
          </w:p>
        </w:tc>
        <w:tc>
          <w:tcPr>
            <w:tcW w:w="1440" w:type="dxa"/>
          </w:tcPr>
          <w:p w14:paraId="5DB2826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170" w:type="dxa"/>
          </w:tcPr>
          <w:p w14:paraId="2440FD70"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89%</w:t>
            </w:r>
          </w:p>
        </w:tc>
        <w:tc>
          <w:tcPr>
            <w:tcW w:w="1260" w:type="dxa"/>
          </w:tcPr>
          <w:p w14:paraId="6C47739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89-100%</w:t>
            </w:r>
          </w:p>
        </w:tc>
        <w:tc>
          <w:tcPr>
            <w:tcW w:w="1080" w:type="dxa"/>
          </w:tcPr>
          <w:p w14:paraId="0C2B94F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7EFED1D2" w14:textId="4E14FA90"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{"citationItems":[{"id":"ITEM-1","itemData":{"DOI":"10.1016/j.mito.2009.07.001","ISSN":"1872-8278 (Electronic)","PMID":"19616643","abstract":"Seven of the 45 subunits of mitochondrial NADH:ubiquinone oxidoreductase (complex I)  are mitochondrially encoded and have been shown to harbor pathogenic mutations. We modeled the human disease-associated mutations A4136G/ND1-Y277C, T4160C/ND1-L285P and C4171A/ND1-L289M in a highly conserved region of the fourth matrix-side loop of the ND1 subunit by mutating homologous amino acids and surrounding conserved residues of the NuoH subunit of Escherichia coli NDH-1. Deamino-NADH dehydrogenase activity, decylubiquinone reduction kinetics, hexammineruthenium (HAR) reductase activity, and the proton pumping efficiency of the enzyme were assayed in cytoplasmic membrane preparations. Among the human disease-associated mutations, a statistically significant 22% decrease in enzyme activity was observed in the NuoH-L289C mutant and a 29% decrease in the double mutant NuoH-L289C/V297P compared with controls. The adjacent mutations NuoH-D295A and NuoH-R293M caused 49% and 39% decreases in enzyme activity, respectively. None of the mutations studied significantly affected the K(m) value of the enzyme for decylubiquinone or the amount of membrane-associated NDH-1 as estimated from the HAR reductase activity. In spite of the decrease in enzyme activity, all the mutant strains were able to grow on malate, which necessitates sufficient NDH-1 activity. The results show that in ND1/NuoH its fourth matrix-side loop is probably not directly involved in ubiquinone binding or proton pumping but has a role in modifying enzyme activity.","author":[{"dropping-particle":"","family":"Maliniemi","given":"Pilvi","non-dropping-particle":"","parse-names":false,"suffix":""},{"dropping-particle":"","family":"Kervinen","given":"Marko","non-dropping-particle":"","parse-names":false,"suffix":""},{"dropping-particle":"","family":"Hassinen","given":"Ilmo E","non-dropping-particle":"","parse-names":false,"suffix":""}],"container-title":"Mitochondrion","id":"ITEM-1","issue":"6","issued":{"date-parts":[["2009","11"]]},"language":"eng","page":"394-401","publisher-place":"Netherlands","title":"Modeling of human pathogenic mutations in Escherichia coli complex I reveals a  sensitive region in the fourth inside loop of NuoH.","type":"article-journal","volume":"9"},"uris":["http://www.mendeley.com/documents/?uuid=62772d87-2d4f-46a3-ac77-47b189af0a52"]}],"mendeley":{"formattedCitation":"(Maliniemi &lt;i&gt;et al&lt;/i&gt;, 2009)","plainTextFormattedCitation":"(Maliniemi et al, 2009)","previouslyFormattedCitation":"(Maliniemi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(Maliniemi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3A7EEEBD" w14:textId="77777777" w:rsidTr="002471A8">
        <w:trPr>
          <w:trHeight w:val="65"/>
        </w:trPr>
        <w:tc>
          <w:tcPr>
            <w:tcW w:w="1975" w:type="dxa"/>
          </w:tcPr>
          <w:p w14:paraId="581A943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D295A</w:t>
            </w:r>
          </w:p>
        </w:tc>
        <w:tc>
          <w:tcPr>
            <w:tcW w:w="1800" w:type="dxa"/>
            <w:vMerge w:val="restart"/>
          </w:tcPr>
          <w:p w14:paraId="0EB5F5C7"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Surface, salt bridge with R291</w:t>
            </w:r>
          </w:p>
        </w:tc>
        <w:tc>
          <w:tcPr>
            <w:tcW w:w="1440" w:type="dxa"/>
          </w:tcPr>
          <w:p w14:paraId="75A2924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170" w:type="dxa"/>
          </w:tcPr>
          <w:p w14:paraId="78D3B152"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39%</w:t>
            </w:r>
          </w:p>
        </w:tc>
        <w:tc>
          <w:tcPr>
            <w:tcW w:w="1260" w:type="dxa"/>
          </w:tcPr>
          <w:p w14:paraId="6C4681B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39-52%</w:t>
            </w:r>
          </w:p>
        </w:tc>
        <w:tc>
          <w:tcPr>
            <w:tcW w:w="1080" w:type="dxa"/>
          </w:tcPr>
          <w:p w14:paraId="67EB04B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3E22074D" w14:textId="4EB51DE5"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{"citationItems":[{"id":"ITEM-1","itemData":{"DOI":"10.1016/j.mito.2009.07.001","ISSN":"1872-8278 (Electronic)","PMID":"19616643","abstract":"Seven of the 45 subunits of mitochondrial NADH:ubiquinone oxidoreductase (complex I)  are mitochondrially encoded and have been shown to harbor pathogenic mutations. We modeled the human disease-associated mutations A4136G/ND1-Y277C, T4160C/ND1-L285P and C4171A/ND1-L289M in a highly conserved region of the fourth matrix-side loop of the ND1 subunit by mutating homologous amino acids and surrounding conserved residues of the NuoH subunit of Escherichia coli NDH-1. Deamino-NADH dehydrogenase activity, decylubiquinone reduction kinetics, hexammineruthenium (HAR) reductase activity, and the proton pumping efficiency of the enzyme were assayed in cytoplasmic membrane preparations. Among the human disease-associated mutations, a statistically significant 22% decrease in enzyme activity was observed in the NuoH-L289C mutant and a 29% decrease in the double mutant NuoH-L289C/V297P compared with controls. The adjacent mutations NuoH-D295A and NuoH-R293M caused 49% and 39% decreases in enzyme activity, respectively. None of the mutations studied significantly affected the K(m) value of the enzyme for decylubiquinone or the amount of membrane-associated NDH-1 as estimated from the HAR reductase activity. In spite of the decrease in enzyme activity, all the mutant strains were able to grow on malate, which necessitates sufficient NDH-1 activity. The results show that in ND1/NuoH its fourth matrix-side loop is probably not directly involved in ubiquinone binding or proton pumping but has a role in modifying enzyme activity.","author":[{"dropping-particle":"","family":"Maliniemi","given":"Pilvi","non-dropping-particle":"","parse-names":false,"suffix":""},{"dropping-particle":"","family":"Kervinen","given":"Marko","non-dropping-particle":"","parse-names":false,"suffix":""},{"dropping-particle":"","family":"Hassinen","given":"Ilmo E","non-dropping-particle":"","parse-names":false,"suffix":""}],"container-title":"Mitochondrion","id":"ITEM-1","issue":"6","issued":{"date-parts":[["2009","11"]]},"language":"eng","page":"394-401","publisher-place":"Netherlands","title":"Modeling of human pathogenic mutations in Escherichia coli complex I reveals a  sensitive region in the fourth inside loop of NuoH.","type":"article-journal","volume":"9"},"uris":["http://www.mendeley.com/documents/?uuid=62772d87-2d4f-46a3-ac77-47b189af0a52"]}],"mendeley":{"formattedCitation":"(Maliniemi &lt;i&gt;et al&lt;/i&gt;, 2009)","plainTextFormattedCitation":"(Maliniemi et al, 2009)","previouslyFormattedCitation":"(Maliniemi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(Maliniemi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6F518F70" w14:textId="77777777" w:rsidTr="002471A8">
        <w:trPr>
          <w:trHeight w:val="65"/>
        </w:trPr>
        <w:tc>
          <w:tcPr>
            <w:tcW w:w="1975" w:type="dxa"/>
          </w:tcPr>
          <w:p w14:paraId="3299935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D295A</w:t>
            </w:r>
          </w:p>
        </w:tc>
        <w:tc>
          <w:tcPr>
            <w:tcW w:w="1800" w:type="dxa"/>
            <w:vMerge/>
          </w:tcPr>
          <w:p w14:paraId="48B7344C" w14:textId="77777777" w:rsidR="002471A8" w:rsidRPr="00E97FC1" w:rsidRDefault="002471A8" w:rsidP="002471A8">
            <w:pPr>
              <w:rPr>
                <w:rFonts w:ascii="Helvetica" w:hAnsi="Helvetica" w:cs="Helvetica"/>
                <w:sz w:val="20"/>
                <w:szCs w:val="20"/>
                <w:lang w:val="en-GB"/>
              </w:rPr>
            </w:pPr>
          </w:p>
        </w:tc>
        <w:tc>
          <w:tcPr>
            <w:tcW w:w="1440" w:type="dxa"/>
          </w:tcPr>
          <w:p w14:paraId="375E157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low</w:t>
            </w:r>
          </w:p>
        </w:tc>
        <w:tc>
          <w:tcPr>
            <w:tcW w:w="1170" w:type="dxa"/>
          </w:tcPr>
          <w:p w14:paraId="2F6A1F25"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58%</w:t>
            </w:r>
          </w:p>
        </w:tc>
        <w:tc>
          <w:tcPr>
            <w:tcW w:w="1260" w:type="dxa"/>
          </w:tcPr>
          <w:p w14:paraId="153988AA"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16-20%</w:t>
            </w:r>
          </w:p>
        </w:tc>
        <w:tc>
          <w:tcPr>
            <w:tcW w:w="1080" w:type="dxa"/>
          </w:tcPr>
          <w:p w14:paraId="5B3C9A6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0%</w:t>
            </w:r>
          </w:p>
        </w:tc>
        <w:tc>
          <w:tcPr>
            <w:tcW w:w="1260" w:type="dxa"/>
          </w:tcPr>
          <w:p w14:paraId="3EFC478C" w14:textId="65F8262F"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{"citationItems":[{"id":"ITEM-1","itemData":{"DOI":"10.1074/jbc.M809468200","ISSN":"0021-9258 (Print)","PMID":"19189973","abstract":"The bacterial proton-translocating NADH:quinone oxidoreductase (NDH-1) consists of  two domains, a peripheral arm and a membrane arm. NuoH is a counterpart of ND1, which is one of seven mitochondrially encoded hydrophobic subunits, and is considered to be involved in quinone/inhibitor binding. Sequence comparison in a wide range of species showed that NuoH is comprehensively conserved, particularly with charged residues in the cytoplasmic side loops. We have constructed 40 mutants of 27 conserved residues predicted to be in the cytoplasmic side loops of Escherichia coli NuoH by utilizing the chromosomal DNA manipulation technique and investigated roles of these residues. Mutants of Arg(37), Arg(46), Asp(63), Gly(134), Gly(145), Arg(148), Glu(220), and Glu(228) showed low deamino-NADH-K(3)Fe(CN)(6) reductase activity, undetectable NDH-1 in Blue Native gels, low contents of peripheral subunits (especially NuoB and NuoCD) bound to the membranes, and a significant loss of the membrane potential and proton-pumping function coupled to deamino-NADH oxidation. The results indicated that these conserved residues located in the cytoplasmic side loops are essential for the assembly of the peripheral subunits with the membrane arm. Implications for the involvement of NuoH (ND1) in maintaining the structure and function of NDH-1 are discussed.","author":[{"dropping-particle":"","family":"Sinha","given":"Prem Kumar","non-dropping-particle":"","parse-names":false,"suffix":""},{"dropping-particle":"","family":"Torres-Bacete","given":"Jesus","non-dropping-particle":"","parse-names":false,"suffix":""},{"dropping-particle":"","family":"Nakamaru-Ogiso","given":"Eiko","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chemistry","id":"ITEM-1","issue":"15","issued":{"date-parts":[["2009","4"]]},"language":"eng","page":"9814-9823","title":"Critical roles of subunit NuoH (ND1) in the assembly of peripheral subunits with the  membrane domain of Escherichia coli NDH-1.","type":"article-journal","volume":"284"},"uris":["http://www.mendeley.com/documents/?uuid=94e6ea23-ba78-42b7-8564-979f1e931026"]}],"mendeley":{"formattedCitation":"(Sinha &lt;i&gt;et al&lt;/i&gt;, 2009)","plainTextFormattedCitation":"(Sinha et al, 2009)","previouslyFormattedCitation":"(Sinha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0A7FA889" w14:textId="77777777" w:rsidTr="002471A8">
        <w:trPr>
          <w:trHeight w:val="65"/>
        </w:trPr>
        <w:tc>
          <w:tcPr>
            <w:tcW w:w="1975" w:type="dxa"/>
          </w:tcPr>
          <w:p w14:paraId="26F8A3C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D295E</w:t>
            </w:r>
          </w:p>
        </w:tc>
        <w:tc>
          <w:tcPr>
            <w:tcW w:w="1800" w:type="dxa"/>
            <w:vMerge/>
          </w:tcPr>
          <w:p w14:paraId="2BAF5538" w14:textId="77777777" w:rsidR="002471A8" w:rsidRPr="00E97FC1" w:rsidRDefault="002471A8" w:rsidP="002471A8">
            <w:pPr>
              <w:rPr>
                <w:rFonts w:ascii="Helvetica" w:hAnsi="Helvetica" w:cs="Helvetica"/>
                <w:sz w:val="20"/>
                <w:szCs w:val="20"/>
                <w:lang w:val="en-GB"/>
              </w:rPr>
            </w:pPr>
          </w:p>
        </w:tc>
        <w:tc>
          <w:tcPr>
            <w:tcW w:w="1440" w:type="dxa"/>
          </w:tcPr>
          <w:p w14:paraId="006515F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41088FA7"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98%</w:t>
            </w:r>
          </w:p>
        </w:tc>
        <w:tc>
          <w:tcPr>
            <w:tcW w:w="1260" w:type="dxa"/>
          </w:tcPr>
          <w:p w14:paraId="007BDB3B"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41-49%</w:t>
            </w:r>
          </w:p>
        </w:tc>
        <w:tc>
          <w:tcPr>
            <w:tcW w:w="1080" w:type="dxa"/>
          </w:tcPr>
          <w:p w14:paraId="2A9614F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reduced</w:t>
            </w:r>
          </w:p>
        </w:tc>
        <w:tc>
          <w:tcPr>
            <w:tcW w:w="1260" w:type="dxa"/>
          </w:tcPr>
          <w:p w14:paraId="5AAF19DA" w14:textId="6D212A9E"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{"citationItems":[{"id":"ITEM-1","itemData":{"DOI":"10.1074/jbc.M809468200","ISSN":"0021-9258 (Print)","PMID":"19189973","abstract":"The bacterial proton-translocating NADH:quinone oxidoreductase (NDH-1) consists of  two domains, a peripheral arm and a membrane arm. NuoH is a counterpart of ND1, which is one of seven mitochondrially encoded hydrophobic subunits, and is considered to be involved in quinone/inhibitor binding. Sequence comparison in a wide range of species showed that NuoH is comprehensively conserved, particularly with charged residues in the cytoplasmic side loops. We have constructed 40 mutants of 27 conserved residues predicted to be in the cytoplasmic side loops of Escherichia coli NuoH by utilizing the chromosomal DNA manipulation technique and investigated roles of these residues. Mutants of Arg(37), Arg(46), Asp(63), Gly(134), Gly(145), Arg(148), Glu(220), and Glu(228) showed low deamino-NADH-K(3)Fe(CN)(6) reductase activity, undetectable NDH-1 in Blue Native gels, low contents of peripheral subunits (especially NuoB and NuoCD) bound to the membranes, and a significant loss of the membrane potential and proton-pumping function coupled to deamino-NADH oxidation. The results indicated that these conserved residues located in the cytoplasmic side loops are essential for the assembly of the peripheral subunits with the membrane arm. Implications for the involvement of NuoH (ND1) in maintaining the structure and function of NDH-1 are discussed.","author":[{"dropping-particle":"","family":"Sinha","given":"Prem Kumar","non-dropping-particle":"","parse-names":false,"suffix":""},{"dropping-particle":"","family":"Torres-Bacete","given":"Jesus","non-dropping-particle":"","parse-names":false,"suffix":""},{"dropping-particle":"","family":"Nakamaru-Ogiso","given":"Eiko","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chemistry","id":"ITEM-1","issue":"15","issued":{"date-parts":[["2009","4"]]},"language":"eng","page":"9814-9823","title":"Critical roles of subunit NuoH (ND1) in the assembly of peripheral subunits with the  membrane domain of Escherichia coli NDH-1.","type":"article-journal","volume":"284"},"uris":["http://www.mendeley.com/documents/?uuid=94e6ea23-ba78-42b7-8564-979f1e931026"]}],"mendeley":{"formattedCitation":"(Sinha &lt;i&gt;et al&lt;/i&gt;, 2009)","plainTextFormattedCitation":"(Sinha et al, 2009)","previouslyFormattedCitation":"(Sinha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02AFAF37" w14:textId="77777777" w:rsidTr="002471A8">
        <w:trPr>
          <w:trHeight w:val="65"/>
        </w:trPr>
        <w:tc>
          <w:tcPr>
            <w:tcW w:w="1975" w:type="dxa"/>
          </w:tcPr>
          <w:p w14:paraId="5E7153F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Q296T</w:t>
            </w:r>
          </w:p>
        </w:tc>
        <w:tc>
          <w:tcPr>
            <w:tcW w:w="1800" w:type="dxa"/>
          </w:tcPr>
          <w:p w14:paraId="3CAE9CB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lang w:val="en-GB"/>
              </w:rPr>
              <w:t xml:space="preserve">NuoCD interface, Interacts with lipid near </w:t>
            </w:r>
            <w:r w:rsidRPr="00E97FC1">
              <w:rPr>
                <w:rFonts w:ascii="Helvetica" w:hAnsi="Helvetica" w:cs="Helvetica"/>
                <w:sz w:val="20"/>
                <w:vertAlign w:val="subscript"/>
                <w:lang w:val="en-GB"/>
              </w:rPr>
              <w:t>I</w:t>
            </w:r>
            <w:r w:rsidRPr="00E97FC1">
              <w:rPr>
                <w:rFonts w:ascii="Helvetica" w:hAnsi="Helvetica" w:cs="Helvetica"/>
                <w:sz w:val="20"/>
                <w:lang w:val="en-GB"/>
              </w:rPr>
              <w:t>H1</w:t>
            </w:r>
          </w:p>
        </w:tc>
        <w:tc>
          <w:tcPr>
            <w:tcW w:w="1440" w:type="dxa"/>
          </w:tcPr>
          <w:p w14:paraId="11BF19F6"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170" w:type="dxa"/>
          </w:tcPr>
          <w:p w14:paraId="6B53A10C"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63%</w:t>
            </w:r>
          </w:p>
        </w:tc>
        <w:tc>
          <w:tcPr>
            <w:tcW w:w="1260" w:type="dxa"/>
          </w:tcPr>
          <w:p w14:paraId="0256296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63-100%</w:t>
            </w:r>
          </w:p>
        </w:tc>
        <w:tc>
          <w:tcPr>
            <w:tcW w:w="1080" w:type="dxa"/>
          </w:tcPr>
          <w:p w14:paraId="3E7FC29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4659EB96" w14:textId="0238762A"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{"citationItems":[{"id":"ITEM-1","itemData":{"DOI":"10.1016/j.mito.2009.07.001","ISSN":"1872-8278 (Electronic)","PMID":"19616643","abstract":"Seven of the 45 subunits of mitochondrial NADH:ubiquinone oxidoreductase (complex I)  are mitochondrially encoded and have been shown to harbor pathogenic mutations. We modeled the human disease-associated mutations A4136G/ND1-Y277C, T4160C/ND1-L285P and C4171A/ND1-L289M in a highly conserved region of the fourth matrix-side loop of the ND1 subunit by mutating homologous amino acids and surrounding conserved residues of the NuoH subunit of Escherichia coli NDH-1. Deamino-NADH dehydrogenase activity, decylubiquinone reduction kinetics, hexammineruthenium (HAR) reductase activity, and the proton pumping efficiency of the enzyme were assayed in cytoplasmic membrane preparations. Among the human disease-associated mutations, a statistically significant 22% decrease in enzyme activity was observed in the NuoH-L289C mutant and a 29% decrease in the double mutant NuoH-L289C/V297P compared with controls. The adjacent mutations NuoH-D295A and NuoH-R293M caused 49% and 39% decreases in enzyme activity, respectively. None of the mutations studied significantly affected the K(m) value of the enzyme for decylubiquinone or the amount of membrane-associated NDH-1 as estimated from the HAR reductase activity. In spite of the decrease in enzyme activity, all the mutant strains were able to grow on malate, which necessitates sufficient NDH-1 activity. The results show that in ND1/NuoH its fourth matrix-side loop is probably not directly involved in ubiquinone binding or proton pumping but has a role in modifying enzyme activity.","author":[{"dropping-particle":"","family":"Maliniemi","given":"Pilvi","non-dropping-particle":"","parse-names":false,"suffix":""},{"dropping-particle":"","family":"Kervinen","given":"Marko","non-dropping-particle":"","parse-names":false,"suffix":""},{"dropping-particle":"","family":"Hassinen","given":"Ilmo E","non-dropping-particle":"","parse-names":false,"suffix":""}],"container-title":"Mitochondrion","id":"ITEM-1","issue":"6","issued":{"date-parts":[["2009","11"]]},"language":"eng","page":"394-401","publisher-place":"Netherlands","title":"Modeling of human pathogenic mutations in Escherichia coli complex I reveals a  sensitive region in the fourth inside loop of NuoH.","type":"article-journal","volume":"9"},"uris":["http://www.mendeley.com/documents/?uuid=62772d87-2d4f-46a3-ac77-47b189af0a52"]}],"mendeley":{"formattedCitation":"(Maliniemi &lt;i&gt;et al&lt;/i&gt;, 2009)","plainTextFormattedCitation":"(Maliniemi et al, 2009)","previouslyFormattedCitation":"(Maliniemi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(Maliniemi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18142248" w14:textId="77777777" w:rsidTr="002471A8">
        <w:trPr>
          <w:trHeight w:val="65"/>
        </w:trPr>
        <w:tc>
          <w:tcPr>
            <w:tcW w:w="1975" w:type="dxa"/>
          </w:tcPr>
          <w:p w14:paraId="28E17CAA"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V297P</w:t>
            </w:r>
          </w:p>
        </w:tc>
        <w:tc>
          <w:tcPr>
            <w:tcW w:w="1800" w:type="dxa"/>
          </w:tcPr>
          <w:p w14:paraId="6D785BA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lang w:val="en-GB"/>
              </w:rPr>
              <w:t xml:space="preserve">Interacts with lipid near </w:t>
            </w:r>
            <w:r w:rsidRPr="00E97FC1">
              <w:rPr>
                <w:rFonts w:ascii="Helvetica" w:hAnsi="Helvetica" w:cs="Helvetica"/>
                <w:sz w:val="20"/>
                <w:vertAlign w:val="subscript"/>
                <w:lang w:val="en-GB"/>
              </w:rPr>
              <w:t>I</w:t>
            </w:r>
            <w:r w:rsidRPr="00E97FC1">
              <w:rPr>
                <w:rFonts w:ascii="Helvetica" w:hAnsi="Helvetica" w:cs="Helvetica"/>
                <w:sz w:val="20"/>
                <w:lang w:val="en-GB"/>
              </w:rPr>
              <w:t>H1</w:t>
            </w:r>
          </w:p>
        </w:tc>
        <w:tc>
          <w:tcPr>
            <w:tcW w:w="1440" w:type="dxa"/>
          </w:tcPr>
          <w:p w14:paraId="3D60001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170" w:type="dxa"/>
          </w:tcPr>
          <w:p w14:paraId="26F11D19"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62%</w:t>
            </w:r>
          </w:p>
        </w:tc>
        <w:tc>
          <w:tcPr>
            <w:tcW w:w="1260" w:type="dxa"/>
          </w:tcPr>
          <w:p w14:paraId="0AF6034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62-97%</w:t>
            </w:r>
          </w:p>
        </w:tc>
        <w:tc>
          <w:tcPr>
            <w:tcW w:w="1080" w:type="dxa"/>
          </w:tcPr>
          <w:p w14:paraId="1AE8814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64B53DE3" w14:textId="204B05DF"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{"citationItems":[{"id":"ITEM-1","itemData":{"DOI":"10.1016/j.mito.2009.07.001","ISSN":"1872-8278 (Electronic)","PMID":"19616643","abstract":"Seven of the 45 subunits of mitochondrial NADH:ubiquinone oxidoreductase (complex I)  are mitochondrially encoded and have been shown to harbor pathogenic mutations. We modeled the human disease-associated mutations A4136G/ND1-Y277C, T4160C/ND1-L285P and C4171A/ND1-L289M in a highly conserved region of the fourth matrix-side loop of the ND1 subunit by mutating homologous amino acids and surrounding conserved residues of the NuoH subunit of Escherichia coli NDH-1. Deamino-NADH dehydrogenase activity, decylubiquinone reduction kinetics, hexammineruthenium (HAR) reductase activity, and the proton pumping efficiency of the enzyme were assayed in cytoplasmic membrane preparations. Among the human disease-associated mutations, a statistically significant 22% decrease in enzyme activity was observed in the NuoH-L289C mutant and a 29% decrease in the double mutant NuoH-L289C/V297P compared with controls. The adjacent mutations NuoH-D295A and NuoH-R293M caused 49% and 39% decreases in enzyme activity, respectively. None of the mutations studied significantly affected the K(m) value of the enzyme for decylubiquinone or the amount of membrane-associated NDH-1 as estimated from the HAR reductase activity. In spite of the decrease in enzyme activity, all the mutant strains were able to grow on malate, which necessitates sufficient NDH-1 activity. The results show that in ND1/NuoH its fourth matrix-side loop is probably not directly involved in ubiquinone binding or proton pumping but has a role in modifying enzyme activity.","author":[{"dropping-particle":"","family":"Maliniemi","given":"Pilvi","non-dropping-particle":"","parse-names":false,"suffix":""},{"dropping-particle":"","family":"Kervinen","given":"Marko","non-dropping-particle":"","parse-names":false,"suffix":""},{"dropping-particle":"","family":"Hassinen","given":"Ilmo E","non-dropping-particle":"","parse-names":false,"suffix":""}],"container-title":"Mitochondrion","id":"ITEM-1","issue":"6","issued":{"date-parts":[["2009","11"]]},"language":"eng","page":"394-401","publisher-place":"Netherlands","title":"Modeling of human pathogenic mutations in Escherichia coli complex I reveals a  sensitive region in the fourth inside loop of NuoH.","type":"article-journal","volume":"9"},"uris":["http://www.mendeley.com/documents/?uuid=62772d87-2d4f-46a3-ac77-47b189af0a52"]}],"mendeley":{"formattedCitation":"(Maliniemi &lt;i&gt;et al&lt;/i&gt;, 2009)","plainTextFormattedCitation":"(Maliniemi et al, 2009)","previouslyFormattedCitation":"(Maliniemi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(Maliniemi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37913392" w14:textId="77777777" w:rsidTr="002471A8">
        <w:trPr>
          <w:trHeight w:val="65"/>
        </w:trPr>
        <w:tc>
          <w:tcPr>
            <w:tcW w:w="1975" w:type="dxa"/>
          </w:tcPr>
          <w:p w14:paraId="5773DE7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L289C/V297P</w:t>
            </w:r>
          </w:p>
        </w:tc>
        <w:tc>
          <w:tcPr>
            <w:tcW w:w="1800" w:type="dxa"/>
          </w:tcPr>
          <w:p w14:paraId="1329C7C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lang w:val="en-GB"/>
              </w:rPr>
              <w:t xml:space="preserve">near </w:t>
            </w:r>
            <w:r w:rsidRPr="00E97FC1">
              <w:rPr>
                <w:rFonts w:ascii="Helvetica" w:hAnsi="Helvetica" w:cs="Helvetica"/>
                <w:sz w:val="20"/>
                <w:vertAlign w:val="subscript"/>
                <w:lang w:val="en-GB"/>
              </w:rPr>
              <w:t>I</w:t>
            </w:r>
            <w:r w:rsidRPr="00E97FC1">
              <w:rPr>
                <w:rFonts w:ascii="Helvetica" w:hAnsi="Helvetica" w:cs="Helvetica"/>
                <w:sz w:val="20"/>
                <w:lang w:val="en-GB"/>
              </w:rPr>
              <w:t>H1</w:t>
            </w:r>
          </w:p>
        </w:tc>
        <w:tc>
          <w:tcPr>
            <w:tcW w:w="1440" w:type="dxa"/>
          </w:tcPr>
          <w:p w14:paraId="44E1191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170" w:type="dxa"/>
          </w:tcPr>
          <w:p w14:paraId="0A8D843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36%</w:t>
            </w:r>
          </w:p>
        </w:tc>
        <w:tc>
          <w:tcPr>
            <w:tcW w:w="1260" w:type="dxa"/>
          </w:tcPr>
          <w:p w14:paraId="7216168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36-73%</w:t>
            </w:r>
          </w:p>
        </w:tc>
        <w:tc>
          <w:tcPr>
            <w:tcW w:w="1080" w:type="dxa"/>
          </w:tcPr>
          <w:p w14:paraId="546B5677"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34E10533" w14:textId="12DB650D"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{"citationItems":[{"id":"ITEM-1","itemData":{"DOI":"10.1016/j.mito.2009.07.001","ISSN":"1872-8278 (Electronic)","PMID":"19616643","abstract":"Seven of the 45 subunits of mitochondrial NADH:ubiquinone oxidoreductase (complex I)  are mitochondrially encoded and have been shown to harbor pathogenic mutations. We modeled the human disease-associated mutations A4136G/ND1-Y277C, T4160C/ND1-L285P and C4171A/ND1-L289M in a highly conserved region of the fourth matrix-side loop of the ND1 subunit by mutating homologous amino acids and surrounding conserved residues of the NuoH subunit of Escherichia coli NDH-1. Deamino-NADH dehydrogenase activity, decylubiquinone reduction kinetics, hexammineruthenium (HAR) reductase activity, and the proton pumping efficiency of the enzyme were assayed in cytoplasmic membrane preparations. Among the human disease-associated mutations, a statistically significant 22% decrease in enzyme activity was observed in the NuoH-L289C mutant and a 29% decrease in the double mutant NuoH-L289C/V297P compared with controls. The adjacent mutations NuoH-D295A and NuoH-R293M caused 49% and 39% decreases in enzyme activity, respectively. None of the mutations studied significantly affected the K(m) value of the enzyme for decylubiquinone or the amount of membrane-associated NDH-1 as estimated from the HAR reductase activity. In spite of the decrease in enzyme activity, all the mutant strains were able to grow on malate, which necessitates sufficient NDH-1 activity. The results show that in ND1/NuoH its fourth matrix-side loop is probably not directly involved in ubiquinone binding or proton pumping but has a role in modifying enzyme activity.","author":[{"dropping-particle":"","family":"Maliniemi","given":"Pilvi","non-dropping-particle":"","parse-names":false,"suffix":""},{"dropping-particle":"","family":"Kervinen","given":"Marko","non-dropping-particle":"","parse-names":false,"suffix":""},{"dropping-particle":"","family":"Hassinen","given":"Ilmo E","non-dropping-particle":"","parse-names":false,"suffix":""}],"container-title":"Mitochondrion","id":"ITEM-1","issue":"6","issued":{"date-parts":[["2009","11"]]},"language":"eng","page":"394-401","publisher-place":"Netherlands","title":"Modeling of human pathogenic mutations in Escherichia coli complex I reveals a  sensitive region in the fourth inside loop of NuoH.","type":"article-journal","volume":"9"},"uris":["http://www.mendeley.com/documents/?uuid=62772d87-2d4f-46a3-ac77-47b189af0a52"]}],"mendeley":{"formattedCitation":"(Maliniemi &lt;i&gt;et al&lt;/i&gt;, 2009)","plainTextFormattedCitation":"(Maliniemi et al, 2009)","previouslyFormattedCitation":"(Maliniemi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(Maliniemi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305F1F1F" w14:textId="77777777" w:rsidTr="002471A8">
        <w:trPr>
          <w:trHeight w:val="65"/>
        </w:trPr>
        <w:tc>
          <w:tcPr>
            <w:tcW w:w="1975" w:type="dxa"/>
          </w:tcPr>
          <w:p w14:paraId="58742AC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G301C</w:t>
            </w:r>
          </w:p>
        </w:tc>
        <w:tc>
          <w:tcPr>
            <w:tcW w:w="1800" w:type="dxa"/>
          </w:tcPr>
          <w:p w14:paraId="7B9ACE3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lang w:val="en-GB"/>
              </w:rPr>
              <w:t>Intermembrane surface</w:t>
            </w:r>
          </w:p>
        </w:tc>
        <w:tc>
          <w:tcPr>
            <w:tcW w:w="1440" w:type="dxa"/>
          </w:tcPr>
          <w:p w14:paraId="7CE6FD35"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170" w:type="dxa"/>
          </w:tcPr>
          <w:p w14:paraId="448CCE9E"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72%</w:t>
            </w:r>
          </w:p>
        </w:tc>
        <w:tc>
          <w:tcPr>
            <w:tcW w:w="1260" w:type="dxa"/>
          </w:tcPr>
          <w:p w14:paraId="68DF60A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72-90%</w:t>
            </w:r>
          </w:p>
        </w:tc>
        <w:tc>
          <w:tcPr>
            <w:tcW w:w="1080" w:type="dxa"/>
          </w:tcPr>
          <w:p w14:paraId="5C8CF8E2"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2734D1BE" w14:textId="1897DBF5"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{"citationItems":[{"id":"ITEM-1","itemData":{"DOI":"10.1016/j.mito.2009.07.001","ISSN":"1872-8278 (Electronic)","PMID":"19616643","abstract":"Seven of the 45 subunits of mitochondrial NADH:ubiquinone oxidoreductase (complex I)  are mitochondrially encoded and have been shown to harbor pathogenic mutations. We modeled the human disease-associated mutations A4136G/ND1-Y277C, T4160C/ND1-L285P and C4171A/ND1-L289M in a highly conserved region of the fourth matrix-side loop of the ND1 subunit by mutating homologous amino acids and surrounding conserved residues of the NuoH subunit of Escherichia coli NDH-1. Deamino-NADH dehydrogenase activity, decylubiquinone reduction kinetics, hexammineruthenium (HAR) reductase activity, and the proton pumping efficiency of the enzyme were assayed in cytoplasmic membrane preparations. Among the human disease-associated mutations, a statistically significant 22% decrease in enzyme activity was observed in the NuoH-L289C mutant and a 29% decrease in the double mutant NuoH-L289C/V297P compared with controls. The adjacent mutations NuoH-D295A and NuoH-R293M caused 49% and 39% decreases in enzyme activity, respectively. None of the mutations studied significantly affected the K(m) value of the enzyme for decylubiquinone or the amount of membrane-associated NDH-1 as estimated from the HAR reductase activity. In spite of the decrease in enzyme activity, all the mutant strains were able to grow on malate, which necessitates sufficient NDH-1 activity. The results show that in ND1/NuoH its fourth matrix-side loop is probably not directly involved in ubiquinone binding or proton pumping but has a role in modifying enzyme activity.","author":[{"dropping-particle":"","family":"Maliniemi","given":"Pilvi","non-dropping-particle":"","parse-names":false,"suffix":""},{"dropping-particle":"","family":"Kervinen","given":"Marko","non-dropping-particle":"","parse-names":false,"suffix":""},{"dropping-particle":"","family":"Hassinen","given":"Ilmo E","non-dropping-particle":"","parse-names":false,"suffix":""}],"container-title":"Mitochondrion","id":"ITEM-1","issue":"6","issued":{"date-parts":[["2009","11"]]},"language":"eng","page":"394-401","publisher-place":"Netherlands","title":"Modeling of human pathogenic mutations in Escherichia coli complex I reveals a  sensitive region in the fourth inside loop of NuoH.","type":"article-journal","volume":"9"},"uris":["http://www.mendeley.com/documents/?uuid=62772d87-2d4f-46a3-ac77-47b189af0a52"]}],"mendeley":{"formattedCitation":"(Maliniemi &lt;i&gt;et al&lt;/i&gt;, 2009)","plainTextFormattedCitation":"(Maliniemi et al, 2009)","previouslyFormattedCitation":"(Maliniemi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(Maliniemi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181520D7" w14:textId="77777777" w:rsidTr="002471A8">
        <w:trPr>
          <w:trHeight w:val="65"/>
        </w:trPr>
        <w:tc>
          <w:tcPr>
            <w:tcW w:w="1975" w:type="dxa"/>
          </w:tcPr>
          <w:p w14:paraId="4C39AB79"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W302L</w:t>
            </w:r>
          </w:p>
        </w:tc>
        <w:tc>
          <w:tcPr>
            <w:tcW w:w="1800" w:type="dxa"/>
          </w:tcPr>
          <w:p w14:paraId="5B74182C"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NuoA interface</w:t>
            </w:r>
          </w:p>
        </w:tc>
        <w:tc>
          <w:tcPr>
            <w:tcW w:w="1440" w:type="dxa"/>
          </w:tcPr>
          <w:p w14:paraId="0FD03A50"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170" w:type="dxa"/>
          </w:tcPr>
          <w:p w14:paraId="4259B8DF"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62%</w:t>
            </w:r>
          </w:p>
        </w:tc>
        <w:tc>
          <w:tcPr>
            <w:tcW w:w="1260" w:type="dxa"/>
          </w:tcPr>
          <w:p w14:paraId="07162A7E"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62%%</w:t>
            </w:r>
          </w:p>
        </w:tc>
        <w:tc>
          <w:tcPr>
            <w:tcW w:w="1080" w:type="dxa"/>
          </w:tcPr>
          <w:p w14:paraId="7868D15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100%</w:t>
            </w:r>
          </w:p>
        </w:tc>
        <w:tc>
          <w:tcPr>
            <w:tcW w:w="1260" w:type="dxa"/>
          </w:tcPr>
          <w:p w14:paraId="68336E23" w14:textId="497E2F34"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{"citationItems":[{"id":"ITEM-1","itemData":{"DOI":"10.1016/j.mito.2009.07.001","ISSN":"1872-8278 (Electronic)","PMID":"19616643","abstract":"Seven of the 45 subunits of mitochondrial NADH:ubiquinone oxidoreductase (complex I)  are mitochondrially encoded and have been shown to harbor pathogenic mutations. We modeled the human disease-associated mutations A4136G/ND1-Y277C, T4160C/ND1-L285P and C4171A/ND1-L289M in a highly conserved region of the fourth matrix-side loop of the ND1 subunit by mutating homologous amino acids and surrounding conserved residues of the NuoH subunit of Escherichia coli NDH-1. Deamino-NADH dehydrogenase activity, decylubiquinone reduction kinetics, hexammineruthenium (HAR) reductase activity, and the proton pumping efficiency of the enzyme were assayed in cytoplasmic membrane preparations. Among the human disease-associated mutations, a statistically significant 22% decrease in enzyme activity was observed in the NuoH-L289C mutant and a 29% decrease in the double mutant NuoH-L289C/V297P compared with controls. The adjacent mutations NuoH-D295A and NuoH-R293M caused 49% and 39% decreases in enzyme activity, respectively. None of the mutations studied significantly affected the K(m) value of the enzyme for decylubiquinone or the amount of membrane-associated NDH-1 as estimated from the HAR reductase activity. In spite of the decrease in enzyme activity, all the mutant strains were able to grow on malate, which necessitates sufficient NDH-1 activity. The results show that in ND1/NuoH its fourth matrix-side loop is probably not directly involved in ubiquinone binding or proton pumping but has a role in modifying enzyme activity.","author":[{"dropping-particle":"","family":"Maliniemi","given":"Pilvi","non-dropping-particle":"","parse-names":false,"suffix":""},{"dropping-particle":"","family":"Kervinen","given":"Marko","non-dropping-particle":"","parse-names":false,"suffix":""},{"dropping-particle":"","family":"Hassinen","given":"Ilmo E","non-dropping-particle":"","parse-names":false,"suffix":""}],"container-title":"Mitochondrion","id":"ITEM-1","issue":"6","issued":{"date-parts":[["2009","11"]]},"language":"eng","page":"394-401","publisher-place":"Netherlands","title":"Modeling of human pathogenic mutations in Escherichia coli complex I reveals a  sensitive region in the fourth inside loop of NuoH.","type":"article-journal","volume":"9"},"uris":["http://www.mendeley.com/documents/?uuid=62772d87-2d4f-46a3-ac77-47b189af0a52"]}],"mendeley":{"formattedCitation":"(Maliniemi &lt;i&gt;et al&lt;/i&gt;, 2009)","plainTextFormattedCitation":"(Maliniemi et al, 2009)","previouslyFormattedCitation":"(Maliniemi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(Maliniemi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08268634" w14:textId="77777777" w:rsidTr="002471A8">
        <w:trPr>
          <w:trHeight w:val="65"/>
        </w:trPr>
        <w:tc>
          <w:tcPr>
            <w:tcW w:w="1975" w:type="dxa"/>
          </w:tcPr>
          <w:p w14:paraId="7D998FB3"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K303A</w:t>
            </w:r>
          </w:p>
        </w:tc>
        <w:tc>
          <w:tcPr>
            <w:tcW w:w="1800" w:type="dxa"/>
          </w:tcPr>
          <w:p w14:paraId="072ABDB1"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Surface/ NuoA interface</w:t>
            </w:r>
          </w:p>
        </w:tc>
        <w:tc>
          <w:tcPr>
            <w:tcW w:w="1440" w:type="dxa"/>
          </w:tcPr>
          <w:p w14:paraId="0DBBE5ED"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normal</w:t>
            </w:r>
          </w:p>
        </w:tc>
        <w:tc>
          <w:tcPr>
            <w:tcW w:w="1170" w:type="dxa"/>
          </w:tcPr>
          <w:p w14:paraId="7C707888"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71%</w:t>
            </w:r>
          </w:p>
        </w:tc>
        <w:tc>
          <w:tcPr>
            <w:tcW w:w="1260" w:type="dxa"/>
          </w:tcPr>
          <w:p w14:paraId="01CCE58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47-75%</w:t>
            </w:r>
          </w:p>
        </w:tc>
        <w:tc>
          <w:tcPr>
            <w:tcW w:w="1080" w:type="dxa"/>
          </w:tcPr>
          <w:p w14:paraId="2C8E4A14"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reduced</w:t>
            </w:r>
          </w:p>
        </w:tc>
        <w:tc>
          <w:tcPr>
            <w:tcW w:w="1260" w:type="dxa"/>
          </w:tcPr>
          <w:p w14:paraId="69BCB988" w14:textId="6EC43332"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{"citationItems":[{"id":"ITEM-1","itemData":{"DOI":"10.1074/jbc.M809468200","ISSN":"0021-9258 (Print)","PMID":"19189973","abstract":"The bacterial proton-translocating NADH:quinone oxidoreductase (NDH-1) consists of  two domains, a peripheral arm and a membrane arm. NuoH is a counterpart of ND1, which is one of seven mitochondrially encoded hydrophobic subunits, and is considered to be involved in quinone/inhibitor binding. Sequence comparison in a wide range of species showed that NuoH is comprehensively conserved, particularly with charged residues in the cytoplasmic side loops. We have constructed 40 mutants of 27 conserved residues predicted to be in the cytoplasmic side loops of Escherichia coli NuoH by utilizing the chromosomal DNA manipulation technique and investigated roles of these residues. Mutants of Arg(37), Arg(46), Asp(63), Gly(134), Gly(145), Arg(148), Glu(220), and Glu(228) showed low deamino-NADH-K(3)Fe(CN)(6) reductase activity, undetectable NDH-1 in Blue Native gels, low contents of peripheral subunits (especially NuoB and NuoCD) bound to the membranes, and a significant loss of the membrane potential and proton-pumping function coupled to deamino-NADH oxidation. The results indicated that these conserved residues located in the cytoplasmic side loops are essential for the assembly of the peripheral subunits with the membrane arm. Implications for the involvement of NuoH (ND1) in maintaining the structure and function of NDH-1 are discussed.","author":[{"dropping-particle":"","family":"Sinha","given":"Prem Kumar","non-dropping-particle":"","parse-names":false,"suffix":""},{"dropping-particle":"","family":"Torres-Bacete","given":"Jesus","non-dropping-particle":"","parse-names":false,"suffix":""},{"dropping-particle":"","family":"Nakamaru-Ogiso","given":"Eiko","non-dropping-particle":"","parse-names":false,"suffix":""},{"dropping-particle":"","family":"Castro-Guerrero","given":"Norma","non-dropping-particle":"","parse-names":false,"suffix":""},{"dropping-particle":"","family":"Matsuno-Yagi","given":"Akemi","non-dropping-particle":"","parse-names":false,"suffix":""},{"dropping-particle":"","family":"Yagi","given":"Takao","non-dropping-particle":"","parse-names":false,"suffix":""}],"container-title":"The Journal of biological chemistry","id":"ITEM-1","issue":"15","issued":{"date-parts":[["2009","4"]]},"language":"eng","page":"9814-9823","title":"Critical roles of subunit NuoH (ND1) in the assembly of peripheral subunits with the  membrane domain of Escherichia coli NDH-1.","type":"article-journal","volume":"284"},"uris":["http://www.mendeley.com/documents/?uuid=94e6ea23-ba78-42b7-8564-979f1e931026"]}],"mendeley":{"formattedCitation":"(Sinha &lt;i&gt;et al&lt;/i&gt;, 2009)","plainTextFormattedCitation":"(Sinha et al, 2009)","previouslyFormattedCitation":"(Sinha &lt;i&gt;et al&lt;/i&gt;, 2009)"},"properties":{"noteIndex":0},"schema":"https://github.com/citation-style-language/schema/raw/master/csl-citation.json"}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(Sinha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2009)</w:t>
            </w:r>
            <w:r w:rsidRPr="00E97FC1">
              <w:rPr>
                <w:rFonts w:ascii="Helvetica" w:hAnsi="Helvetica" w:cs="Helvetica"/>
                <w:b/>
                <w:bCs/>
                <w:sz w:val="16"/>
                <w:szCs w:val="20"/>
                <w:lang w:val="en-GB"/>
              </w:rPr>
              <w:fldChar w:fldCharType="end"/>
            </w:r>
          </w:p>
        </w:tc>
      </w:tr>
      <w:tr w:rsidR="002471A8" w:rsidRPr="00E97FC1" w14:paraId="0F0E92BD" w14:textId="77777777" w:rsidTr="002471A8">
        <w:trPr>
          <w:trHeight w:val="65"/>
        </w:trPr>
        <w:tc>
          <w:tcPr>
            <w:tcW w:w="1975" w:type="dxa"/>
          </w:tcPr>
          <w:p w14:paraId="48F72CAA"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T316H</w:t>
            </w:r>
          </w:p>
        </w:tc>
        <w:tc>
          <w:tcPr>
            <w:tcW w:w="1800" w:type="dxa"/>
          </w:tcPr>
          <w:p w14:paraId="4D79634D" w14:textId="77777777" w:rsidR="002471A8" w:rsidRPr="00E97FC1" w:rsidRDefault="002471A8" w:rsidP="002471A8">
            <w:pPr>
              <w:rPr>
                <w:rFonts w:ascii="Helvetica" w:hAnsi="Helvetica" w:cs="Helvetica"/>
                <w:sz w:val="20"/>
                <w:lang w:val="en-GB"/>
              </w:rPr>
            </w:pPr>
            <w:r w:rsidRPr="00E97FC1">
              <w:rPr>
                <w:rFonts w:ascii="Helvetica" w:hAnsi="Helvetica" w:cs="Helvetica"/>
                <w:sz w:val="20"/>
                <w:lang w:val="en-GB"/>
              </w:rPr>
              <w:t>Surface</w:t>
            </w:r>
          </w:p>
          <w:p w14:paraId="44E3703E" w14:textId="77777777" w:rsidR="002471A8" w:rsidRPr="00E97FC1" w:rsidRDefault="002471A8" w:rsidP="002471A8">
            <w:pPr>
              <w:jc w:val="center"/>
              <w:rPr>
                <w:rFonts w:ascii="Helvetica" w:hAnsi="Helvetica" w:cs="Helvetica"/>
                <w:sz w:val="20"/>
                <w:lang w:val="en-GB"/>
              </w:rPr>
            </w:pPr>
          </w:p>
        </w:tc>
        <w:tc>
          <w:tcPr>
            <w:tcW w:w="1440" w:type="dxa"/>
          </w:tcPr>
          <w:p w14:paraId="6455CA3F"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170" w:type="dxa"/>
          </w:tcPr>
          <w:p w14:paraId="4A3CB6EA" w14:textId="77777777" w:rsidR="002471A8" w:rsidRPr="00E97FC1" w:rsidRDefault="002471A8" w:rsidP="002471A8">
            <w:pPr>
              <w:rPr>
                <w:rFonts w:ascii="Helvetica" w:hAnsi="Helvetica" w:cs="Helvetica"/>
                <w:bCs/>
                <w:sz w:val="20"/>
                <w:szCs w:val="20"/>
                <w:lang w:val="en-GB"/>
              </w:rPr>
            </w:pPr>
            <w:r w:rsidRPr="00E97FC1">
              <w:rPr>
                <w:rFonts w:ascii="Helvetica" w:hAnsi="Helvetica" w:cs="Helvetica"/>
                <w:bCs/>
                <w:sz w:val="20"/>
                <w:szCs w:val="20"/>
                <w:lang w:val="en-GB"/>
              </w:rPr>
              <w:t>73%</w:t>
            </w:r>
          </w:p>
        </w:tc>
        <w:tc>
          <w:tcPr>
            <w:tcW w:w="1260" w:type="dxa"/>
          </w:tcPr>
          <w:p w14:paraId="16421BA8"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72%</w:t>
            </w:r>
          </w:p>
        </w:tc>
        <w:tc>
          <w:tcPr>
            <w:tcW w:w="1080" w:type="dxa"/>
          </w:tcPr>
          <w:p w14:paraId="012BBE0C" w14:textId="77777777" w:rsidR="002471A8" w:rsidRPr="00E97FC1" w:rsidRDefault="002471A8" w:rsidP="002471A8">
            <w:pPr>
              <w:rPr>
                <w:rFonts w:ascii="Helvetica" w:hAnsi="Helvetica" w:cs="Helvetica"/>
                <w:sz w:val="20"/>
                <w:szCs w:val="20"/>
                <w:lang w:val="en-GB"/>
              </w:rPr>
            </w:pPr>
            <w:r w:rsidRPr="00E97FC1">
              <w:rPr>
                <w:rFonts w:ascii="Helvetica" w:hAnsi="Helvetica" w:cs="Helvetica"/>
                <w:sz w:val="20"/>
                <w:szCs w:val="20"/>
                <w:lang w:val="en-GB"/>
              </w:rPr>
              <w:t>NA</w:t>
            </w:r>
          </w:p>
        </w:tc>
        <w:tc>
          <w:tcPr>
            <w:tcW w:w="1260" w:type="dxa"/>
          </w:tcPr>
          <w:p w14:paraId="062686D0" w14:textId="5EBA56B7" w:rsidR="002471A8" w:rsidRPr="00E97FC1" w:rsidRDefault="002471A8" w:rsidP="002471A8">
            <w:pPr>
              <w:rPr>
                <w:rFonts w:ascii="Helvetica" w:hAnsi="Helvetica" w:cs="Helvetica"/>
                <w:b/>
                <w:bCs/>
                <w:sz w:val="16"/>
                <w:szCs w:val="20"/>
                <w:lang w:val="en-GB"/>
              </w:rPr>
            </w:pPr>
            <w:r w:rsidRPr="00E97FC1">
              <w:rPr>
                <w:rFonts w:ascii="Helvetica" w:hAnsi="Helvetica" w:cs="Helvetica"/>
                <w:b/>
                <w:bCs/>
                <w:sz w:val="16"/>
                <w:szCs w:val="20"/>
                <w:lang w:val="en-GB"/>
              </w:rPr>
              <w:fldChar w:fldCharType="begin" w:fldLock="1"/>
            </w:r>
            <w:r w:rsidR="00DC25DF" w:rsidRPr="00E97FC1">
              <w:rPr>
                <w:rFonts w:ascii="Helvetica" w:hAnsi="Helvetica" w:cs="Helvetica"/>
                <w:b/>
                <w:bCs/>
                <w:sz w:val="16"/>
                <w:szCs w:val="20"/>
                <w:lang w:val="en-GB"/>
              </w:rPr>
              <w:instrText>ADDIN CSL_CITATION {"citationItems":[{"id":"ITEM-1","itemData":{"DOI":"10.1016/j.mito.2010.02.002","ISSN":"1872-8278 (Electronic)","PMID":"20197120","abstract":"MtDNA sequence variation is presumed to be neutral in effect, but associations with  diseases and mtDNA haplogroups have been reported. The aim here was to evaluate the functional consequences of m.4216T&gt;C present in haplogroup J. Furthermore, we evaluated m.3866T&gt;C in MT-ND1, a variant detected in a child belonging to haplogroup J and with an isolated complex I deficiency. Homologous substitutions were introduced into Escherichia coli. NADH dehydrogenase domain activity of NDH-1 with either one or both mutations was markedly decreased suggesting that m.4216T&gt;C and m.3866T&gt;C may have an effect on the structural integrity of complex I.","author":[{"dropping-particle":"","family":"Hinttala","given":"Reetta","non-dropping-particle":"","parse-names":false,"suffix":""},{"dropping-particle":"","family":"Kervinen","given":"Marko","non-dropping-particle":"","parse-names":false,"suffix":""},{"dropping-particle":"","family":"Uusimaa","given":"Johanna","non-dropping-particle":"","parse-names":false,"suffix":""},{"dropping-particle":"","family":"Maliniemi","given":"Pilvi","non-dropping-particle":"","parse-names":false,"suffix":""},{"dropping-particle":"","family":"Finnilä","given":"Saara","non-dropping-particle":"","parse-names":false,"suffix":""},{"dropping-particle":"","family":"Rantala","given":"Heikki","non-dropping-particle":"","parse-names":false,"suffix":""},{"dropping-particle":"","family":"Remes","given":"Anne M","non-dropping-particle":"","parse-names":false,"suffix":""},{"dropping-particle":"","family":"Hassinen","given":"Ilmo E","non-dropping-particle":"","parse-names":false,"suffix":""},{"dropping-particle":"","family":"Majamaa","given":"Kari","non-dropping-particle":"","parse-names":false,"suffix":""}],"container-title":"Mitochondrion","id":"ITEM-1","issue":"4","issued":{"date-parts":[["2010","6"]]},"language":"eng","page":"358-361","publisher-place":"Netherlands","title":"Analysis of functional consequences of haplogroup J polymorphisms m.4216T&gt;C and  m.3866T&gt;C in human MT-ND1: mutagenesis of homologous positions in Escherichia coli.","type":"article-journal","volume":"10"},"uris":["http://www.mendeley.com/documents/?uuid=86325c84-6717-4888-a56d-10d2b11daef9"]}],"mendeley":{"formattedCitation":"(Hinttala &lt;i&gt;et al&lt;/i&gt;, 2010)","plainTextFormattedCitation":"(Hinttala et al, 2010)","previouslyFormattedCitation":"(Hinttala &lt;i&gt;et al&lt;/i&gt;, 2010)"},"properties":{"noteIndex":0},"schema":"https://github.com/citation-style-language/schema/raw/master/csl-citation.json"}</w:instrText>
            </w:r>
            <w:r w:rsidRPr="00E97FC1">
              <w:rPr>
                <w:rFonts w:ascii="Helvetica" w:hAnsi="Helvetica" w:cs="Helvetica"/>
                <w:b/>
                <w:bCs/>
                <w:sz w:val="16"/>
                <w:szCs w:val="20"/>
                <w:lang w:val="en-GB"/>
              </w:rPr>
              <w:fldChar w:fldCharType="separate"/>
            </w:r>
            <w:r w:rsidRPr="00E97FC1">
              <w:rPr>
                <w:rFonts w:ascii="Helvetica" w:hAnsi="Helvetica" w:cs="Helvetica"/>
                <w:bCs/>
                <w:noProof/>
                <w:sz w:val="16"/>
                <w:szCs w:val="20"/>
                <w:lang w:val="en-GB"/>
              </w:rPr>
              <w:t xml:space="preserve">(Hinttala </w:t>
            </w:r>
            <w:r w:rsidRPr="00E97FC1">
              <w:rPr>
                <w:rFonts w:ascii="Helvetica" w:hAnsi="Helvetica" w:cs="Helvetica"/>
                <w:bCs/>
                <w:i/>
                <w:noProof/>
                <w:sz w:val="16"/>
                <w:szCs w:val="20"/>
                <w:lang w:val="en-GB"/>
              </w:rPr>
              <w:t>et al</w:t>
            </w:r>
            <w:r w:rsidRPr="00E97FC1">
              <w:rPr>
                <w:rFonts w:ascii="Helvetica" w:hAnsi="Helvetica" w:cs="Helvetica"/>
                <w:bCs/>
                <w:noProof/>
                <w:sz w:val="16"/>
                <w:szCs w:val="20"/>
                <w:lang w:val="en-GB"/>
              </w:rPr>
              <w:t>, 2010)</w:t>
            </w:r>
            <w:r w:rsidRPr="00E97FC1">
              <w:rPr>
                <w:rFonts w:ascii="Helvetica" w:hAnsi="Helvetica" w:cs="Helvetica"/>
                <w:b/>
                <w:bCs/>
                <w:sz w:val="16"/>
                <w:szCs w:val="20"/>
                <w:lang w:val="en-GB"/>
              </w:rPr>
              <w:fldChar w:fldCharType="end"/>
            </w:r>
          </w:p>
        </w:tc>
      </w:tr>
    </w:tbl>
    <w:p w14:paraId="2AED4C73" w14:textId="4BD0FA8E" w:rsidR="00BB57E9" w:rsidRPr="00E97FC1" w:rsidRDefault="00BB57E9" w:rsidP="001D4C58">
      <w:pPr>
        <w:outlineLvl w:val="0"/>
        <w:rPr>
          <w:lang w:val="en-GB"/>
        </w:rPr>
      </w:pPr>
    </w:p>
    <w:sectPr w:rsidR="00BB57E9" w:rsidRPr="00E97FC1" w:rsidSect="00F6347B">
      <w:footerReference w:type="default" r:id="rId59"/>
      <w:pgSz w:w="11906" w:h="16838"/>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DEEC170" w14:textId="77777777" w:rsidR="00705721" w:rsidRDefault="00705721">
      <w:pPr>
        <w:spacing w:line="240" w:lineRule="auto"/>
      </w:pPr>
      <w:r>
        <w:separator/>
      </w:r>
    </w:p>
  </w:endnote>
  <w:endnote w:type="continuationSeparator" w:id="0">
    <w:p w14:paraId="410B56E2" w14:textId="77777777" w:rsidR="00705721" w:rsidRDefault="0070572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MingLiU">
    <w:altName w:val="新細明體"/>
    <w:panose1 w:val="02010601000101010101"/>
    <w:charset w:val="88"/>
    <w:family w:val="roman"/>
    <w:notTrueType/>
    <w:pitch w:val="variable"/>
    <w:sig w:usb0="00000000" w:usb1="28CFFCFA" w:usb2="00000016" w:usb3="00000000" w:csb0="001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Bold">
    <w:altName w:val="Times New Roman"/>
    <w:panose1 w:val="020208030705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altName w:val="Arial"/>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w:panose1 w:val="02070409020205020404"/>
    <w:charset w:val="00"/>
    <w:family w:val="auto"/>
    <w:pitch w:val="variable"/>
    <w:sig w:usb0="00000003" w:usb1="00000000" w:usb2="00000000" w:usb3="00000000" w:csb0="00000003" w:csb1="00000000"/>
  </w:font>
  <w:font w:name="Consolas">
    <w:panose1 w:val="020B0609020204030204"/>
    <w:charset w:val="00"/>
    <w:family w:val="modern"/>
    <w:pitch w:val="fixed"/>
    <w:sig w:usb0="E00006FF" w:usb1="0000FCFF" w:usb2="00000001" w:usb3="00000000" w:csb0="0000019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41CF13" w14:textId="77777777" w:rsidR="000A2AA9" w:rsidRDefault="000A2AA9" w:rsidP="00AD64B3">
    <w:pPr>
      <w:pStyle w:val="Footer"/>
      <w:ind w:firstLine="720"/>
      <w:jc w:val="right"/>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F042CB" w14:textId="77777777" w:rsidR="000A2AA9" w:rsidRDefault="000A2AA9" w:rsidP="00AD64B3">
    <w:pPr>
      <w:pStyle w:val="Footer"/>
      <w:jc w:val="right"/>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899B8B" w14:textId="77777777" w:rsidR="000A2AA9" w:rsidRDefault="000A2AA9">
    <w:pPr>
      <w:pStyle w:val="Foote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26177308"/>
      <w:docPartObj>
        <w:docPartGallery w:val="Page Numbers (Bottom of Page)"/>
        <w:docPartUnique/>
      </w:docPartObj>
    </w:sdtPr>
    <w:sdtEndPr>
      <w:rPr>
        <w:noProof/>
      </w:rPr>
    </w:sdtEndPr>
    <w:sdtContent>
      <w:p w14:paraId="36D0BC54" w14:textId="19B57A70" w:rsidR="000A2AA9" w:rsidRDefault="000A2AA9">
        <w:pPr>
          <w:pStyle w:val="Footer"/>
          <w:jc w:val="right"/>
        </w:pPr>
        <w:r>
          <w:fldChar w:fldCharType="begin"/>
        </w:r>
        <w:r>
          <w:instrText xml:space="preserve"> PAGE   \* MERGEFORMAT </w:instrText>
        </w:r>
        <w:r>
          <w:fldChar w:fldCharType="separate"/>
        </w:r>
        <w:r w:rsidR="00ED1816">
          <w:rPr>
            <w:noProof/>
          </w:rPr>
          <w:t>ix</w:t>
        </w:r>
        <w:r>
          <w:rPr>
            <w:noProof/>
          </w:rPr>
          <w:fldChar w:fldCharType="end"/>
        </w:r>
      </w:p>
    </w:sdtContent>
  </w:sdt>
  <w:p w14:paraId="00D5BC0F" w14:textId="77777777" w:rsidR="000A2AA9" w:rsidRDefault="000A2AA9" w:rsidP="00AD64B3">
    <w:pPr>
      <w:pStyle w:val="Footer"/>
      <w:ind w:firstLine="720"/>
      <w:jc w:val="right"/>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935DF2" w14:textId="63D0BC58" w:rsidR="000A2AA9" w:rsidRPr="00AD64B3" w:rsidRDefault="000A2AA9" w:rsidP="00AD64B3">
    <w:pPr>
      <w:pStyle w:val="Footer"/>
      <w:jc w:val="right"/>
      <w:rPr>
        <w:caps/>
        <w:noProof/>
        <w:color w:val="0D0D0D" w:themeColor="text1" w:themeTint="F2"/>
      </w:rPr>
    </w:pPr>
    <w:r w:rsidRPr="00AD64B3">
      <w:rPr>
        <w:caps/>
        <w:color w:val="0D0D0D" w:themeColor="text1" w:themeTint="F2"/>
      </w:rPr>
      <w:fldChar w:fldCharType="begin"/>
    </w:r>
    <w:r w:rsidRPr="00AD64B3">
      <w:rPr>
        <w:caps/>
        <w:color w:val="0D0D0D" w:themeColor="text1" w:themeTint="F2"/>
      </w:rPr>
      <w:instrText xml:space="preserve"> PAGE   \* MERGEFORMAT </w:instrText>
    </w:r>
    <w:r w:rsidRPr="00AD64B3">
      <w:rPr>
        <w:caps/>
        <w:color w:val="0D0D0D" w:themeColor="text1" w:themeTint="F2"/>
      </w:rPr>
      <w:fldChar w:fldCharType="separate"/>
    </w:r>
    <w:r>
      <w:rPr>
        <w:caps/>
        <w:noProof/>
        <w:color w:val="0D0D0D" w:themeColor="text1" w:themeTint="F2"/>
      </w:rPr>
      <w:t>5</w:t>
    </w:r>
    <w:r w:rsidRPr="00AD64B3">
      <w:rPr>
        <w:caps/>
        <w:noProof/>
        <w:color w:val="0D0D0D" w:themeColor="text1" w:themeTint="F2"/>
      </w:rPr>
      <w:fldChar w:fldCharType="end"/>
    </w:r>
  </w:p>
  <w:p w14:paraId="7975FAF9" w14:textId="48A38240" w:rsidR="000A2AA9" w:rsidRDefault="000A2AA9">
    <w:pPr>
      <w:pStyle w:val="Footer"/>
      <w:jc w:val="right"/>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07105226"/>
      <w:docPartObj>
        <w:docPartGallery w:val="Page Numbers (Bottom of Page)"/>
        <w:docPartUnique/>
      </w:docPartObj>
    </w:sdtPr>
    <w:sdtEndPr>
      <w:rPr>
        <w:noProof/>
      </w:rPr>
    </w:sdtEndPr>
    <w:sdtContent>
      <w:p w14:paraId="7AF6C1A2" w14:textId="1249CC2F" w:rsidR="000A2AA9" w:rsidRDefault="000A2AA9">
        <w:pPr>
          <w:pStyle w:val="Footer"/>
          <w:jc w:val="right"/>
        </w:pPr>
        <w:r>
          <w:fldChar w:fldCharType="begin"/>
        </w:r>
        <w:r>
          <w:instrText xml:space="preserve"> PAGE   \* MERGEFORMAT </w:instrText>
        </w:r>
        <w:r>
          <w:fldChar w:fldCharType="separate"/>
        </w:r>
        <w:r w:rsidR="00ED1816">
          <w:rPr>
            <w:noProof/>
          </w:rPr>
          <w:t>7</w:t>
        </w:r>
        <w:r>
          <w:rPr>
            <w:noProof/>
          </w:rPr>
          <w:fldChar w:fldCharType="end"/>
        </w:r>
      </w:p>
    </w:sdtContent>
  </w:sdt>
  <w:p w14:paraId="6785F1C6" w14:textId="77777777" w:rsidR="000A2AA9" w:rsidRDefault="000A2AA9" w:rsidP="00AD64B3">
    <w:pPr>
      <w:pStyle w:val="Footer"/>
      <w:ind w:firstLine="720"/>
      <w:jc w:val="righ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EF026FF" w14:textId="77777777" w:rsidR="00705721" w:rsidRDefault="00705721">
      <w:pPr>
        <w:spacing w:line="240" w:lineRule="auto"/>
      </w:pPr>
      <w:r>
        <w:separator/>
      </w:r>
    </w:p>
  </w:footnote>
  <w:footnote w:type="continuationSeparator" w:id="0">
    <w:p w14:paraId="32685754" w14:textId="77777777" w:rsidR="00705721" w:rsidRDefault="00705721">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D7BCE2C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1746C4E"/>
    <w:multiLevelType w:val="hybridMultilevel"/>
    <w:tmpl w:val="4C8E3950"/>
    <w:lvl w:ilvl="0" w:tplc="3F9EED26">
      <w:start w:val="5"/>
      <w:numFmt w:val="bullet"/>
      <w:lvlText w:val="-"/>
      <w:lvlJc w:val="left"/>
      <w:pPr>
        <w:ind w:left="720" w:hanging="360"/>
      </w:pPr>
      <w:rPr>
        <w:rFonts w:ascii="Times New Roman" w:eastAsia="PMingLiU"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1DB5F73"/>
    <w:multiLevelType w:val="hybridMultilevel"/>
    <w:tmpl w:val="9ED26FEE"/>
    <w:lvl w:ilvl="0" w:tplc="0784A488">
      <w:start w:val="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24E2281"/>
    <w:multiLevelType w:val="hybridMultilevel"/>
    <w:tmpl w:val="CDE696E0"/>
    <w:lvl w:ilvl="0" w:tplc="123E3EAC">
      <w:start w:val="1"/>
      <w:numFmt w:val="bullet"/>
      <w:lvlText w:val="-"/>
      <w:lvlJc w:val="left"/>
      <w:pPr>
        <w:ind w:left="1080" w:hanging="360"/>
      </w:pPr>
      <w:rPr>
        <w:rFonts w:ascii="Times New Roman" w:eastAsia="Times New Roman"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0438011D"/>
    <w:multiLevelType w:val="hybridMultilevel"/>
    <w:tmpl w:val="6956A6EC"/>
    <w:lvl w:ilvl="0" w:tplc="F4FE5334">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85D7F19"/>
    <w:multiLevelType w:val="multilevel"/>
    <w:tmpl w:val="BF744D4C"/>
    <w:lvl w:ilvl="0">
      <w:start w:val="2"/>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7" w15:restartNumberingAfterBreak="0">
    <w:nsid w:val="098D17DF"/>
    <w:multiLevelType w:val="multilevel"/>
    <w:tmpl w:val="09F431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9E72685"/>
    <w:multiLevelType w:val="multilevel"/>
    <w:tmpl w:val="FE5EF338"/>
    <w:lvl w:ilvl="0">
      <w:start w:val="2"/>
      <w:numFmt w:val="decimal"/>
      <w:lvlText w:val="%1"/>
      <w:lvlJc w:val="left"/>
      <w:pPr>
        <w:ind w:left="480" w:hanging="480"/>
      </w:pPr>
      <w:rPr>
        <w:rFonts w:hint="default"/>
        <w:b/>
      </w:rPr>
    </w:lvl>
    <w:lvl w:ilvl="1">
      <w:start w:val="2"/>
      <w:numFmt w:val="decimal"/>
      <w:lvlText w:val="%1.%2"/>
      <w:lvlJc w:val="left"/>
      <w:pPr>
        <w:ind w:left="480" w:hanging="480"/>
      </w:pPr>
      <w:rPr>
        <w:rFonts w:hint="default"/>
        <w:b/>
      </w:rPr>
    </w:lvl>
    <w:lvl w:ilvl="2">
      <w:start w:val="4"/>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9" w15:restartNumberingAfterBreak="0">
    <w:nsid w:val="0A656435"/>
    <w:multiLevelType w:val="multilevel"/>
    <w:tmpl w:val="83887184"/>
    <w:lvl w:ilvl="0">
      <w:start w:val="4"/>
      <w:numFmt w:val="decimal"/>
      <w:lvlText w:val="%1."/>
      <w:lvlJc w:val="left"/>
      <w:pPr>
        <w:ind w:left="720" w:hanging="360"/>
      </w:pPr>
      <w:rPr>
        <w:rFonts w:hint="default"/>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val="0"/>
      </w:rPr>
    </w:lvl>
    <w:lvl w:ilvl="4">
      <w:start w:val="1"/>
      <w:numFmt w:val="decimal"/>
      <w:isLgl/>
      <w:lvlText w:val="%1.%2.%3.%4.%5."/>
      <w:lvlJc w:val="left"/>
      <w:pPr>
        <w:ind w:left="1440" w:hanging="1080"/>
      </w:pPr>
      <w:rPr>
        <w:rFonts w:hint="default"/>
        <w:b w:val="0"/>
      </w:rPr>
    </w:lvl>
    <w:lvl w:ilvl="5">
      <w:start w:val="1"/>
      <w:numFmt w:val="decimal"/>
      <w:isLgl/>
      <w:lvlText w:val="%1.%2.%3.%4.%5.%6."/>
      <w:lvlJc w:val="left"/>
      <w:pPr>
        <w:ind w:left="1440" w:hanging="1080"/>
      </w:pPr>
      <w:rPr>
        <w:rFonts w:hint="default"/>
        <w:b w:val="0"/>
      </w:rPr>
    </w:lvl>
    <w:lvl w:ilvl="6">
      <w:start w:val="1"/>
      <w:numFmt w:val="decimal"/>
      <w:isLgl/>
      <w:lvlText w:val="%1.%2.%3.%4.%5.%6.%7."/>
      <w:lvlJc w:val="left"/>
      <w:pPr>
        <w:ind w:left="1800" w:hanging="1440"/>
      </w:pPr>
      <w:rPr>
        <w:rFonts w:hint="default"/>
        <w:b w:val="0"/>
      </w:rPr>
    </w:lvl>
    <w:lvl w:ilvl="7">
      <w:start w:val="1"/>
      <w:numFmt w:val="decimal"/>
      <w:isLgl/>
      <w:lvlText w:val="%1.%2.%3.%4.%5.%6.%7.%8."/>
      <w:lvlJc w:val="left"/>
      <w:pPr>
        <w:ind w:left="1800" w:hanging="1440"/>
      </w:pPr>
      <w:rPr>
        <w:rFonts w:hint="default"/>
        <w:b w:val="0"/>
      </w:rPr>
    </w:lvl>
    <w:lvl w:ilvl="8">
      <w:start w:val="1"/>
      <w:numFmt w:val="decimal"/>
      <w:isLgl/>
      <w:lvlText w:val="%1.%2.%3.%4.%5.%6.%7.%8.%9."/>
      <w:lvlJc w:val="left"/>
      <w:pPr>
        <w:ind w:left="2160" w:hanging="1800"/>
      </w:pPr>
      <w:rPr>
        <w:rFonts w:hint="default"/>
        <w:b w:val="0"/>
      </w:rPr>
    </w:lvl>
  </w:abstractNum>
  <w:abstractNum w:abstractNumId="10" w15:restartNumberingAfterBreak="0">
    <w:nsid w:val="0DB33B5E"/>
    <w:multiLevelType w:val="hybridMultilevel"/>
    <w:tmpl w:val="9B14F7AE"/>
    <w:lvl w:ilvl="0" w:tplc="8BCCB0A0">
      <w:start w:val="1"/>
      <w:numFmt w:val="bullet"/>
      <w:lvlText w:val="•"/>
      <w:lvlJc w:val="left"/>
      <w:pPr>
        <w:tabs>
          <w:tab w:val="num" w:pos="720"/>
        </w:tabs>
        <w:ind w:left="720" w:hanging="360"/>
      </w:pPr>
      <w:rPr>
        <w:rFonts w:ascii="Arial" w:hAnsi="Arial" w:hint="default"/>
      </w:rPr>
    </w:lvl>
    <w:lvl w:ilvl="1" w:tplc="78EEB310">
      <w:start w:val="1087"/>
      <w:numFmt w:val="bullet"/>
      <w:lvlText w:val="•"/>
      <w:lvlJc w:val="left"/>
      <w:pPr>
        <w:tabs>
          <w:tab w:val="num" w:pos="1440"/>
        </w:tabs>
        <w:ind w:left="1440" w:hanging="360"/>
      </w:pPr>
      <w:rPr>
        <w:rFonts w:ascii="Arial" w:hAnsi="Arial" w:hint="default"/>
      </w:rPr>
    </w:lvl>
    <w:lvl w:ilvl="2" w:tplc="ED660630" w:tentative="1">
      <w:start w:val="1"/>
      <w:numFmt w:val="bullet"/>
      <w:lvlText w:val="•"/>
      <w:lvlJc w:val="left"/>
      <w:pPr>
        <w:tabs>
          <w:tab w:val="num" w:pos="2160"/>
        </w:tabs>
        <w:ind w:left="2160" w:hanging="360"/>
      </w:pPr>
      <w:rPr>
        <w:rFonts w:ascii="Arial" w:hAnsi="Arial" w:hint="default"/>
      </w:rPr>
    </w:lvl>
    <w:lvl w:ilvl="3" w:tplc="D886444A" w:tentative="1">
      <w:start w:val="1"/>
      <w:numFmt w:val="bullet"/>
      <w:lvlText w:val="•"/>
      <w:lvlJc w:val="left"/>
      <w:pPr>
        <w:tabs>
          <w:tab w:val="num" w:pos="2880"/>
        </w:tabs>
        <w:ind w:left="2880" w:hanging="360"/>
      </w:pPr>
      <w:rPr>
        <w:rFonts w:ascii="Arial" w:hAnsi="Arial" w:hint="default"/>
      </w:rPr>
    </w:lvl>
    <w:lvl w:ilvl="4" w:tplc="4EE63D42" w:tentative="1">
      <w:start w:val="1"/>
      <w:numFmt w:val="bullet"/>
      <w:lvlText w:val="•"/>
      <w:lvlJc w:val="left"/>
      <w:pPr>
        <w:tabs>
          <w:tab w:val="num" w:pos="3600"/>
        </w:tabs>
        <w:ind w:left="3600" w:hanging="360"/>
      </w:pPr>
      <w:rPr>
        <w:rFonts w:ascii="Arial" w:hAnsi="Arial" w:hint="default"/>
      </w:rPr>
    </w:lvl>
    <w:lvl w:ilvl="5" w:tplc="A056B61C" w:tentative="1">
      <w:start w:val="1"/>
      <w:numFmt w:val="bullet"/>
      <w:lvlText w:val="•"/>
      <w:lvlJc w:val="left"/>
      <w:pPr>
        <w:tabs>
          <w:tab w:val="num" w:pos="4320"/>
        </w:tabs>
        <w:ind w:left="4320" w:hanging="360"/>
      </w:pPr>
      <w:rPr>
        <w:rFonts w:ascii="Arial" w:hAnsi="Arial" w:hint="default"/>
      </w:rPr>
    </w:lvl>
    <w:lvl w:ilvl="6" w:tplc="010692B2" w:tentative="1">
      <w:start w:val="1"/>
      <w:numFmt w:val="bullet"/>
      <w:lvlText w:val="•"/>
      <w:lvlJc w:val="left"/>
      <w:pPr>
        <w:tabs>
          <w:tab w:val="num" w:pos="5040"/>
        </w:tabs>
        <w:ind w:left="5040" w:hanging="360"/>
      </w:pPr>
      <w:rPr>
        <w:rFonts w:ascii="Arial" w:hAnsi="Arial" w:hint="default"/>
      </w:rPr>
    </w:lvl>
    <w:lvl w:ilvl="7" w:tplc="35DA5688" w:tentative="1">
      <w:start w:val="1"/>
      <w:numFmt w:val="bullet"/>
      <w:lvlText w:val="•"/>
      <w:lvlJc w:val="left"/>
      <w:pPr>
        <w:tabs>
          <w:tab w:val="num" w:pos="5760"/>
        </w:tabs>
        <w:ind w:left="5760" w:hanging="360"/>
      </w:pPr>
      <w:rPr>
        <w:rFonts w:ascii="Arial" w:hAnsi="Arial" w:hint="default"/>
      </w:rPr>
    </w:lvl>
    <w:lvl w:ilvl="8" w:tplc="38F687EC"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0EBF62C0"/>
    <w:multiLevelType w:val="hybridMultilevel"/>
    <w:tmpl w:val="3848925A"/>
    <w:lvl w:ilvl="0" w:tplc="04090017">
      <w:start w:val="2"/>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2295EE2"/>
    <w:multiLevelType w:val="hybridMultilevel"/>
    <w:tmpl w:val="6388BB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5034C1B"/>
    <w:multiLevelType w:val="hybridMultilevel"/>
    <w:tmpl w:val="C0DEBBCC"/>
    <w:lvl w:ilvl="0" w:tplc="27E02928">
      <w:start w:val="1"/>
      <w:numFmt w:val="decimal"/>
      <w:lvlText w:val="%1."/>
      <w:lvlJc w:val="left"/>
      <w:pPr>
        <w:ind w:left="0" w:hanging="360"/>
      </w:pPr>
      <w:rPr>
        <w:rFonts w:ascii="Times New Roman" w:hAnsi="Times New Roman" w:cs="Times New Roman" w:hint="default"/>
      </w:rPr>
    </w:lvl>
    <w:lvl w:ilvl="1" w:tplc="04090019">
      <w:start w:val="1"/>
      <w:numFmt w:val="lowerLetter"/>
      <w:lvlText w:val="%2."/>
      <w:lvlJc w:val="left"/>
      <w:pPr>
        <w:ind w:left="720" w:hanging="360"/>
      </w:pPr>
    </w:lvl>
    <w:lvl w:ilvl="2" w:tplc="0409001B">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4" w15:restartNumberingAfterBreak="0">
    <w:nsid w:val="1CAF1A8A"/>
    <w:multiLevelType w:val="hybridMultilevel"/>
    <w:tmpl w:val="E2580736"/>
    <w:lvl w:ilvl="0" w:tplc="33D841C8">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DF61306"/>
    <w:multiLevelType w:val="multilevel"/>
    <w:tmpl w:val="F5484FA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27686F30"/>
    <w:multiLevelType w:val="hybridMultilevel"/>
    <w:tmpl w:val="1B3EA1DC"/>
    <w:lvl w:ilvl="0" w:tplc="1D2801AA">
      <w:start w:val="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D2A58F6"/>
    <w:multiLevelType w:val="hybridMultilevel"/>
    <w:tmpl w:val="B6A8CAB4"/>
    <w:lvl w:ilvl="0" w:tplc="F3C8D21C">
      <w:start w:val="1"/>
      <w:numFmt w:val="lowerLetter"/>
      <w:lvlText w:val="%1)"/>
      <w:lvlJc w:val="left"/>
      <w:pPr>
        <w:ind w:left="1080" w:hanging="360"/>
      </w:pPr>
      <w:rPr>
        <w:rFonts w:ascii="Times New Roman Bold" w:hAnsi="Times New Roman Bold"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2DB00457"/>
    <w:multiLevelType w:val="hybridMultilevel"/>
    <w:tmpl w:val="99B8D240"/>
    <w:lvl w:ilvl="0" w:tplc="96AA7A70">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4B82EC4"/>
    <w:multiLevelType w:val="hybridMultilevel"/>
    <w:tmpl w:val="6F9C50A2"/>
    <w:lvl w:ilvl="0" w:tplc="67CA4D8C">
      <w:start w:val="1"/>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9082C5B"/>
    <w:multiLevelType w:val="hybridMultilevel"/>
    <w:tmpl w:val="BC2210AE"/>
    <w:lvl w:ilvl="0" w:tplc="EBB8B75C">
      <w:start w:val="1"/>
      <w:numFmt w:val="lowerLetter"/>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3ED53252"/>
    <w:multiLevelType w:val="hybridMultilevel"/>
    <w:tmpl w:val="8D3CDA34"/>
    <w:lvl w:ilvl="0" w:tplc="044AC7C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3F2C4C0D"/>
    <w:multiLevelType w:val="hybridMultilevel"/>
    <w:tmpl w:val="250C9FD8"/>
    <w:lvl w:ilvl="0" w:tplc="10F293F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F794192"/>
    <w:multiLevelType w:val="multilevel"/>
    <w:tmpl w:val="B73AA01C"/>
    <w:lvl w:ilvl="0">
      <w:start w:val="3"/>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4" w15:restartNumberingAfterBreak="0">
    <w:nsid w:val="40680930"/>
    <w:multiLevelType w:val="hybridMultilevel"/>
    <w:tmpl w:val="41106F86"/>
    <w:lvl w:ilvl="0" w:tplc="F3C8D21C">
      <w:start w:val="1"/>
      <w:numFmt w:val="lowerLetter"/>
      <w:lvlText w:val="%1)"/>
      <w:lvlJc w:val="left"/>
      <w:pPr>
        <w:ind w:left="1080" w:hanging="360"/>
      </w:pPr>
      <w:rPr>
        <w:rFonts w:ascii="Times New Roman Bold" w:hAnsi="Times New Roman Bold"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44DC7391"/>
    <w:multiLevelType w:val="hybridMultilevel"/>
    <w:tmpl w:val="8D3CDA34"/>
    <w:lvl w:ilvl="0" w:tplc="044AC7C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460439D6"/>
    <w:multiLevelType w:val="multilevel"/>
    <w:tmpl w:val="F5484FA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7" w15:restartNumberingAfterBreak="0">
    <w:nsid w:val="4D5C07D4"/>
    <w:multiLevelType w:val="hybridMultilevel"/>
    <w:tmpl w:val="DC425364"/>
    <w:lvl w:ilvl="0" w:tplc="FB56D2AA">
      <w:start w:val="5"/>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2A543B6"/>
    <w:multiLevelType w:val="hybridMultilevel"/>
    <w:tmpl w:val="2EE2E916"/>
    <w:lvl w:ilvl="0" w:tplc="B1AC8DD8">
      <w:start w:val="5"/>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61D5F18"/>
    <w:multiLevelType w:val="multilevel"/>
    <w:tmpl w:val="F126FDFC"/>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sz w:val="24"/>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30" w15:restartNumberingAfterBreak="0">
    <w:nsid w:val="56B10DEC"/>
    <w:multiLevelType w:val="multilevel"/>
    <w:tmpl w:val="F126FDFC"/>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sz w:val="24"/>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31" w15:restartNumberingAfterBreak="0">
    <w:nsid w:val="58160F00"/>
    <w:multiLevelType w:val="hybridMultilevel"/>
    <w:tmpl w:val="EFC6350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9125479"/>
    <w:multiLevelType w:val="multilevel"/>
    <w:tmpl w:val="F16C40B2"/>
    <w:lvl w:ilvl="0">
      <w:start w:val="5"/>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3" w15:restartNumberingAfterBreak="0">
    <w:nsid w:val="596B17D2"/>
    <w:multiLevelType w:val="hybridMultilevel"/>
    <w:tmpl w:val="7A8242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C086028"/>
    <w:multiLevelType w:val="hybridMultilevel"/>
    <w:tmpl w:val="7AD6D0AA"/>
    <w:lvl w:ilvl="0" w:tplc="FB56D2AA">
      <w:start w:val="5"/>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CF036CC"/>
    <w:multiLevelType w:val="hybridMultilevel"/>
    <w:tmpl w:val="EFD66C1A"/>
    <w:lvl w:ilvl="0" w:tplc="BDE0BF5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21459A1"/>
    <w:multiLevelType w:val="hybridMultilevel"/>
    <w:tmpl w:val="02F6CE58"/>
    <w:lvl w:ilvl="0" w:tplc="AC4A17C4">
      <w:start w:val="1"/>
      <w:numFmt w:val="lowerLetter"/>
      <w:lvlText w:val="%1)"/>
      <w:lvlJc w:val="left"/>
      <w:pPr>
        <w:ind w:left="2160" w:hanging="360"/>
      </w:pPr>
      <w:rPr>
        <w:rFonts w:hint="default"/>
        <w:b/>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7" w15:restartNumberingAfterBreak="0">
    <w:nsid w:val="625D523E"/>
    <w:multiLevelType w:val="hybridMultilevel"/>
    <w:tmpl w:val="8D3CDA34"/>
    <w:lvl w:ilvl="0" w:tplc="044AC7C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64CB033C"/>
    <w:multiLevelType w:val="hybridMultilevel"/>
    <w:tmpl w:val="B6A8CAB4"/>
    <w:lvl w:ilvl="0" w:tplc="F3C8D21C">
      <w:start w:val="1"/>
      <w:numFmt w:val="lowerLetter"/>
      <w:lvlText w:val="%1)"/>
      <w:lvlJc w:val="left"/>
      <w:pPr>
        <w:ind w:left="1080" w:hanging="360"/>
      </w:pPr>
      <w:rPr>
        <w:rFonts w:ascii="Times New Roman Bold" w:hAnsi="Times New Roman Bold"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6C2757FA"/>
    <w:multiLevelType w:val="hybridMultilevel"/>
    <w:tmpl w:val="E4843648"/>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15:restartNumberingAfterBreak="0">
    <w:nsid w:val="6C40122C"/>
    <w:multiLevelType w:val="multilevel"/>
    <w:tmpl w:val="83887184"/>
    <w:lvl w:ilvl="0">
      <w:start w:val="4"/>
      <w:numFmt w:val="decimal"/>
      <w:lvlText w:val="%1."/>
      <w:lvlJc w:val="left"/>
      <w:pPr>
        <w:ind w:left="720" w:hanging="360"/>
      </w:pPr>
      <w:rPr>
        <w:rFonts w:hint="default"/>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val="0"/>
      </w:rPr>
    </w:lvl>
    <w:lvl w:ilvl="4">
      <w:start w:val="1"/>
      <w:numFmt w:val="decimal"/>
      <w:isLgl/>
      <w:lvlText w:val="%1.%2.%3.%4.%5."/>
      <w:lvlJc w:val="left"/>
      <w:pPr>
        <w:ind w:left="1440" w:hanging="1080"/>
      </w:pPr>
      <w:rPr>
        <w:rFonts w:hint="default"/>
        <w:b w:val="0"/>
      </w:rPr>
    </w:lvl>
    <w:lvl w:ilvl="5">
      <w:start w:val="1"/>
      <w:numFmt w:val="decimal"/>
      <w:isLgl/>
      <w:lvlText w:val="%1.%2.%3.%4.%5.%6."/>
      <w:lvlJc w:val="left"/>
      <w:pPr>
        <w:ind w:left="1440" w:hanging="1080"/>
      </w:pPr>
      <w:rPr>
        <w:rFonts w:hint="default"/>
        <w:b w:val="0"/>
      </w:rPr>
    </w:lvl>
    <w:lvl w:ilvl="6">
      <w:start w:val="1"/>
      <w:numFmt w:val="decimal"/>
      <w:isLgl/>
      <w:lvlText w:val="%1.%2.%3.%4.%5.%6.%7."/>
      <w:lvlJc w:val="left"/>
      <w:pPr>
        <w:ind w:left="1800" w:hanging="1440"/>
      </w:pPr>
      <w:rPr>
        <w:rFonts w:hint="default"/>
        <w:b w:val="0"/>
      </w:rPr>
    </w:lvl>
    <w:lvl w:ilvl="7">
      <w:start w:val="1"/>
      <w:numFmt w:val="decimal"/>
      <w:isLgl/>
      <w:lvlText w:val="%1.%2.%3.%4.%5.%6.%7.%8."/>
      <w:lvlJc w:val="left"/>
      <w:pPr>
        <w:ind w:left="1800" w:hanging="1440"/>
      </w:pPr>
      <w:rPr>
        <w:rFonts w:hint="default"/>
        <w:b w:val="0"/>
      </w:rPr>
    </w:lvl>
    <w:lvl w:ilvl="8">
      <w:start w:val="1"/>
      <w:numFmt w:val="decimal"/>
      <w:isLgl/>
      <w:lvlText w:val="%1.%2.%3.%4.%5.%6.%7.%8.%9."/>
      <w:lvlJc w:val="left"/>
      <w:pPr>
        <w:ind w:left="2160" w:hanging="1800"/>
      </w:pPr>
      <w:rPr>
        <w:rFonts w:hint="default"/>
        <w:b w:val="0"/>
      </w:rPr>
    </w:lvl>
  </w:abstractNum>
  <w:abstractNum w:abstractNumId="41" w15:restartNumberingAfterBreak="0">
    <w:nsid w:val="6F142FD0"/>
    <w:multiLevelType w:val="hybridMultilevel"/>
    <w:tmpl w:val="8D3CDA34"/>
    <w:lvl w:ilvl="0" w:tplc="044AC7C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15:restartNumberingAfterBreak="0">
    <w:nsid w:val="77F549B9"/>
    <w:multiLevelType w:val="hybridMultilevel"/>
    <w:tmpl w:val="96908BEA"/>
    <w:lvl w:ilvl="0" w:tplc="0409000F">
      <w:start w:val="5"/>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9F34382"/>
    <w:multiLevelType w:val="hybridMultilevel"/>
    <w:tmpl w:val="8D3CDA34"/>
    <w:lvl w:ilvl="0" w:tplc="044AC7C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15:restartNumberingAfterBreak="0">
    <w:nsid w:val="7EA144F8"/>
    <w:multiLevelType w:val="multilevel"/>
    <w:tmpl w:val="8C0636B0"/>
    <w:lvl w:ilvl="0">
      <w:start w:val="1"/>
      <w:numFmt w:val="decimal"/>
      <w:pStyle w:val="Heading1"/>
      <w:lvlText w:val="%1"/>
      <w:lvlJc w:val="left"/>
      <w:pPr>
        <w:ind w:left="360" w:hanging="360"/>
      </w:pPr>
      <w:rPr>
        <w:rFonts w:hint="default"/>
      </w:rPr>
    </w:lvl>
    <w:lvl w:ilvl="1">
      <w:start w:val="1"/>
      <w:numFmt w:val="decimal"/>
      <w:pStyle w:val="Heading2"/>
      <w:lvlText w:val="%1.%2"/>
      <w:lvlJc w:val="left"/>
      <w:pPr>
        <w:ind w:left="792" w:hanging="792"/>
      </w:pPr>
      <w:rPr>
        <w:rFonts w:hint="default"/>
        <w:sz w:val="24"/>
      </w:rPr>
    </w:lvl>
    <w:lvl w:ilvl="2">
      <w:start w:val="1"/>
      <w:numFmt w:val="decimal"/>
      <w:pStyle w:val="Heading3"/>
      <w:lvlText w:val="%1.%2.%3"/>
      <w:lvlJc w:val="left"/>
      <w:pPr>
        <w:ind w:left="1224" w:hanging="1224"/>
      </w:pPr>
      <w:rPr>
        <w:rFonts w:cs="Times New Roman" w:hint="default"/>
        <w:b/>
        <w:bCs w:val="0"/>
        <w:i w:val="0"/>
        <w:iCs w:val="0"/>
        <w:caps w:val="0"/>
        <w:smallCaps w:val="0"/>
        <w:strike w:val="0"/>
        <w:dstrike w:val="0"/>
        <w:outline w:val="0"/>
        <w:shadow w:val="0"/>
        <w:emboss w:val="0"/>
        <w:imprint w:val="0"/>
        <w:noProof w:val="0"/>
        <w:vanish w:val="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1728" w:hanging="1728"/>
      </w:pPr>
      <w:rPr>
        <w:rFonts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lvlText w:val="%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44"/>
  </w:num>
  <w:num w:numId="2">
    <w:abstractNumId w:val="33"/>
  </w:num>
  <w:num w:numId="3">
    <w:abstractNumId w:val="15"/>
  </w:num>
  <w:num w:numId="4">
    <w:abstractNumId w:val="13"/>
  </w:num>
  <w:num w:numId="5">
    <w:abstractNumId w:val="26"/>
  </w:num>
  <w:num w:numId="6">
    <w:abstractNumId w:val="4"/>
  </w:num>
  <w:num w:numId="7">
    <w:abstractNumId w:val="6"/>
  </w:num>
  <w:num w:numId="8">
    <w:abstractNumId w:val="8"/>
  </w:num>
  <w:num w:numId="9">
    <w:abstractNumId w:val="10"/>
  </w:num>
  <w:num w:numId="10">
    <w:abstractNumId w:val="23"/>
  </w:num>
  <w:num w:numId="11">
    <w:abstractNumId w:val="1"/>
  </w:num>
  <w:num w:numId="12">
    <w:abstractNumId w:val="3"/>
  </w:num>
  <w:num w:numId="13">
    <w:abstractNumId w:val="19"/>
  </w:num>
  <w:num w:numId="14">
    <w:abstractNumId w:val="40"/>
  </w:num>
  <w:num w:numId="15">
    <w:abstractNumId w:val="34"/>
  </w:num>
  <w:num w:numId="16">
    <w:abstractNumId w:val="42"/>
  </w:num>
  <w:num w:numId="17">
    <w:abstractNumId w:val="32"/>
  </w:num>
  <w:num w:numId="18">
    <w:abstractNumId w:val="16"/>
  </w:num>
  <w:num w:numId="19">
    <w:abstractNumId w:val="2"/>
  </w:num>
  <w:num w:numId="20">
    <w:abstractNumId w:val="27"/>
  </w:num>
  <w:num w:numId="21">
    <w:abstractNumId w:val="9"/>
  </w:num>
  <w:num w:numId="22">
    <w:abstractNumId w:val="7"/>
  </w:num>
  <w:num w:numId="23">
    <w:abstractNumId w:val="30"/>
  </w:num>
  <w:num w:numId="24">
    <w:abstractNumId w:val="29"/>
  </w:num>
  <w:num w:numId="25">
    <w:abstractNumId w:val="31"/>
  </w:num>
  <w:num w:numId="26">
    <w:abstractNumId w:val="12"/>
  </w:num>
  <w:num w:numId="27">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5"/>
  </w:num>
  <w:num w:numId="29">
    <w:abstractNumId w:val="36"/>
  </w:num>
  <w:num w:numId="30">
    <w:abstractNumId w:val="35"/>
  </w:num>
  <w:num w:numId="31">
    <w:abstractNumId w:val="28"/>
  </w:num>
  <w:num w:numId="32">
    <w:abstractNumId w:val="11"/>
  </w:num>
  <w:num w:numId="33">
    <w:abstractNumId w:val="38"/>
  </w:num>
  <w:num w:numId="34">
    <w:abstractNumId w:val="20"/>
  </w:num>
  <w:num w:numId="35">
    <w:abstractNumId w:val="24"/>
  </w:num>
  <w:num w:numId="36">
    <w:abstractNumId w:val="17"/>
  </w:num>
  <w:num w:numId="37">
    <w:abstractNumId w:val="0"/>
  </w:num>
  <w:num w:numId="38">
    <w:abstractNumId w:val="22"/>
  </w:num>
  <w:num w:numId="39">
    <w:abstractNumId w:val="18"/>
  </w:num>
  <w:num w:numId="40">
    <w:abstractNumId w:val="14"/>
  </w:num>
  <w:num w:numId="41">
    <w:abstractNumId w:val="37"/>
  </w:num>
  <w:num w:numId="42">
    <w:abstractNumId w:val="43"/>
  </w:num>
  <w:num w:numId="43">
    <w:abstractNumId w:val="41"/>
  </w:num>
  <w:num w:numId="44">
    <w:abstractNumId w:val="25"/>
  </w:num>
  <w:num w:numId="45">
    <w:abstractNumId w:val="21"/>
  </w:num>
  <w:num w:numId="46">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GB" w:vendorID="64" w:dllVersion="6" w:nlCheck="1" w:checkStyle="0"/>
  <w:activeWritingStyle w:appName="MSWord" w:lang="en-US" w:vendorID="64" w:dllVersion="6" w:nlCheck="1" w:checkStyle="0"/>
  <w:activeWritingStyle w:appName="MSWord" w:lang="en-GB" w:vendorID="64" w:dllVersion="131078" w:nlCheck="1" w:checkStyle="0"/>
  <w:activeWritingStyle w:appName="MSWord" w:lang="en-US" w:vendorID="64" w:dllVersion="131078" w:nlCheck="1" w:checkStyle="0"/>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NzE2MzMwNzYxNTExMjNQ0lEKTi0uzszPAykwsqgFAEBAs5EtAAAA"/>
  </w:docVars>
  <w:rsids>
    <w:rsidRoot w:val="00E7481C"/>
    <w:rsid w:val="00005F50"/>
    <w:rsid w:val="00020E12"/>
    <w:rsid w:val="0002170B"/>
    <w:rsid w:val="00022536"/>
    <w:rsid w:val="00034274"/>
    <w:rsid w:val="00040040"/>
    <w:rsid w:val="00044537"/>
    <w:rsid w:val="00044F8B"/>
    <w:rsid w:val="000471B0"/>
    <w:rsid w:val="00050994"/>
    <w:rsid w:val="000511D8"/>
    <w:rsid w:val="00061E8F"/>
    <w:rsid w:val="000875B2"/>
    <w:rsid w:val="00087EB4"/>
    <w:rsid w:val="00090086"/>
    <w:rsid w:val="000951A5"/>
    <w:rsid w:val="00095BC9"/>
    <w:rsid w:val="000A1854"/>
    <w:rsid w:val="000A2AA9"/>
    <w:rsid w:val="000B0BEA"/>
    <w:rsid w:val="000B4BE9"/>
    <w:rsid w:val="000D7EDA"/>
    <w:rsid w:val="000E177B"/>
    <w:rsid w:val="000E2FB5"/>
    <w:rsid w:val="000E5E68"/>
    <w:rsid w:val="000F0F61"/>
    <w:rsid w:val="000F12F2"/>
    <w:rsid w:val="000F1DE7"/>
    <w:rsid w:val="000F48DC"/>
    <w:rsid w:val="00107B78"/>
    <w:rsid w:val="00111DE4"/>
    <w:rsid w:val="001167E3"/>
    <w:rsid w:val="001221BB"/>
    <w:rsid w:val="00133285"/>
    <w:rsid w:val="0013626D"/>
    <w:rsid w:val="0013657A"/>
    <w:rsid w:val="00147B03"/>
    <w:rsid w:val="00151175"/>
    <w:rsid w:val="00153D43"/>
    <w:rsid w:val="00161883"/>
    <w:rsid w:val="001620AA"/>
    <w:rsid w:val="0017737E"/>
    <w:rsid w:val="00193564"/>
    <w:rsid w:val="00196997"/>
    <w:rsid w:val="00197B8D"/>
    <w:rsid w:val="00197DCA"/>
    <w:rsid w:val="001B4686"/>
    <w:rsid w:val="001B6C9B"/>
    <w:rsid w:val="001C2F9D"/>
    <w:rsid w:val="001D4C58"/>
    <w:rsid w:val="001D765C"/>
    <w:rsid w:val="001F0C1A"/>
    <w:rsid w:val="001F2442"/>
    <w:rsid w:val="001F60CF"/>
    <w:rsid w:val="001F60DA"/>
    <w:rsid w:val="002017EE"/>
    <w:rsid w:val="0020270A"/>
    <w:rsid w:val="002036DC"/>
    <w:rsid w:val="00207806"/>
    <w:rsid w:val="00214671"/>
    <w:rsid w:val="00217FAC"/>
    <w:rsid w:val="00221FC6"/>
    <w:rsid w:val="002231E8"/>
    <w:rsid w:val="002246E9"/>
    <w:rsid w:val="0022686A"/>
    <w:rsid w:val="0023363C"/>
    <w:rsid w:val="002363EE"/>
    <w:rsid w:val="00236D30"/>
    <w:rsid w:val="0024228F"/>
    <w:rsid w:val="002435A0"/>
    <w:rsid w:val="002471A8"/>
    <w:rsid w:val="00254577"/>
    <w:rsid w:val="002546B8"/>
    <w:rsid w:val="00254E3C"/>
    <w:rsid w:val="00262504"/>
    <w:rsid w:val="002646BA"/>
    <w:rsid w:val="002656F2"/>
    <w:rsid w:val="002730C3"/>
    <w:rsid w:val="002774E8"/>
    <w:rsid w:val="0028028E"/>
    <w:rsid w:val="0028101F"/>
    <w:rsid w:val="002861FD"/>
    <w:rsid w:val="002879DF"/>
    <w:rsid w:val="00291F7C"/>
    <w:rsid w:val="002950D3"/>
    <w:rsid w:val="002962AA"/>
    <w:rsid w:val="00296337"/>
    <w:rsid w:val="00297C7F"/>
    <w:rsid w:val="002A77F9"/>
    <w:rsid w:val="002B5734"/>
    <w:rsid w:val="002C73C3"/>
    <w:rsid w:val="002D4DA6"/>
    <w:rsid w:val="002D6482"/>
    <w:rsid w:val="002D7AAF"/>
    <w:rsid w:val="002E0E8F"/>
    <w:rsid w:val="002E38C1"/>
    <w:rsid w:val="002F0E4C"/>
    <w:rsid w:val="002F4CBD"/>
    <w:rsid w:val="00300F57"/>
    <w:rsid w:val="003041FD"/>
    <w:rsid w:val="00304D5E"/>
    <w:rsid w:val="00304DD0"/>
    <w:rsid w:val="00304E4D"/>
    <w:rsid w:val="00306433"/>
    <w:rsid w:val="00310C7B"/>
    <w:rsid w:val="00322C2A"/>
    <w:rsid w:val="00323346"/>
    <w:rsid w:val="0033143E"/>
    <w:rsid w:val="00331D8C"/>
    <w:rsid w:val="00334955"/>
    <w:rsid w:val="00337638"/>
    <w:rsid w:val="00341C6E"/>
    <w:rsid w:val="00341E63"/>
    <w:rsid w:val="00344AAB"/>
    <w:rsid w:val="00346DE4"/>
    <w:rsid w:val="00353E38"/>
    <w:rsid w:val="00362DA3"/>
    <w:rsid w:val="0036464D"/>
    <w:rsid w:val="00364B62"/>
    <w:rsid w:val="00370DE6"/>
    <w:rsid w:val="00372502"/>
    <w:rsid w:val="00381BBC"/>
    <w:rsid w:val="003851F1"/>
    <w:rsid w:val="003870A7"/>
    <w:rsid w:val="00391A28"/>
    <w:rsid w:val="003921D9"/>
    <w:rsid w:val="0039228F"/>
    <w:rsid w:val="0039643B"/>
    <w:rsid w:val="0039768A"/>
    <w:rsid w:val="003A0437"/>
    <w:rsid w:val="003A6A99"/>
    <w:rsid w:val="003B1F90"/>
    <w:rsid w:val="003B3F57"/>
    <w:rsid w:val="003B64CD"/>
    <w:rsid w:val="003C3D28"/>
    <w:rsid w:val="003C57BD"/>
    <w:rsid w:val="003D545A"/>
    <w:rsid w:val="003D75EC"/>
    <w:rsid w:val="003E06F6"/>
    <w:rsid w:val="003E0C87"/>
    <w:rsid w:val="003F2426"/>
    <w:rsid w:val="004036B0"/>
    <w:rsid w:val="00403DE0"/>
    <w:rsid w:val="00414A2B"/>
    <w:rsid w:val="00414BDB"/>
    <w:rsid w:val="0042013F"/>
    <w:rsid w:val="00420219"/>
    <w:rsid w:val="00421E43"/>
    <w:rsid w:val="00431109"/>
    <w:rsid w:val="00431A85"/>
    <w:rsid w:val="00436F39"/>
    <w:rsid w:val="00451B7A"/>
    <w:rsid w:val="00460DF8"/>
    <w:rsid w:val="00462C19"/>
    <w:rsid w:val="00467BDD"/>
    <w:rsid w:val="00470DF8"/>
    <w:rsid w:val="00472573"/>
    <w:rsid w:val="004751A7"/>
    <w:rsid w:val="00483EAE"/>
    <w:rsid w:val="004A078C"/>
    <w:rsid w:val="004C1229"/>
    <w:rsid w:val="004C66E7"/>
    <w:rsid w:val="004D1D6F"/>
    <w:rsid w:val="004D2E78"/>
    <w:rsid w:val="004D77AC"/>
    <w:rsid w:val="004E1DC3"/>
    <w:rsid w:val="004E254B"/>
    <w:rsid w:val="004E392D"/>
    <w:rsid w:val="004F5156"/>
    <w:rsid w:val="0050090F"/>
    <w:rsid w:val="00502F21"/>
    <w:rsid w:val="0050344C"/>
    <w:rsid w:val="0050558C"/>
    <w:rsid w:val="00505BE5"/>
    <w:rsid w:val="00505CD5"/>
    <w:rsid w:val="0050728A"/>
    <w:rsid w:val="0051137B"/>
    <w:rsid w:val="0051537F"/>
    <w:rsid w:val="005166F3"/>
    <w:rsid w:val="00522474"/>
    <w:rsid w:val="00523DE8"/>
    <w:rsid w:val="005300AE"/>
    <w:rsid w:val="005326C1"/>
    <w:rsid w:val="005339C7"/>
    <w:rsid w:val="0053414A"/>
    <w:rsid w:val="00534170"/>
    <w:rsid w:val="0054297B"/>
    <w:rsid w:val="00543B32"/>
    <w:rsid w:val="00547E89"/>
    <w:rsid w:val="00553298"/>
    <w:rsid w:val="00557FCF"/>
    <w:rsid w:val="005628D4"/>
    <w:rsid w:val="00566BC8"/>
    <w:rsid w:val="00575BDB"/>
    <w:rsid w:val="00576197"/>
    <w:rsid w:val="005766A4"/>
    <w:rsid w:val="00580290"/>
    <w:rsid w:val="0058390F"/>
    <w:rsid w:val="0058656A"/>
    <w:rsid w:val="00592418"/>
    <w:rsid w:val="00595958"/>
    <w:rsid w:val="00595A9A"/>
    <w:rsid w:val="005A1615"/>
    <w:rsid w:val="005A6453"/>
    <w:rsid w:val="005B2DD5"/>
    <w:rsid w:val="005B586C"/>
    <w:rsid w:val="005B5A1A"/>
    <w:rsid w:val="005C02DD"/>
    <w:rsid w:val="005C18D1"/>
    <w:rsid w:val="005C3F3C"/>
    <w:rsid w:val="005C6B7E"/>
    <w:rsid w:val="005C6D59"/>
    <w:rsid w:val="005D3050"/>
    <w:rsid w:val="005D66EB"/>
    <w:rsid w:val="005E0A54"/>
    <w:rsid w:val="005E10F8"/>
    <w:rsid w:val="005E2004"/>
    <w:rsid w:val="005E4372"/>
    <w:rsid w:val="005F3C48"/>
    <w:rsid w:val="0060541F"/>
    <w:rsid w:val="00611A9D"/>
    <w:rsid w:val="00615E2D"/>
    <w:rsid w:val="006324A2"/>
    <w:rsid w:val="00642151"/>
    <w:rsid w:val="006433AC"/>
    <w:rsid w:val="00643625"/>
    <w:rsid w:val="00645681"/>
    <w:rsid w:val="00653CEA"/>
    <w:rsid w:val="0066033A"/>
    <w:rsid w:val="006676BD"/>
    <w:rsid w:val="00673837"/>
    <w:rsid w:val="00675146"/>
    <w:rsid w:val="006773E1"/>
    <w:rsid w:val="006828BB"/>
    <w:rsid w:val="00684FEB"/>
    <w:rsid w:val="006903D6"/>
    <w:rsid w:val="00692E30"/>
    <w:rsid w:val="00693E88"/>
    <w:rsid w:val="006A79C5"/>
    <w:rsid w:val="006B318B"/>
    <w:rsid w:val="006B3960"/>
    <w:rsid w:val="006B729C"/>
    <w:rsid w:val="006C19C2"/>
    <w:rsid w:val="006C5338"/>
    <w:rsid w:val="006C6765"/>
    <w:rsid w:val="006C71F1"/>
    <w:rsid w:val="006D0405"/>
    <w:rsid w:val="006D2CA8"/>
    <w:rsid w:val="006E20A0"/>
    <w:rsid w:val="006F04BA"/>
    <w:rsid w:val="006F0701"/>
    <w:rsid w:val="00700807"/>
    <w:rsid w:val="0070085E"/>
    <w:rsid w:val="00700C96"/>
    <w:rsid w:val="0070228D"/>
    <w:rsid w:val="00705721"/>
    <w:rsid w:val="007127CE"/>
    <w:rsid w:val="00716C6C"/>
    <w:rsid w:val="00723D09"/>
    <w:rsid w:val="0072602C"/>
    <w:rsid w:val="0073062E"/>
    <w:rsid w:val="007330E0"/>
    <w:rsid w:val="00734725"/>
    <w:rsid w:val="00735C00"/>
    <w:rsid w:val="007407A1"/>
    <w:rsid w:val="00752D22"/>
    <w:rsid w:val="00753EFA"/>
    <w:rsid w:val="00761D95"/>
    <w:rsid w:val="00776703"/>
    <w:rsid w:val="007802A6"/>
    <w:rsid w:val="00787F47"/>
    <w:rsid w:val="007917F8"/>
    <w:rsid w:val="00792DDD"/>
    <w:rsid w:val="007937C5"/>
    <w:rsid w:val="007972C2"/>
    <w:rsid w:val="007A2810"/>
    <w:rsid w:val="007A35D1"/>
    <w:rsid w:val="007A70AB"/>
    <w:rsid w:val="007B1198"/>
    <w:rsid w:val="007B2138"/>
    <w:rsid w:val="007B23B9"/>
    <w:rsid w:val="007C2C84"/>
    <w:rsid w:val="007C3E6E"/>
    <w:rsid w:val="007D6526"/>
    <w:rsid w:val="007D762C"/>
    <w:rsid w:val="007E16A6"/>
    <w:rsid w:val="007E4DC2"/>
    <w:rsid w:val="007F28A3"/>
    <w:rsid w:val="007F2ED6"/>
    <w:rsid w:val="007F36C4"/>
    <w:rsid w:val="007F6334"/>
    <w:rsid w:val="007F65A7"/>
    <w:rsid w:val="00800C67"/>
    <w:rsid w:val="008076E8"/>
    <w:rsid w:val="0081403A"/>
    <w:rsid w:val="008208B9"/>
    <w:rsid w:val="00823921"/>
    <w:rsid w:val="00825418"/>
    <w:rsid w:val="008276FB"/>
    <w:rsid w:val="00830123"/>
    <w:rsid w:val="00837666"/>
    <w:rsid w:val="008378CC"/>
    <w:rsid w:val="0084125E"/>
    <w:rsid w:val="008454F2"/>
    <w:rsid w:val="00850094"/>
    <w:rsid w:val="00855B3D"/>
    <w:rsid w:val="00866A05"/>
    <w:rsid w:val="0086700D"/>
    <w:rsid w:val="00875E95"/>
    <w:rsid w:val="00885134"/>
    <w:rsid w:val="0088640A"/>
    <w:rsid w:val="00891860"/>
    <w:rsid w:val="008A5627"/>
    <w:rsid w:val="008A57EF"/>
    <w:rsid w:val="008B09C7"/>
    <w:rsid w:val="008B1C2B"/>
    <w:rsid w:val="008B1EF6"/>
    <w:rsid w:val="008B4801"/>
    <w:rsid w:val="008B6CFE"/>
    <w:rsid w:val="008C034C"/>
    <w:rsid w:val="008C0E35"/>
    <w:rsid w:val="008D6002"/>
    <w:rsid w:val="008D781C"/>
    <w:rsid w:val="008E0320"/>
    <w:rsid w:val="008E05CA"/>
    <w:rsid w:val="008E26EF"/>
    <w:rsid w:val="008E5986"/>
    <w:rsid w:val="008F5B2A"/>
    <w:rsid w:val="009000A9"/>
    <w:rsid w:val="00901578"/>
    <w:rsid w:val="0090176F"/>
    <w:rsid w:val="00912760"/>
    <w:rsid w:val="0091486F"/>
    <w:rsid w:val="00915BD9"/>
    <w:rsid w:val="009252CD"/>
    <w:rsid w:val="009263C0"/>
    <w:rsid w:val="00942501"/>
    <w:rsid w:val="0094253B"/>
    <w:rsid w:val="00943451"/>
    <w:rsid w:val="009438E4"/>
    <w:rsid w:val="009443AC"/>
    <w:rsid w:val="00947782"/>
    <w:rsid w:val="00950E6B"/>
    <w:rsid w:val="009558BF"/>
    <w:rsid w:val="009565CF"/>
    <w:rsid w:val="0096193C"/>
    <w:rsid w:val="009656CD"/>
    <w:rsid w:val="0097133E"/>
    <w:rsid w:val="0097154D"/>
    <w:rsid w:val="00974649"/>
    <w:rsid w:val="00977B80"/>
    <w:rsid w:val="0098040B"/>
    <w:rsid w:val="00980703"/>
    <w:rsid w:val="009923AE"/>
    <w:rsid w:val="00993A61"/>
    <w:rsid w:val="009A42B6"/>
    <w:rsid w:val="009A5952"/>
    <w:rsid w:val="009A764F"/>
    <w:rsid w:val="009C0246"/>
    <w:rsid w:val="009C0734"/>
    <w:rsid w:val="009C223B"/>
    <w:rsid w:val="009C5D5C"/>
    <w:rsid w:val="009D1E0B"/>
    <w:rsid w:val="009D2CA7"/>
    <w:rsid w:val="009D4406"/>
    <w:rsid w:val="009D76DC"/>
    <w:rsid w:val="009E646F"/>
    <w:rsid w:val="009F243C"/>
    <w:rsid w:val="009F2C9F"/>
    <w:rsid w:val="00A0158D"/>
    <w:rsid w:val="00A01887"/>
    <w:rsid w:val="00A01DD9"/>
    <w:rsid w:val="00A06568"/>
    <w:rsid w:val="00A2053B"/>
    <w:rsid w:val="00A2480E"/>
    <w:rsid w:val="00A24FCF"/>
    <w:rsid w:val="00A30270"/>
    <w:rsid w:val="00A417F5"/>
    <w:rsid w:val="00A44A86"/>
    <w:rsid w:val="00A46744"/>
    <w:rsid w:val="00A53027"/>
    <w:rsid w:val="00A53781"/>
    <w:rsid w:val="00A53FA9"/>
    <w:rsid w:val="00A54A4D"/>
    <w:rsid w:val="00A672F5"/>
    <w:rsid w:val="00A707FF"/>
    <w:rsid w:val="00A9763C"/>
    <w:rsid w:val="00A9773B"/>
    <w:rsid w:val="00AA49B1"/>
    <w:rsid w:val="00AC2D3E"/>
    <w:rsid w:val="00AC2DE4"/>
    <w:rsid w:val="00AC753C"/>
    <w:rsid w:val="00AD0EB3"/>
    <w:rsid w:val="00AD2FCD"/>
    <w:rsid w:val="00AD6269"/>
    <w:rsid w:val="00AD64B3"/>
    <w:rsid w:val="00AE3C8D"/>
    <w:rsid w:val="00AF16A1"/>
    <w:rsid w:val="00AF380E"/>
    <w:rsid w:val="00AF4C71"/>
    <w:rsid w:val="00AF69F8"/>
    <w:rsid w:val="00B05504"/>
    <w:rsid w:val="00B07344"/>
    <w:rsid w:val="00B11555"/>
    <w:rsid w:val="00B15946"/>
    <w:rsid w:val="00B23E68"/>
    <w:rsid w:val="00B2551B"/>
    <w:rsid w:val="00B2595E"/>
    <w:rsid w:val="00B33BC4"/>
    <w:rsid w:val="00B35CE8"/>
    <w:rsid w:val="00B4120F"/>
    <w:rsid w:val="00B632EE"/>
    <w:rsid w:val="00B74058"/>
    <w:rsid w:val="00B75B90"/>
    <w:rsid w:val="00B7624C"/>
    <w:rsid w:val="00B837E8"/>
    <w:rsid w:val="00B85830"/>
    <w:rsid w:val="00B92B19"/>
    <w:rsid w:val="00B958F6"/>
    <w:rsid w:val="00BA1D1F"/>
    <w:rsid w:val="00BA22A3"/>
    <w:rsid w:val="00BB0B8F"/>
    <w:rsid w:val="00BB57E9"/>
    <w:rsid w:val="00BE73CD"/>
    <w:rsid w:val="00BF1B30"/>
    <w:rsid w:val="00BF326C"/>
    <w:rsid w:val="00BF450C"/>
    <w:rsid w:val="00C00534"/>
    <w:rsid w:val="00C016BB"/>
    <w:rsid w:val="00C017B5"/>
    <w:rsid w:val="00C04FDA"/>
    <w:rsid w:val="00C07897"/>
    <w:rsid w:val="00C11DF1"/>
    <w:rsid w:val="00C12B16"/>
    <w:rsid w:val="00C14D58"/>
    <w:rsid w:val="00C16918"/>
    <w:rsid w:val="00C17EBE"/>
    <w:rsid w:val="00C20A47"/>
    <w:rsid w:val="00C21D14"/>
    <w:rsid w:val="00C21F58"/>
    <w:rsid w:val="00C236D7"/>
    <w:rsid w:val="00C23999"/>
    <w:rsid w:val="00C4769A"/>
    <w:rsid w:val="00C5030A"/>
    <w:rsid w:val="00C56511"/>
    <w:rsid w:val="00C574A9"/>
    <w:rsid w:val="00C60027"/>
    <w:rsid w:val="00C614DD"/>
    <w:rsid w:val="00C6715E"/>
    <w:rsid w:val="00C6742A"/>
    <w:rsid w:val="00C67CC4"/>
    <w:rsid w:val="00C71A81"/>
    <w:rsid w:val="00C80F3B"/>
    <w:rsid w:val="00C85DF6"/>
    <w:rsid w:val="00C91AC0"/>
    <w:rsid w:val="00CA19E2"/>
    <w:rsid w:val="00CA1B3A"/>
    <w:rsid w:val="00CA2ABE"/>
    <w:rsid w:val="00CA2E64"/>
    <w:rsid w:val="00CA7604"/>
    <w:rsid w:val="00CB2CEB"/>
    <w:rsid w:val="00CC32F9"/>
    <w:rsid w:val="00CC3F88"/>
    <w:rsid w:val="00CC7652"/>
    <w:rsid w:val="00CC76CC"/>
    <w:rsid w:val="00CD34EF"/>
    <w:rsid w:val="00CE1EFF"/>
    <w:rsid w:val="00CE3B09"/>
    <w:rsid w:val="00CE3E6F"/>
    <w:rsid w:val="00CF0D20"/>
    <w:rsid w:val="00CF272F"/>
    <w:rsid w:val="00CF5126"/>
    <w:rsid w:val="00CF5FC5"/>
    <w:rsid w:val="00CF7C36"/>
    <w:rsid w:val="00D012EE"/>
    <w:rsid w:val="00D07557"/>
    <w:rsid w:val="00D13554"/>
    <w:rsid w:val="00D15237"/>
    <w:rsid w:val="00D163C3"/>
    <w:rsid w:val="00D17765"/>
    <w:rsid w:val="00D21527"/>
    <w:rsid w:val="00D231BC"/>
    <w:rsid w:val="00D30049"/>
    <w:rsid w:val="00D344B6"/>
    <w:rsid w:val="00D434D6"/>
    <w:rsid w:val="00D53D5A"/>
    <w:rsid w:val="00D55D98"/>
    <w:rsid w:val="00D84225"/>
    <w:rsid w:val="00D9681B"/>
    <w:rsid w:val="00DA08E8"/>
    <w:rsid w:val="00DA2C62"/>
    <w:rsid w:val="00DA67CE"/>
    <w:rsid w:val="00DB0026"/>
    <w:rsid w:val="00DB2B84"/>
    <w:rsid w:val="00DC25DF"/>
    <w:rsid w:val="00DD0539"/>
    <w:rsid w:val="00DD26AD"/>
    <w:rsid w:val="00DD333F"/>
    <w:rsid w:val="00DE03AF"/>
    <w:rsid w:val="00DE215D"/>
    <w:rsid w:val="00DE446E"/>
    <w:rsid w:val="00DE697E"/>
    <w:rsid w:val="00DF0F26"/>
    <w:rsid w:val="00DF463D"/>
    <w:rsid w:val="00E00AD5"/>
    <w:rsid w:val="00E02612"/>
    <w:rsid w:val="00E04C65"/>
    <w:rsid w:val="00E05B14"/>
    <w:rsid w:val="00E15B9A"/>
    <w:rsid w:val="00E16E75"/>
    <w:rsid w:val="00E22A0F"/>
    <w:rsid w:val="00E27EC8"/>
    <w:rsid w:val="00E355FC"/>
    <w:rsid w:val="00E40262"/>
    <w:rsid w:val="00E426B1"/>
    <w:rsid w:val="00E42FBF"/>
    <w:rsid w:val="00E51E0E"/>
    <w:rsid w:val="00E538B4"/>
    <w:rsid w:val="00E55873"/>
    <w:rsid w:val="00E62DBF"/>
    <w:rsid w:val="00E62DF6"/>
    <w:rsid w:val="00E63866"/>
    <w:rsid w:val="00E7060D"/>
    <w:rsid w:val="00E7481C"/>
    <w:rsid w:val="00E76D46"/>
    <w:rsid w:val="00E80E22"/>
    <w:rsid w:val="00E80FB9"/>
    <w:rsid w:val="00E83D85"/>
    <w:rsid w:val="00E84B82"/>
    <w:rsid w:val="00E85EB7"/>
    <w:rsid w:val="00E927CE"/>
    <w:rsid w:val="00E936CB"/>
    <w:rsid w:val="00E93E4A"/>
    <w:rsid w:val="00E97FC1"/>
    <w:rsid w:val="00EA32AC"/>
    <w:rsid w:val="00EA698B"/>
    <w:rsid w:val="00EB08D4"/>
    <w:rsid w:val="00EB2471"/>
    <w:rsid w:val="00EB35D5"/>
    <w:rsid w:val="00EB6E7F"/>
    <w:rsid w:val="00EC0213"/>
    <w:rsid w:val="00EC19EA"/>
    <w:rsid w:val="00EC6502"/>
    <w:rsid w:val="00ED1816"/>
    <w:rsid w:val="00ED35B5"/>
    <w:rsid w:val="00ED54B4"/>
    <w:rsid w:val="00ED7A1A"/>
    <w:rsid w:val="00EF323C"/>
    <w:rsid w:val="00EF4433"/>
    <w:rsid w:val="00F00021"/>
    <w:rsid w:val="00F016AD"/>
    <w:rsid w:val="00F0182B"/>
    <w:rsid w:val="00F01BE0"/>
    <w:rsid w:val="00F06825"/>
    <w:rsid w:val="00F07C4D"/>
    <w:rsid w:val="00F15D94"/>
    <w:rsid w:val="00F16468"/>
    <w:rsid w:val="00F30BD7"/>
    <w:rsid w:val="00F3102F"/>
    <w:rsid w:val="00F3691C"/>
    <w:rsid w:val="00F44255"/>
    <w:rsid w:val="00F44B2C"/>
    <w:rsid w:val="00F47A02"/>
    <w:rsid w:val="00F50E01"/>
    <w:rsid w:val="00F51922"/>
    <w:rsid w:val="00F51D9A"/>
    <w:rsid w:val="00F62604"/>
    <w:rsid w:val="00F6347B"/>
    <w:rsid w:val="00F64B48"/>
    <w:rsid w:val="00F705B7"/>
    <w:rsid w:val="00F739C9"/>
    <w:rsid w:val="00F81F50"/>
    <w:rsid w:val="00F82511"/>
    <w:rsid w:val="00F83BE5"/>
    <w:rsid w:val="00F8641E"/>
    <w:rsid w:val="00F919D9"/>
    <w:rsid w:val="00F9293E"/>
    <w:rsid w:val="00F94592"/>
    <w:rsid w:val="00F96A16"/>
    <w:rsid w:val="00F96BDD"/>
    <w:rsid w:val="00FA00B2"/>
    <w:rsid w:val="00FB5F1C"/>
    <w:rsid w:val="00FB6601"/>
    <w:rsid w:val="00FC26A3"/>
    <w:rsid w:val="00FC5E18"/>
    <w:rsid w:val="00FC7532"/>
    <w:rsid w:val="00FD11C5"/>
    <w:rsid w:val="00FE201C"/>
    <w:rsid w:val="00FE4CDA"/>
    <w:rsid w:val="00FE65B9"/>
    <w:rsid w:val="00FE7AC6"/>
    <w:rsid w:val="00FF00BA"/>
    <w:rsid w:val="00FF4A80"/>
    <w:rsid w:val="00FF590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84F2B7B"/>
  <w15:chartTrackingRefBased/>
  <w15:docId w15:val="{0090E4EA-81F1-4D9A-9F26-BFE0AA8D01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870A7"/>
    <w:pPr>
      <w:spacing w:after="0" w:line="360" w:lineRule="auto"/>
      <w:jc w:val="both"/>
    </w:pPr>
    <w:rPr>
      <w:rFonts w:ascii="Times New Roman" w:hAnsi="Times New Roman"/>
      <w:sz w:val="24"/>
    </w:rPr>
  </w:style>
  <w:style w:type="paragraph" w:styleId="Heading1">
    <w:name w:val="heading 1"/>
    <w:basedOn w:val="Normal"/>
    <w:next w:val="Normal"/>
    <w:link w:val="Heading1Char"/>
    <w:uiPriority w:val="9"/>
    <w:qFormat/>
    <w:rsid w:val="00716C6C"/>
    <w:pPr>
      <w:keepNext/>
      <w:numPr>
        <w:numId w:val="1"/>
      </w:numPr>
      <w:outlineLvl w:val="0"/>
    </w:pPr>
    <w:rPr>
      <w:rFonts w:eastAsia="Times New Roman" w:cs="Times New Roman"/>
      <w:b/>
      <w:bCs/>
      <w:kern w:val="32"/>
      <w:sz w:val="28"/>
      <w:szCs w:val="32"/>
      <w:lang w:val="en-GB"/>
    </w:rPr>
  </w:style>
  <w:style w:type="paragraph" w:styleId="Heading2">
    <w:name w:val="heading 2"/>
    <w:basedOn w:val="Normal"/>
    <w:next w:val="Normal"/>
    <w:link w:val="Heading2Char"/>
    <w:uiPriority w:val="9"/>
    <w:unhideWhenUsed/>
    <w:qFormat/>
    <w:rsid w:val="00F016AD"/>
    <w:pPr>
      <w:keepNext/>
      <w:numPr>
        <w:ilvl w:val="1"/>
        <w:numId w:val="1"/>
      </w:numPr>
      <w:outlineLvl w:val="1"/>
    </w:pPr>
    <w:rPr>
      <w:rFonts w:eastAsia="Times New Roman" w:cs="Times New Roman"/>
      <w:b/>
      <w:bCs/>
      <w:i/>
      <w:iCs/>
      <w:sz w:val="28"/>
      <w:szCs w:val="28"/>
      <w:lang w:val="en-GB"/>
    </w:rPr>
  </w:style>
  <w:style w:type="paragraph" w:styleId="Heading3">
    <w:name w:val="heading 3"/>
    <w:basedOn w:val="Normal"/>
    <w:next w:val="Normal"/>
    <w:link w:val="Heading3Char"/>
    <w:uiPriority w:val="9"/>
    <w:unhideWhenUsed/>
    <w:qFormat/>
    <w:rsid w:val="00F016AD"/>
    <w:pPr>
      <w:keepNext/>
      <w:numPr>
        <w:ilvl w:val="2"/>
        <w:numId w:val="1"/>
      </w:numPr>
      <w:spacing w:before="240" w:after="60" w:line="240" w:lineRule="auto"/>
      <w:outlineLvl w:val="2"/>
    </w:pPr>
    <w:rPr>
      <w:rFonts w:eastAsia="Times New Roman" w:cs="Times New Roman"/>
      <w:b/>
      <w:bCs/>
      <w:sz w:val="26"/>
      <w:szCs w:val="26"/>
      <w:lang w:val="en-GB"/>
    </w:rPr>
  </w:style>
  <w:style w:type="paragraph" w:styleId="Heading4">
    <w:name w:val="heading 4"/>
    <w:basedOn w:val="Normal"/>
    <w:next w:val="Normal"/>
    <w:link w:val="Heading4Char"/>
    <w:uiPriority w:val="9"/>
    <w:unhideWhenUsed/>
    <w:qFormat/>
    <w:rsid w:val="004E392D"/>
    <w:pPr>
      <w:keepNext/>
      <w:numPr>
        <w:ilvl w:val="3"/>
        <w:numId w:val="1"/>
      </w:numPr>
      <w:spacing w:before="240" w:after="60" w:line="240" w:lineRule="auto"/>
      <w:outlineLvl w:val="3"/>
    </w:pPr>
    <w:rPr>
      <w:rFonts w:eastAsia="Times New Roman" w:cs="Times New Roman"/>
      <w:b/>
      <w:bCs/>
      <w:sz w:val="26"/>
      <w:szCs w:val="26"/>
      <w:lang w:val="en-GB"/>
    </w:rPr>
  </w:style>
  <w:style w:type="paragraph" w:styleId="Heading5">
    <w:name w:val="heading 5"/>
    <w:basedOn w:val="Normal"/>
    <w:next w:val="Normal"/>
    <w:link w:val="Heading5Char"/>
    <w:uiPriority w:val="9"/>
    <w:unhideWhenUsed/>
    <w:qFormat/>
    <w:rsid w:val="004E392D"/>
    <w:pPr>
      <w:numPr>
        <w:ilvl w:val="4"/>
        <w:numId w:val="1"/>
      </w:numPr>
      <w:spacing w:before="240" w:after="60" w:line="240" w:lineRule="auto"/>
      <w:outlineLvl w:val="4"/>
    </w:pPr>
    <w:rPr>
      <w:rFonts w:eastAsia="Times New Roman" w:cs="Times New Roman"/>
      <w:b/>
      <w:bCs/>
      <w:i/>
      <w:iCs/>
      <w:sz w:val="26"/>
      <w:szCs w:val="26"/>
      <w:lang w:val="en-GB"/>
    </w:rPr>
  </w:style>
  <w:style w:type="paragraph" w:styleId="Heading6">
    <w:name w:val="heading 6"/>
    <w:basedOn w:val="Normal"/>
    <w:next w:val="Normal"/>
    <w:link w:val="Heading6Char"/>
    <w:uiPriority w:val="9"/>
    <w:unhideWhenUsed/>
    <w:qFormat/>
    <w:rsid w:val="004E392D"/>
    <w:pPr>
      <w:spacing w:before="240" w:after="60" w:line="240" w:lineRule="auto"/>
      <w:outlineLvl w:val="5"/>
    </w:pPr>
    <w:rPr>
      <w:rFonts w:eastAsia="Times New Roman" w:cs="Times New Roman"/>
      <w:b/>
      <w:bCs/>
      <w:szCs w:val="24"/>
      <w:lang w:val="en-GB"/>
    </w:rPr>
  </w:style>
  <w:style w:type="paragraph" w:styleId="Heading7">
    <w:name w:val="heading 7"/>
    <w:basedOn w:val="Normal"/>
    <w:next w:val="Normal"/>
    <w:link w:val="Heading7Char"/>
    <w:uiPriority w:val="9"/>
    <w:semiHidden/>
    <w:unhideWhenUsed/>
    <w:qFormat/>
    <w:rsid w:val="004E392D"/>
    <w:pPr>
      <w:keepNext/>
      <w:keepLines/>
      <w:spacing w:before="40" w:line="240" w:lineRule="auto"/>
      <w:outlineLvl w:val="6"/>
    </w:pPr>
    <w:rPr>
      <w:rFonts w:asciiTheme="majorHAnsi" w:eastAsiaTheme="majorEastAsia" w:hAnsiTheme="majorHAnsi" w:cstheme="majorBidi"/>
      <w:i/>
      <w:iCs/>
      <w:color w:val="1F4D78" w:themeColor="accent1" w:themeShade="7F"/>
      <w:szCs w:val="24"/>
      <w:lang w:val="en-GB"/>
    </w:rPr>
  </w:style>
  <w:style w:type="paragraph" w:styleId="Heading8">
    <w:name w:val="heading 8"/>
    <w:basedOn w:val="Normal"/>
    <w:next w:val="Normal"/>
    <w:link w:val="Heading8Char"/>
    <w:uiPriority w:val="9"/>
    <w:semiHidden/>
    <w:unhideWhenUsed/>
    <w:qFormat/>
    <w:rsid w:val="004E392D"/>
    <w:pPr>
      <w:keepNext/>
      <w:keepLines/>
      <w:spacing w:before="40" w:line="240" w:lineRule="auto"/>
      <w:outlineLvl w:val="7"/>
    </w:pPr>
    <w:rPr>
      <w:rFonts w:asciiTheme="majorHAnsi" w:eastAsiaTheme="majorEastAsia" w:hAnsiTheme="majorHAnsi" w:cstheme="majorBidi"/>
      <w:color w:val="272727" w:themeColor="text1" w:themeTint="D8"/>
      <w:sz w:val="21"/>
      <w:szCs w:val="21"/>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C6715E"/>
    <w:pPr>
      <w:tabs>
        <w:tab w:val="center" w:pos="4513"/>
        <w:tab w:val="right" w:pos="9026"/>
      </w:tabs>
      <w:spacing w:line="240" w:lineRule="auto"/>
    </w:pPr>
  </w:style>
  <w:style w:type="character" w:customStyle="1" w:styleId="FooterChar">
    <w:name w:val="Footer Char"/>
    <w:basedOn w:val="DefaultParagraphFont"/>
    <w:link w:val="Footer"/>
    <w:uiPriority w:val="99"/>
    <w:rsid w:val="00C6715E"/>
  </w:style>
  <w:style w:type="paragraph" w:styleId="ListParagraph">
    <w:name w:val="List Paragraph"/>
    <w:basedOn w:val="Normal"/>
    <w:uiPriority w:val="34"/>
    <w:qFormat/>
    <w:rsid w:val="004E392D"/>
    <w:pPr>
      <w:spacing w:line="240" w:lineRule="auto"/>
      <w:ind w:left="720"/>
      <w:contextualSpacing/>
    </w:pPr>
    <w:rPr>
      <w:rFonts w:eastAsia="Times New Roman" w:cs="Times New Roman"/>
      <w:szCs w:val="24"/>
      <w:lang w:val="en-GB"/>
    </w:rPr>
  </w:style>
  <w:style w:type="character" w:customStyle="1" w:styleId="Heading1Char">
    <w:name w:val="Heading 1 Char"/>
    <w:basedOn w:val="DefaultParagraphFont"/>
    <w:link w:val="Heading1"/>
    <w:uiPriority w:val="9"/>
    <w:rsid w:val="00716C6C"/>
    <w:rPr>
      <w:rFonts w:ascii="Times New Roman" w:eastAsia="Times New Roman" w:hAnsi="Times New Roman" w:cs="Times New Roman"/>
      <w:b/>
      <w:bCs/>
      <w:kern w:val="32"/>
      <w:sz w:val="28"/>
      <w:szCs w:val="32"/>
      <w:lang w:val="en-GB"/>
    </w:rPr>
  </w:style>
  <w:style w:type="character" w:customStyle="1" w:styleId="Heading2Char">
    <w:name w:val="Heading 2 Char"/>
    <w:basedOn w:val="DefaultParagraphFont"/>
    <w:link w:val="Heading2"/>
    <w:uiPriority w:val="9"/>
    <w:rsid w:val="00F016AD"/>
    <w:rPr>
      <w:rFonts w:ascii="Times New Roman" w:eastAsia="Times New Roman" w:hAnsi="Times New Roman" w:cs="Times New Roman"/>
      <w:b/>
      <w:bCs/>
      <w:i/>
      <w:iCs/>
      <w:sz w:val="28"/>
      <w:szCs w:val="28"/>
      <w:lang w:val="en-GB"/>
    </w:rPr>
  </w:style>
  <w:style w:type="character" w:customStyle="1" w:styleId="Heading3Char">
    <w:name w:val="Heading 3 Char"/>
    <w:basedOn w:val="DefaultParagraphFont"/>
    <w:link w:val="Heading3"/>
    <w:uiPriority w:val="9"/>
    <w:rsid w:val="00F016AD"/>
    <w:rPr>
      <w:rFonts w:ascii="Times New Roman" w:eastAsia="Times New Roman" w:hAnsi="Times New Roman" w:cs="Times New Roman"/>
      <w:b/>
      <w:bCs/>
      <w:sz w:val="26"/>
      <w:szCs w:val="26"/>
      <w:lang w:val="en-GB"/>
    </w:rPr>
  </w:style>
  <w:style w:type="character" w:customStyle="1" w:styleId="Heading4Char">
    <w:name w:val="Heading 4 Char"/>
    <w:basedOn w:val="DefaultParagraphFont"/>
    <w:link w:val="Heading4"/>
    <w:uiPriority w:val="9"/>
    <w:rsid w:val="004E392D"/>
    <w:rPr>
      <w:rFonts w:ascii="Times New Roman" w:eastAsia="Times New Roman" w:hAnsi="Times New Roman" w:cs="Times New Roman"/>
      <w:b/>
      <w:bCs/>
      <w:sz w:val="26"/>
      <w:szCs w:val="26"/>
      <w:lang w:val="en-GB"/>
    </w:rPr>
  </w:style>
  <w:style w:type="character" w:customStyle="1" w:styleId="Heading5Char">
    <w:name w:val="Heading 5 Char"/>
    <w:basedOn w:val="DefaultParagraphFont"/>
    <w:link w:val="Heading5"/>
    <w:uiPriority w:val="9"/>
    <w:rsid w:val="004E392D"/>
    <w:rPr>
      <w:rFonts w:ascii="Times New Roman" w:eastAsia="Times New Roman" w:hAnsi="Times New Roman" w:cs="Times New Roman"/>
      <w:b/>
      <w:bCs/>
      <w:i/>
      <w:iCs/>
      <w:sz w:val="26"/>
      <w:szCs w:val="26"/>
      <w:lang w:val="en-GB"/>
    </w:rPr>
  </w:style>
  <w:style w:type="character" w:customStyle="1" w:styleId="Heading6Char">
    <w:name w:val="Heading 6 Char"/>
    <w:basedOn w:val="DefaultParagraphFont"/>
    <w:link w:val="Heading6"/>
    <w:uiPriority w:val="9"/>
    <w:rsid w:val="004E392D"/>
    <w:rPr>
      <w:rFonts w:ascii="Times New Roman" w:eastAsia="Times New Roman" w:hAnsi="Times New Roman" w:cs="Times New Roman"/>
      <w:b/>
      <w:bCs/>
      <w:sz w:val="24"/>
      <w:szCs w:val="24"/>
      <w:lang w:val="en-GB"/>
    </w:rPr>
  </w:style>
  <w:style w:type="character" w:customStyle="1" w:styleId="Heading7Char">
    <w:name w:val="Heading 7 Char"/>
    <w:basedOn w:val="DefaultParagraphFont"/>
    <w:link w:val="Heading7"/>
    <w:uiPriority w:val="9"/>
    <w:semiHidden/>
    <w:rsid w:val="004E392D"/>
    <w:rPr>
      <w:rFonts w:asciiTheme="majorHAnsi" w:eastAsiaTheme="majorEastAsia" w:hAnsiTheme="majorHAnsi" w:cstheme="majorBidi"/>
      <w:i/>
      <w:iCs/>
      <w:color w:val="1F4D78" w:themeColor="accent1" w:themeShade="7F"/>
      <w:sz w:val="24"/>
      <w:szCs w:val="24"/>
      <w:lang w:val="en-GB"/>
    </w:rPr>
  </w:style>
  <w:style w:type="character" w:customStyle="1" w:styleId="Heading8Char">
    <w:name w:val="Heading 8 Char"/>
    <w:basedOn w:val="DefaultParagraphFont"/>
    <w:link w:val="Heading8"/>
    <w:uiPriority w:val="9"/>
    <w:semiHidden/>
    <w:rsid w:val="004E392D"/>
    <w:rPr>
      <w:rFonts w:asciiTheme="majorHAnsi" w:eastAsiaTheme="majorEastAsia" w:hAnsiTheme="majorHAnsi" w:cstheme="majorBidi"/>
      <w:color w:val="272727" w:themeColor="text1" w:themeTint="D8"/>
      <w:sz w:val="21"/>
      <w:szCs w:val="21"/>
      <w:lang w:val="en-GB"/>
    </w:rPr>
  </w:style>
  <w:style w:type="numbering" w:customStyle="1" w:styleId="NoList1">
    <w:name w:val="No List1"/>
    <w:next w:val="NoList"/>
    <w:uiPriority w:val="99"/>
    <w:semiHidden/>
    <w:unhideWhenUsed/>
    <w:rsid w:val="004E392D"/>
  </w:style>
  <w:style w:type="character" w:styleId="Hyperlink">
    <w:name w:val="Hyperlink"/>
    <w:uiPriority w:val="99"/>
    <w:unhideWhenUsed/>
    <w:rsid w:val="004E392D"/>
    <w:rPr>
      <w:color w:val="auto"/>
      <w:u w:val="single"/>
    </w:rPr>
  </w:style>
  <w:style w:type="paragraph" w:styleId="TOC1">
    <w:name w:val="toc 1"/>
    <w:basedOn w:val="Normal"/>
    <w:next w:val="Normal"/>
    <w:autoRedefine/>
    <w:uiPriority w:val="39"/>
    <w:unhideWhenUsed/>
    <w:qFormat/>
    <w:rsid w:val="00147B03"/>
    <w:pPr>
      <w:spacing w:before="120" w:line="240" w:lineRule="auto"/>
    </w:pPr>
    <w:rPr>
      <w:rFonts w:eastAsia="Times New Roman" w:cstheme="minorHAnsi"/>
      <w:b/>
      <w:bCs/>
      <w:iCs/>
      <w:szCs w:val="24"/>
      <w:lang w:val="en-GB"/>
    </w:rPr>
  </w:style>
  <w:style w:type="paragraph" w:styleId="TOC2">
    <w:name w:val="toc 2"/>
    <w:basedOn w:val="Normal"/>
    <w:next w:val="Normal"/>
    <w:autoRedefine/>
    <w:uiPriority w:val="39"/>
    <w:unhideWhenUsed/>
    <w:rsid w:val="00ED54B4"/>
    <w:pPr>
      <w:spacing w:before="120" w:after="60" w:line="240" w:lineRule="auto"/>
      <w:ind w:left="245"/>
    </w:pPr>
    <w:rPr>
      <w:rFonts w:eastAsia="Times New Roman" w:cstheme="minorHAnsi"/>
      <w:b/>
      <w:bCs/>
      <w:lang w:val="en-GB"/>
    </w:rPr>
  </w:style>
  <w:style w:type="paragraph" w:styleId="TOC3">
    <w:name w:val="toc 3"/>
    <w:basedOn w:val="Normal"/>
    <w:next w:val="Normal"/>
    <w:autoRedefine/>
    <w:uiPriority w:val="39"/>
    <w:unhideWhenUsed/>
    <w:rsid w:val="00ED54B4"/>
    <w:pPr>
      <w:spacing w:line="240" w:lineRule="auto"/>
      <w:ind w:left="480"/>
    </w:pPr>
    <w:rPr>
      <w:rFonts w:eastAsia="Times New Roman" w:cstheme="minorHAnsi"/>
      <w:b/>
      <w:sz w:val="20"/>
      <w:szCs w:val="24"/>
      <w:lang w:val="en-GB"/>
    </w:rPr>
  </w:style>
  <w:style w:type="paragraph" w:styleId="TOC4">
    <w:name w:val="toc 4"/>
    <w:basedOn w:val="Normal"/>
    <w:next w:val="Normal"/>
    <w:autoRedefine/>
    <w:uiPriority w:val="39"/>
    <w:unhideWhenUsed/>
    <w:rsid w:val="004E392D"/>
    <w:pPr>
      <w:spacing w:line="240" w:lineRule="auto"/>
      <w:ind w:left="720"/>
    </w:pPr>
    <w:rPr>
      <w:rFonts w:eastAsia="Times New Roman" w:cstheme="minorHAnsi"/>
      <w:sz w:val="20"/>
      <w:szCs w:val="24"/>
      <w:lang w:val="en-GB"/>
    </w:rPr>
  </w:style>
  <w:style w:type="paragraph" w:styleId="TOC5">
    <w:name w:val="toc 5"/>
    <w:basedOn w:val="Normal"/>
    <w:next w:val="Normal"/>
    <w:autoRedefine/>
    <w:uiPriority w:val="39"/>
    <w:unhideWhenUsed/>
    <w:rsid w:val="004E392D"/>
    <w:pPr>
      <w:spacing w:line="240" w:lineRule="auto"/>
      <w:ind w:left="960"/>
    </w:pPr>
    <w:rPr>
      <w:rFonts w:eastAsia="Times New Roman" w:cstheme="minorHAnsi"/>
      <w:sz w:val="20"/>
      <w:szCs w:val="24"/>
      <w:lang w:val="en-GB"/>
    </w:rPr>
  </w:style>
  <w:style w:type="paragraph" w:styleId="TOC6">
    <w:name w:val="toc 6"/>
    <w:basedOn w:val="Normal"/>
    <w:next w:val="Normal"/>
    <w:autoRedefine/>
    <w:uiPriority w:val="39"/>
    <w:unhideWhenUsed/>
    <w:rsid w:val="004E392D"/>
    <w:pPr>
      <w:spacing w:line="240" w:lineRule="auto"/>
      <w:ind w:left="1200"/>
    </w:pPr>
    <w:rPr>
      <w:rFonts w:eastAsia="Times New Roman" w:cstheme="minorHAnsi"/>
      <w:sz w:val="20"/>
      <w:szCs w:val="24"/>
      <w:lang w:val="en-GB"/>
    </w:rPr>
  </w:style>
  <w:style w:type="paragraph" w:styleId="TOC7">
    <w:name w:val="toc 7"/>
    <w:basedOn w:val="Normal"/>
    <w:next w:val="Normal"/>
    <w:autoRedefine/>
    <w:uiPriority w:val="39"/>
    <w:unhideWhenUsed/>
    <w:rsid w:val="004E392D"/>
    <w:pPr>
      <w:spacing w:line="240" w:lineRule="auto"/>
      <w:ind w:left="1440"/>
    </w:pPr>
    <w:rPr>
      <w:rFonts w:eastAsia="Times New Roman" w:cstheme="minorHAnsi"/>
      <w:sz w:val="20"/>
      <w:szCs w:val="24"/>
      <w:lang w:val="en-GB"/>
    </w:rPr>
  </w:style>
  <w:style w:type="paragraph" w:styleId="TOC8">
    <w:name w:val="toc 8"/>
    <w:basedOn w:val="Normal"/>
    <w:next w:val="Normal"/>
    <w:autoRedefine/>
    <w:uiPriority w:val="39"/>
    <w:unhideWhenUsed/>
    <w:rsid w:val="004E392D"/>
    <w:pPr>
      <w:spacing w:line="240" w:lineRule="auto"/>
      <w:ind w:left="1680"/>
    </w:pPr>
    <w:rPr>
      <w:rFonts w:eastAsia="Times New Roman" w:cstheme="minorHAnsi"/>
      <w:sz w:val="20"/>
      <w:szCs w:val="24"/>
      <w:lang w:val="en-GB"/>
    </w:rPr>
  </w:style>
  <w:style w:type="paragraph" w:styleId="TOC9">
    <w:name w:val="toc 9"/>
    <w:basedOn w:val="Normal"/>
    <w:next w:val="Normal"/>
    <w:autoRedefine/>
    <w:uiPriority w:val="39"/>
    <w:unhideWhenUsed/>
    <w:rsid w:val="004E392D"/>
    <w:pPr>
      <w:spacing w:line="240" w:lineRule="auto"/>
      <w:ind w:left="1920"/>
    </w:pPr>
    <w:rPr>
      <w:rFonts w:eastAsia="Times New Roman" w:cstheme="minorHAnsi"/>
      <w:sz w:val="20"/>
      <w:szCs w:val="24"/>
      <w:lang w:val="en-GB"/>
    </w:rPr>
  </w:style>
  <w:style w:type="paragraph" w:styleId="TOCHeading">
    <w:name w:val="TOC Heading"/>
    <w:basedOn w:val="Heading1"/>
    <w:next w:val="Normal"/>
    <w:uiPriority w:val="39"/>
    <w:unhideWhenUsed/>
    <w:qFormat/>
    <w:rsid w:val="004E392D"/>
    <w:pPr>
      <w:keepLines/>
      <w:spacing w:before="480" w:line="276" w:lineRule="auto"/>
      <w:outlineLvl w:val="9"/>
    </w:pPr>
    <w:rPr>
      <w:color w:val="365F91"/>
      <w:kern w:val="0"/>
      <w:szCs w:val="28"/>
      <w:lang w:eastAsia="ja-JP"/>
    </w:rPr>
  </w:style>
  <w:style w:type="paragraph" w:styleId="Header">
    <w:name w:val="header"/>
    <w:basedOn w:val="Normal"/>
    <w:link w:val="HeaderChar"/>
    <w:uiPriority w:val="99"/>
    <w:unhideWhenUsed/>
    <w:rsid w:val="004E392D"/>
    <w:pPr>
      <w:tabs>
        <w:tab w:val="center" w:pos="4680"/>
        <w:tab w:val="right" w:pos="9360"/>
      </w:tabs>
      <w:spacing w:line="240" w:lineRule="auto"/>
    </w:pPr>
    <w:rPr>
      <w:rFonts w:eastAsia="Times New Roman" w:cs="Times New Roman"/>
      <w:szCs w:val="24"/>
      <w:lang w:val="en-GB"/>
    </w:rPr>
  </w:style>
  <w:style w:type="character" w:customStyle="1" w:styleId="HeaderChar">
    <w:name w:val="Header Char"/>
    <w:basedOn w:val="DefaultParagraphFont"/>
    <w:link w:val="Header"/>
    <w:uiPriority w:val="99"/>
    <w:rsid w:val="004E392D"/>
    <w:rPr>
      <w:rFonts w:ascii="Times New Roman" w:eastAsia="Times New Roman" w:hAnsi="Times New Roman" w:cs="Times New Roman"/>
      <w:sz w:val="24"/>
      <w:szCs w:val="24"/>
      <w:lang w:val="en-GB"/>
    </w:rPr>
  </w:style>
  <w:style w:type="paragraph" w:styleId="BalloonText">
    <w:name w:val="Balloon Text"/>
    <w:basedOn w:val="Normal"/>
    <w:link w:val="BalloonTextChar"/>
    <w:unhideWhenUsed/>
    <w:rsid w:val="004E392D"/>
    <w:pPr>
      <w:spacing w:line="240" w:lineRule="auto"/>
    </w:pPr>
    <w:rPr>
      <w:rFonts w:ascii="Segoe UI" w:eastAsia="Times New Roman" w:hAnsi="Segoe UI" w:cs="Segoe UI"/>
      <w:sz w:val="18"/>
      <w:szCs w:val="18"/>
      <w:lang w:val="en-GB"/>
    </w:rPr>
  </w:style>
  <w:style w:type="character" w:customStyle="1" w:styleId="BalloonTextChar">
    <w:name w:val="Balloon Text Char"/>
    <w:basedOn w:val="DefaultParagraphFont"/>
    <w:link w:val="BalloonText"/>
    <w:rsid w:val="004E392D"/>
    <w:rPr>
      <w:rFonts w:ascii="Segoe UI" w:eastAsia="Times New Roman" w:hAnsi="Segoe UI" w:cs="Segoe UI"/>
      <w:sz w:val="18"/>
      <w:szCs w:val="18"/>
      <w:lang w:val="en-GB"/>
    </w:rPr>
  </w:style>
  <w:style w:type="paragraph" w:styleId="Title">
    <w:name w:val="Title"/>
    <w:basedOn w:val="Normal"/>
    <w:next w:val="Normal"/>
    <w:link w:val="TitleChar"/>
    <w:uiPriority w:val="10"/>
    <w:qFormat/>
    <w:rsid w:val="004E392D"/>
    <w:pPr>
      <w:spacing w:line="240" w:lineRule="auto"/>
      <w:contextualSpacing/>
    </w:pPr>
    <w:rPr>
      <w:rFonts w:asciiTheme="majorHAnsi" w:eastAsiaTheme="majorEastAsia" w:hAnsiTheme="majorHAnsi" w:cstheme="majorBidi"/>
      <w:spacing w:val="-10"/>
      <w:kern w:val="28"/>
      <w:sz w:val="36"/>
      <w:szCs w:val="56"/>
      <w:lang w:val="en-GB"/>
    </w:rPr>
  </w:style>
  <w:style w:type="character" w:customStyle="1" w:styleId="TitleChar">
    <w:name w:val="Title Char"/>
    <w:basedOn w:val="DefaultParagraphFont"/>
    <w:link w:val="Title"/>
    <w:uiPriority w:val="10"/>
    <w:rsid w:val="004E392D"/>
    <w:rPr>
      <w:rFonts w:asciiTheme="majorHAnsi" w:eastAsiaTheme="majorEastAsia" w:hAnsiTheme="majorHAnsi" w:cstheme="majorBidi"/>
      <w:spacing w:val="-10"/>
      <w:kern w:val="28"/>
      <w:sz w:val="36"/>
      <w:szCs w:val="56"/>
      <w:lang w:val="en-GB"/>
    </w:rPr>
  </w:style>
  <w:style w:type="paragraph" w:styleId="NoSpacing">
    <w:name w:val="No Spacing"/>
    <w:uiPriority w:val="1"/>
    <w:qFormat/>
    <w:rsid w:val="004E392D"/>
    <w:pPr>
      <w:spacing w:after="0" w:line="240" w:lineRule="auto"/>
      <w:jc w:val="both"/>
    </w:pPr>
    <w:rPr>
      <w:rFonts w:ascii="Calibri" w:eastAsia="PMingLiU" w:hAnsi="Calibri" w:cs="Times New Roman"/>
      <w:sz w:val="24"/>
      <w:szCs w:val="20"/>
      <w:lang w:eastAsia="en-GB"/>
    </w:rPr>
  </w:style>
  <w:style w:type="paragraph" w:styleId="Caption">
    <w:name w:val="caption"/>
    <w:basedOn w:val="Normal"/>
    <w:next w:val="Normal"/>
    <w:uiPriority w:val="35"/>
    <w:unhideWhenUsed/>
    <w:qFormat/>
    <w:rsid w:val="00CF7C36"/>
    <w:pPr>
      <w:spacing w:after="200" w:line="240" w:lineRule="auto"/>
    </w:pPr>
    <w:rPr>
      <w:rFonts w:eastAsia="Times New Roman" w:cs="Times New Roman"/>
      <w:i/>
      <w:iCs/>
      <w:sz w:val="20"/>
      <w:szCs w:val="18"/>
      <w:lang w:val="en-GB"/>
    </w:rPr>
  </w:style>
  <w:style w:type="paragraph" w:styleId="Subtitle">
    <w:name w:val="Subtitle"/>
    <w:basedOn w:val="Normal"/>
    <w:next w:val="Normal"/>
    <w:link w:val="SubtitleChar"/>
    <w:uiPriority w:val="11"/>
    <w:qFormat/>
    <w:rsid w:val="004E392D"/>
    <w:pPr>
      <w:numPr>
        <w:ilvl w:val="1"/>
      </w:numPr>
      <w:spacing w:line="240" w:lineRule="auto"/>
    </w:pPr>
    <w:rPr>
      <w:rFonts w:eastAsiaTheme="minorEastAsia"/>
      <w:color w:val="5A5A5A" w:themeColor="text1" w:themeTint="A5"/>
      <w:spacing w:val="15"/>
      <w:lang w:val="en-GB"/>
    </w:rPr>
  </w:style>
  <w:style w:type="character" w:customStyle="1" w:styleId="SubtitleChar">
    <w:name w:val="Subtitle Char"/>
    <w:basedOn w:val="DefaultParagraphFont"/>
    <w:link w:val="Subtitle"/>
    <w:uiPriority w:val="11"/>
    <w:rsid w:val="004E392D"/>
    <w:rPr>
      <w:rFonts w:eastAsiaTheme="minorEastAsia"/>
      <w:color w:val="5A5A5A" w:themeColor="text1" w:themeTint="A5"/>
      <w:spacing w:val="15"/>
      <w:lang w:val="en-GB"/>
    </w:rPr>
  </w:style>
  <w:style w:type="character" w:styleId="SubtleEmphasis">
    <w:name w:val="Subtle Emphasis"/>
    <w:basedOn w:val="DefaultParagraphFont"/>
    <w:uiPriority w:val="19"/>
    <w:qFormat/>
    <w:rsid w:val="004E392D"/>
    <w:rPr>
      <w:i/>
      <w:iCs/>
      <w:color w:val="404040" w:themeColor="text1" w:themeTint="BF"/>
    </w:rPr>
  </w:style>
  <w:style w:type="paragraph" w:styleId="TableofFigures">
    <w:name w:val="table of figures"/>
    <w:basedOn w:val="Normal"/>
    <w:next w:val="Normal"/>
    <w:uiPriority w:val="99"/>
    <w:unhideWhenUsed/>
    <w:rsid w:val="004E392D"/>
    <w:pPr>
      <w:spacing w:line="240" w:lineRule="auto"/>
    </w:pPr>
    <w:rPr>
      <w:rFonts w:eastAsia="Times New Roman" w:cs="Times New Roman"/>
      <w:szCs w:val="24"/>
      <w:lang w:val="en-GB"/>
    </w:rPr>
  </w:style>
  <w:style w:type="table" w:styleId="TableGrid">
    <w:name w:val="Table Grid"/>
    <w:basedOn w:val="TableNormal"/>
    <w:uiPriority w:val="39"/>
    <w:rsid w:val="004E392D"/>
    <w:pPr>
      <w:spacing w:after="0" w:line="240" w:lineRule="auto"/>
    </w:pPr>
    <w:rPr>
      <w:rFonts w:eastAsia="PMingLiU"/>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5">
    <w:name w:val="Plain Table 5"/>
    <w:basedOn w:val="TableNormal"/>
    <w:uiPriority w:val="45"/>
    <w:rsid w:val="004E392D"/>
    <w:pPr>
      <w:spacing w:after="0" w:line="240" w:lineRule="auto"/>
    </w:pPr>
    <w:rPr>
      <w:rFonts w:eastAsia="PMingLiU"/>
      <w:lang w:eastAsia="zh-TW"/>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Date">
    <w:name w:val="Date"/>
    <w:basedOn w:val="Normal"/>
    <w:next w:val="Normal"/>
    <w:link w:val="DateChar"/>
    <w:uiPriority w:val="99"/>
    <w:semiHidden/>
    <w:unhideWhenUsed/>
    <w:rsid w:val="004E392D"/>
    <w:pPr>
      <w:spacing w:line="240" w:lineRule="auto"/>
    </w:pPr>
    <w:rPr>
      <w:rFonts w:eastAsia="Times New Roman" w:cs="Times New Roman"/>
      <w:szCs w:val="24"/>
      <w:lang w:val="en-GB"/>
    </w:rPr>
  </w:style>
  <w:style w:type="character" w:customStyle="1" w:styleId="DateChar">
    <w:name w:val="Date Char"/>
    <w:basedOn w:val="DefaultParagraphFont"/>
    <w:link w:val="Date"/>
    <w:uiPriority w:val="99"/>
    <w:semiHidden/>
    <w:rsid w:val="004E392D"/>
    <w:rPr>
      <w:rFonts w:ascii="Times New Roman" w:eastAsia="Times New Roman" w:hAnsi="Times New Roman" w:cs="Times New Roman"/>
      <w:sz w:val="24"/>
      <w:szCs w:val="24"/>
      <w:lang w:val="en-GB"/>
    </w:rPr>
  </w:style>
  <w:style w:type="character" w:customStyle="1" w:styleId="UnresolvedMention1">
    <w:name w:val="Unresolved Mention1"/>
    <w:basedOn w:val="DefaultParagraphFont"/>
    <w:uiPriority w:val="99"/>
    <w:unhideWhenUsed/>
    <w:rsid w:val="004E392D"/>
    <w:rPr>
      <w:color w:val="605E5C"/>
      <w:shd w:val="clear" w:color="auto" w:fill="E1DFDD"/>
    </w:rPr>
  </w:style>
  <w:style w:type="character" w:styleId="FollowedHyperlink">
    <w:name w:val="FollowedHyperlink"/>
    <w:basedOn w:val="DefaultParagraphFont"/>
    <w:uiPriority w:val="99"/>
    <w:semiHidden/>
    <w:unhideWhenUsed/>
    <w:rsid w:val="004E392D"/>
    <w:rPr>
      <w:color w:val="954F72" w:themeColor="followedHyperlink"/>
      <w:u w:val="single"/>
    </w:rPr>
  </w:style>
  <w:style w:type="character" w:customStyle="1" w:styleId="UnresolvedMention2">
    <w:name w:val="Unresolved Mention2"/>
    <w:basedOn w:val="DefaultParagraphFont"/>
    <w:uiPriority w:val="99"/>
    <w:unhideWhenUsed/>
    <w:rsid w:val="004E392D"/>
    <w:rPr>
      <w:color w:val="605E5C"/>
      <w:shd w:val="clear" w:color="auto" w:fill="E1DFDD"/>
    </w:rPr>
  </w:style>
  <w:style w:type="character" w:styleId="PageNumber">
    <w:name w:val="page number"/>
    <w:basedOn w:val="DefaultParagraphFont"/>
    <w:uiPriority w:val="99"/>
    <w:unhideWhenUsed/>
    <w:rsid w:val="004E392D"/>
  </w:style>
  <w:style w:type="paragraph" w:styleId="NormalWeb">
    <w:name w:val="Normal (Web)"/>
    <w:basedOn w:val="Normal"/>
    <w:uiPriority w:val="99"/>
    <w:unhideWhenUsed/>
    <w:rsid w:val="004E392D"/>
    <w:pPr>
      <w:spacing w:line="240" w:lineRule="auto"/>
    </w:pPr>
    <w:rPr>
      <w:rFonts w:cs="Times New Roman"/>
      <w:szCs w:val="24"/>
      <w:lang w:val="en-GB"/>
    </w:rPr>
  </w:style>
  <w:style w:type="character" w:styleId="CommentReference">
    <w:name w:val="annotation reference"/>
    <w:basedOn w:val="DefaultParagraphFont"/>
    <w:unhideWhenUsed/>
    <w:rsid w:val="004E392D"/>
    <w:rPr>
      <w:sz w:val="16"/>
      <w:szCs w:val="16"/>
    </w:rPr>
  </w:style>
  <w:style w:type="paragraph" w:styleId="CommentText">
    <w:name w:val="annotation text"/>
    <w:basedOn w:val="Normal"/>
    <w:link w:val="CommentTextChar"/>
    <w:unhideWhenUsed/>
    <w:rsid w:val="004E392D"/>
    <w:pPr>
      <w:spacing w:line="240" w:lineRule="auto"/>
    </w:pPr>
    <w:rPr>
      <w:sz w:val="20"/>
      <w:szCs w:val="24"/>
      <w:lang w:val="en-GB"/>
    </w:rPr>
  </w:style>
  <w:style w:type="character" w:customStyle="1" w:styleId="CommentTextChar">
    <w:name w:val="Comment Text Char"/>
    <w:basedOn w:val="DefaultParagraphFont"/>
    <w:link w:val="CommentText"/>
    <w:rsid w:val="004E392D"/>
    <w:rPr>
      <w:sz w:val="20"/>
      <w:szCs w:val="24"/>
      <w:lang w:val="en-GB"/>
    </w:rPr>
  </w:style>
  <w:style w:type="character" w:customStyle="1" w:styleId="CommentTextChar1">
    <w:name w:val="Comment Text Char1"/>
    <w:basedOn w:val="DefaultParagraphFont"/>
    <w:uiPriority w:val="99"/>
    <w:semiHidden/>
    <w:rsid w:val="004E392D"/>
    <w:rPr>
      <w:sz w:val="20"/>
      <w:szCs w:val="20"/>
    </w:rPr>
  </w:style>
  <w:style w:type="character" w:customStyle="1" w:styleId="BalloonTextChar1">
    <w:name w:val="Balloon Text Char1"/>
    <w:basedOn w:val="DefaultParagraphFont"/>
    <w:rsid w:val="004E392D"/>
    <w:rPr>
      <w:rFonts w:ascii="Times New Roman" w:hAnsi="Times New Roman" w:cs="Times New Roman"/>
      <w:sz w:val="18"/>
      <w:szCs w:val="18"/>
    </w:rPr>
  </w:style>
  <w:style w:type="character" w:customStyle="1" w:styleId="Heading1Char1">
    <w:name w:val="Heading 1 Char1"/>
    <w:basedOn w:val="DefaultParagraphFont"/>
    <w:uiPriority w:val="9"/>
    <w:rsid w:val="004E392D"/>
    <w:rPr>
      <w:rFonts w:asciiTheme="majorHAnsi" w:eastAsiaTheme="majorEastAsia" w:hAnsiTheme="majorHAnsi" w:cstheme="majorBidi"/>
      <w:color w:val="2E74B5" w:themeColor="accent1" w:themeShade="BF"/>
      <w:sz w:val="32"/>
      <w:szCs w:val="32"/>
    </w:rPr>
  </w:style>
  <w:style w:type="character" w:customStyle="1" w:styleId="Heading1Char2">
    <w:name w:val="Heading 1 Char2"/>
    <w:basedOn w:val="DefaultParagraphFont"/>
    <w:uiPriority w:val="9"/>
    <w:rsid w:val="004E392D"/>
    <w:rPr>
      <w:rFonts w:asciiTheme="majorHAnsi" w:eastAsiaTheme="majorEastAsia" w:hAnsiTheme="majorHAnsi" w:cstheme="majorBidi"/>
      <w:color w:val="2E74B5" w:themeColor="accent1" w:themeShade="BF"/>
      <w:sz w:val="32"/>
      <w:szCs w:val="32"/>
    </w:rPr>
  </w:style>
  <w:style w:type="character" w:customStyle="1" w:styleId="Heading2Char1">
    <w:name w:val="Heading 2 Char1"/>
    <w:basedOn w:val="DefaultParagraphFont"/>
    <w:uiPriority w:val="9"/>
    <w:rsid w:val="004E392D"/>
    <w:rPr>
      <w:rFonts w:asciiTheme="majorHAnsi" w:eastAsiaTheme="majorEastAsia" w:hAnsiTheme="majorHAnsi" w:cstheme="majorBidi"/>
      <w:color w:val="2E74B5" w:themeColor="accent1" w:themeShade="BF"/>
      <w:sz w:val="26"/>
      <w:szCs w:val="26"/>
    </w:rPr>
  </w:style>
  <w:style w:type="character" w:customStyle="1" w:styleId="UnresolvedMention11">
    <w:name w:val="Unresolved Mention11"/>
    <w:basedOn w:val="DefaultParagraphFont"/>
    <w:uiPriority w:val="99"/>
    <w:rsid w:val="004E392D"/>
    <w:rPr>
      <w:color w:val="605E5C"/>
      <w:shd w:val="clear" w:color="auto" w:fill="E1DFDD"/>
    </w:rPr>
  </w:style>
  <w:style w:type="character" w:customStyle="1" w:styleId="HeaderChar1">
    <w:name w:val="Header Char1"/>
    <w:basedOn w:val="DefaultParagraphFont"/>
    <w:uiPriority w:val="99"/>
    <w:rsid w:val="004E392D"/>
  </w:style>
  <w:style w:type="character" w:customStyle="1" w:styleId="FooterChar1">
    <w:name w:val="Footer Char1"/>
    <w:basedOn w:val="DefaultParagraphFont"/>
    <w:uiPriority w:val="99"/>
    <w:rsid w:val="004E392D"/>
  </w:style>
  <w:style w:type="character" w:customStyle="1" w:styleId="BalloonTextChar2">
    <w:name w:val="Balloon Text Char2"/>
    <w:basedOn w:val="DefaultParagraphFont"/>
    <w:uiPriority w:val="99"/>
    <w:semiHidden/>
    <w:rsid w:val="004E392D"/>
    <w:rPr>
      <w:rFonts w:ascii="Times New Roman" w:hAnsi="Times New Roman" w:cs="Times New Roman"/>
      <w:sz w:val="18"/>
      <w:szCs w:val="18"/>
    </w:rPr>
  </w:style>
  <w:style w:type="character" w:customStyle="1" w:styleId="CommentTextChar2">
    <w:name w:val="Comment Text Char2"/>
    <w:basedOn w:val="DefaultParagraphFont"/>
    <w:uiPriority w:val="99"/>
    <w:semiHidden/>
    <w:rsid w:val="004E392D"/>
    <w:rPr>
      <w:sz w:val="20"/>
      <w:szCs w:val="20"/>
    </w:rPr>
  </w:style>
  <w:style w:type="paragraph" w:styleId="CommentSubject">
    <w:name w:val="annotation subject"/>
    <w:basedOn w:val="CommentText"/>
    <w:next w:val="CommentText"/>
    <w:link w:val="CommentSubjectChar"/>
    <w:unhideWhenUsed/>
    <w:rsid w:val="004E392D"/>
    <w:rPr>
      <w:b/>
      <w:bCs/>
    </w:rPr>
  </w:style>
  <w:style w:type="character" w:customStyle="1" w:styleId="CommentSubjectChar">
    <w:name w:val="Comment Subject Char"/>
    <w:basedOn w:val="CommentTextChar"/>
    <w:link w:val="CommentSubject"/>
    <w:rsid w:val="004E392D"/>
    <w:rPr>
      <w:b/>
      <w:bCs/>
      <w:sz w:val="20"/>
      <w:szCs w:val="24"/>
      <w:lang w:val="en-GB"/>
    </w:rPr>
  </w:style>
  <w:style w:type="character" w:customStyle="1" w:styleId="CommentSubjectChar1">
    <w:name w:val="Comment Subject Char1"/>
    <w:basedOn w:val="CommentTextChar"/>
    <w:uiPriority w:val="99"/>
    <w:semiHidden/>
    <w:rsid w:val="004E392D"/>
    <w:rPr>
      <w:rFonts w:eastAsiaTheme="minorHAnsi"/>
      <w:b/>
      <w:bCs/>
      <w:sz w:val="20"/>
      <w:szCs w:val="24"/>
      <w:lang w:val="en-GB" w:eastAsia="en-US"/>
    </w:rPr>
  </w:style>
  <w:style w:type="paragraph" w:styleId="Revision">
    <w:name w:val="Revision"/>
    <w:hidden/>
    <w:uiPriority w:val="99"/>
    <w:semiHidden/>
    <w:rsid w:val="004E392D"/>
    <w:pPr>
      <w:spacing w:after="0" w:line="240" w:lineRule="auto"/>
    </w:pPr>
    <w:rPr>
      <w:sz w:val="24"/>
      <w:szCs w:val="24"/>
      <w:lang w:val="en-GB"/>
    </w:rPr>
  </w:style>
  <w:style w:type="paragraph" w:styleId="BodyText">
    <w:name w:val="Body Text"/>
    <w:basedOn w:val="Normal"/>
    <w:link w:val="BodyTextChar"/>
    <w:uiPriority w:val="99"/>
    <w:unhideWhenUsed/>
    <w:rsid w:val="004E392D"/>
    <w:pPr>
      <w:spacing w:after="120" w:line="240" w:lineRule="auto"/>
    </w:pPr>
    <w:rPr>
      <w:szCs w:val="24"/>
      <w:lang w:val="en-GB"/>
    </w:rPr>
  </w:style>
  <w:style w:type="character" w:customStyle="1" w:styleId="BodyTextChar">
    <w:name w:val="Body Text Char"/>
    <w:basedOn w:val="DefaultParagraphFont"/>
    <w:link w:val="BodyText"/>
    <w:uiPriority w:val="99"/>
    <w:rsid w:val="004E392D"/>
    <w:rPr>
      <w:sz w:val="24"/>
      <w:szCs w:val="24"/>
      <w:lang w:val="en-GB"/>
    </w:rPr>
  </w:style>
  <w:style w:type="character" w:customStyle="1" w:styleId="BodyTextChar1">
    <w:name w:val="Body Text Char1"/>
    <w:basedOn w:val="DefaultParagraphFont"/>
    <w:uiPriority w:val="99"/>
    <w:rsid w:val="004E392D"/>
  </w:style>
  <w:style w:type="paragraph" w:styleId="BodyTextFirstIndent">
    <w:name w:val="Body Text First Indent"/>
    <w:basedOn w:val="BodyText"/>
    <w:link w:val="BodyTextFirstIndentChar"/>
    <w:uiPriority w:val="99"/>
    <w:unhideWhenUsed/>
    <w:rsid w:val="004E392D"/>
    <w:pPr>
      <w:spacing w:after="0"/>
      <w:ind w:firstLine="360"/>
    </w:pPr>
  </w:style>
  <w:style w:type="character" w:customStyle="1" w:styleId="BodyTextFirstIndentChar">
    <w:name w:val="Body Text First Indent Char"/>
    <w:basedOn w:val="BodyTextChar"/>
    <w:link w:val="BodyTextFirstIndent"/>
    <w:uiPriority w:val="99"/>
    <w:rsid w:val="004E392D"/>
    <w:rPr>
      <w:sz w:val="24"/>
      <w:szCs w:val="24"/>
      <w:lang w:val="en-GB"/>
    </w:rPr>
  </w:style>
  <w:style w:type="character" w:customStyle="1" w:styleId="BodyTextFirstIndentChar1">
    <w:name w:val="Body Text First Indent Char1"/>
    <w:basedOn w:val="BodyTextChar"/>
    <w:uiPriority w:val="99"/>
    <w:rsid w:val="004E392D"/>
    <w:rPr>
      <w:rFonts w:eastAsiaTheme="minorHAnsi"/>
      <w:sz w:val="24"/>
      <w:szCs w:val="24"/>
      <w:lang w:val="en-GB" w:eastAsia="en-US"/>
    </w:rPr>
  </w:style>
  <w:style w:type="character" w:styleId="LineNumber">
    <w:name w:val="line number"/>
    <w:basedOn w:val="DefaultParagraphFont"/>
    <w:uiPriority w:val="99"/>
    <w:semiHidden/>
    <w:unhideWhenUsed/>
    <w:rsid w:val="004E392D"/>
  </w:style>
  <w:style w:type="character" w:styleId="Strong">
    <w:name w:val="Strong"/>
    <w:basedOn w:val="DefaultParagraphFont"/>
    <w:qFormat/>
    <w:rsid w:val="004E392D"/>
    <w:rPr>
      <w:b/>
      <w:bCs/>
    </w:rPr>
  </w:style>
  <w:style w:type="table" w:styleId="PlainTable4">
    <w:name w:val="Plain Table 4"/>
    <w:basedOn w:val="TableNormal"/>
    <w:uiPriority w:val="44"/>
    <w:rsid w:val="004E392D"/>
    <w:pPr>
      <w:spacing w:after="0" w:line="240" w:lineRule="auto"/>
    </w:pPr>
    <w:rPr>
      <w:sz w:val="24"/>
      <w:szCs w:val="24"/>
      <w:lang w:val="en-GB"/>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FooterChar2">
    <w:name w:val="Footer Char2"/>
    <w:basedOn w:val="DefaultParagraphFont"/>
    <w:uiPriority w:val="99"/>
    <w:rsid w:val="004E392D"/>
  </w:style>
  <w:style w:type="character" w:customStyle="1" w:styleId="BalloonTextChar3">
    <w:name w:val="Balloon Text Char3"/>
    <w:basedOn w:val="DefaultParagraphFont"/>
    <w:uiPriority w:val="99"/>
    <w:semiHidden/>
    <w:rsid w:val="004E392D"/>
    <w:rPr>
      <w:rFonts w:ascii="Times New Roman" w:hAnsi="Times New Roman" w:cs="Times New Roman"/>
      <w:sz w:val="18"/>
      <w:szCs w:val="18"/>
    </w:rPr>
  </w:style>
  <w:style w:type="character" w:customStyle="1" w:styleId="CommentTextChar3">
    <w:name w:val="Comment Text Char3"/>
    <w:uiPriority w:val="99"/>
    <w:semiHidden/>
    <w:rsid w:val="004E392D"/>
    <w:rPr>
      <w:sz w:val="20"/>
      <w:szCs w:val="20"/>
    </w:rPr>
  </w:style>
  <w:style w:type="character" w:customStyle="1" w:styleId="BalloonTextChar4">
    <w:name w:val="Balloon Text Char4"/>
    <w:uiPriority w:val="99"/>
    <w:semiHidden/>
    <w:rsid w:val="004E392D"/>
    <w:rPr>
      <w:rFonts w:ascii="Times New Roman" w:hAnsi="Times New Roman" w:cs="Times New Roman"/>
      <w:sz w:val="18"/>
      <w:szCs w:val="18"/>
    </w:rPr>
  </w:style>
  <w:style w:type="character" w:customStyle="1" w:styleId="FootnoteTextChar">
    <w:name w:val="Footnote Text Char"/>
    <w:link w:val="FootnoteText"/>
    <w:rsid w:val="004E392D"/>
    <w:rPr>
      <w:sz w:val="20"/>
      <w:szCs w:val="20"/>
    </w:rPr>
  </w:style>
  <w:style w:type="paragraph" w:styleId="FootnoteText">
    <w:name w:val="footnote text"/>
    <w:basedOn w:val="Normal"/>
    <w:link w:val="FootnoteTextChar"/>
    <w:unhideWhenUsed/>
    <w:rsid w:val="004E392D"/>
    <w:pPr>
      <w:spacing w:line="240" w:lineRule="auto"/>
    </w:pPr>
    <w:rPr>
      <w:sz w:val="20"/>
      <w:szCs w:val="20"/>
    </w:rPr>
  </w:style>
  <w:style w:type="character" w:customStyle="1" w:styleId="FootnoteTextChar1">
    <w:name w:val="Footnote Text Char1"/>
    <w:basedOn w:val="DefaultParagraphFont"/>
    <w:rsid w:val="004E392D"/>
    <w:rPr>
      <w:sz w:val="20"/>
      <w:szCs w:val="20"/>
    </w:rPr>
  </w:style>
  <w:style w:type="character" w:customStyle="1" w:styleId="CommentSubjectChar2">
    <w:name w:val="Comment Subject Char2"/>
    <w:uiPriority w:val="99"/>
    <w:semiHidden/>
    <w:rsid w:val="004E392D"/>
    <w:rPr>
      <w:b/>
      <w:bCs/>
      <w:sz w:val="20"/>
      <w:szCs w:val="20"/>
    </w:rPr>
  </w:style>
  <w:style w:type="character" w:customStyle="1" w:styleId="captions">
    <w:name w:val="captions"/>
    <w:basedOn w:val="DefaultParagraphFont"/>
    <w:rsid w:val="004E392D"/>
  </w:style>
  <w:style w:type="character" w:styleId="Emphasis">
    <w:name w:val="Emphasis"/>
    <w:basedOn w:val="DefaultParagraphFont"/>
    <w:uiPriority w:val="20"/>
    <w:qFormat/>
    <w:rsid w:val="004E392D"/>
    <w:rPr>
      <w:i/>
      <w:iCs/>
    </w:rPr>
  </w:style>
  <w:style w:type="character" w:styleId="FootnoteReference">
    <w:name w:val="footnote reference"/>
    <w:basedOn w:val="DefaultParagraphFont"/>
    <w:unhideWhenUsed/>
    <w:rsid w:val="004E392D"/>
    <w:rPr>
      <w:vertAlign w:val="superscript"/>
    </w:rPr>
  </w:style>
  <w:style w:type="character" w:customStyle="1" w:styleId="src">
    <w:name w:val="src"/>
    <w:basedOn w:val="DefaultParagraphFont"/>
    <w:rsid w:val="002471A8"/>
  </w:style>
  <w:style w:type="character" w:customStyle="1" w:styleId="DocumentMapChar">
    <w:name w:val="Document Map Char"/>
    <w:basedOn w:val="DefaultParagraphFont"/>
    <w:link w:val="DocumentMap"/>
    <w:rsid w:val="002471A8"/>
    <w:rPr>
      <w:rFonts w:ascii="Tahoma" w:eastAsia="Times New Roman" w:hAnsi="Tahoma" w:cs="Tahoma"/>
      <w:sz w:val="20"/>
      <w:szCs w:val="20"/>
      <w:shd w:val="clear" w:color="auto" w:fill="000080"/>
      <w:lang w:eastAsia="en-GB"/>
    </w:rPr>
  </w:style>
  <w:style w:type="paragraph" w:styleId="DocumentMap">
    <w:name w:val="Document Map"/>
    <w:basedOn w:val="Normal"/>
    <w:link w:val="DocumentMapChar"/>
    <w:rsid w:val="002471A8"/>
    <w:pPr>
      <w:shd w:val="clear" w:color="auto" w:fill="000080"/>
      <w:spacing w:line="240" w:lineRule="auto"/>
      <w:jc w:val="left"/>
    </w:pPr>
    <w:rPr>
      <w:rFonts w:ascii="Tahoma" w:eastAsia="Times New Roman" w:hAnsi="Tahoma" w:cs="Tahoma"/>
      <w:sz w:val="20"/>
      <w:szCs w:val="20"/>
      <w:lang w:eastAsia="en-GB"/>
    </w:rPr>
  </w:style>
  <w:style w:type="character" w:customStyle="1" w:styleId="DocumentMapChar1">
    <w:name w:val="Document Map Char1"/>
    <w:basedOn w:val="DefaultParagraphFont"/>
    <w:rsid w:val="002471A8"/>
    <w:rPr>
      <w:rFonts w:ascii="Segoe UI" w:hAnsi="Segoe UI" w:cs="Segoe UI"/>
      <w:sz w:val="16"/>
      <w:szCs w:val="16"/>
    </w:rPr>
  </w:style>
  <w:style w:type="character" w:customStyle="1" w:styleId="HTMLPreformattedChar">
    <w:name w:val="HTML Preformatted Char"/>
    <w:basedOn w:val="DefaultParagraphFont"/>
    <w:link w:val="HTMLPreformatted"/>
    <w:uiPriority w:val="99"/>
    <w:rsid w:val="002471A8"/>
    <w:rPr>
      <w:rFonts w:ascii="Courier" w:eastAsia="Times New Roman" w:hAnsi="Courier" w:cs="Courier"/>
      <w:sz w:val="20"/>
      <w:szCs w:val="20"/>
    </w:rPr>
  </w:style>
  <w:style w:type="paragraph" w:styleId="HTMLPreformatted">
    <w:name w:val="HTML Preformatted"/>
    <w:basedOn w:val="Normal"/>
    <w:link w:val="HTMLPreformattedChar"/>
    <w:uiPriority w:val="99"/>
    <w:rsid w:val="002471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w:eastAsia="Times New Roman" w:hAnsi="Courier" w:cs="Courier"/>
      <w:sz w:val="20"/>
      <w:szCs w:val="20"/>
    </w:rPr>
  </w:style>
  <w:style w:type="character" w:customStyle="1" w:styleId="HTMLPreformattedChar1">
    <w:name w:val="HTML Preformatted Char1"/>
    <w:basedOn w:val="DefaultParagraphFont"/>
    <w:rsid w:val="002471A8"/>
    <w:rPr>
      <w:rFonts w:ascii="Consolas" w:hAnsi="Consolas"/>
      <w:sz w:val="20"/>
      <w:szCs w:val="20"/>
    </w:rPr>
  </w:style>
  <w:style w:type="paragraph" w:customStyle="1" w:styleId="norm8">
    <w:name w:val="norm8"/>
    <w:basedOn w:val="Normal"/>
    <w:rsid w:val="002471A8"/>
    <w:pPr>
      <w:spacing w:before="100" w:beforeAutospacing="1" w:after="100" w:afterAutospacing="1" w:line="240" w:lineRule="auto"/>
      <w:jc w:val="left"/>
    </w:pPr>
    <w:rPr>
      <w:rFonts w:eastAsia="Times New Roman" w:cs="Times New Roman"/>
      <w:sz w:val="22"/>
      <w:lang w:val="en-GB" w:eastAsia="en-GB"/>
    </w:rPr>
  </w:style>
  <w:style w:type="character" w:customStyle="1" w:styleId="st">
    <w:name w:val="st"/>
    <w:basedOn w:val="DefaultParagraphFont"/>
    <w:rsid w:val="002471A8"/>
  </w:style>
  <w:style w:type="table" w:customStyle="1" w:styleId="TableGrid1">
    <w:name w:val="Table Grid1"/>
    <w:basedOn w:val="TableNormal"/>
    <w:next w:val="TableGrid"/>
    <w:uiPriority w:val="39"/>
    <w:rsid w:val="002471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6318264">
      <w:bodyDiv w:val="1"/>
      <w:marLeft w:val="0"/>
      <w:marRight w:val="0"/>
      <w:marTop w:val="0"/>
      <w:marBottom w:val="0"/>
      <w:divBdr>
        <w:top w:val="none" w:sz="0" w:space="0" w:color="auto"/>
        <w:left w:val="none" w:sz="0" w:space="0" w:color="auto"/>
        <w:bottom w:val="none" w:sz="0" w:space="0" w:color="auto"/>
        <w:right w:val="none" w:sz="0" w:space="0" w:color="auto"/>
      </w:divBdr>
    </w:div>
    <w:div w:id="1173641175">
      <w:bodyDiv w:val="1"/>
      <w:marLeft w:val="0"/>
      <w:marRight w:val="0"/>
      <w:marTop w:val="0"/>
      <w:marBottom w:val="0"/>
      <w:divBdr>
        <w:top w:val="none" w:sz="0" w:space="0" w:color="auto"/>
        <w:left w:val="none" w:sz="0" w:space="0" w:color="auto"/>
        <w:bottom w:val="none" w:sz="0" w:space="0" w:color="auto"/>
        <w:right w:val="none" w:sz="0" w:space="0" w:color="auto"/>
      </w:divBdr>
    </w:div>
    <w:div w:id="1768689875">
      <w:bodyDiv w:val="1"/>
      <w:marLeft w:val="0"/>
      <w:marRight w:val="0"/>
      <w:marTop w:val="0"/>
      <w:marBottom w:val="0"/>
      <w:divBdr>
        <w:top w:val="none" w:sz="0" w:space="0" w:color="auto"/>
        <w:left w:val="none" w:sz="0" w:space="0" w:color="auto"/>
        <w:bottom w:val="none" w:sz="0" w:space="0" w:color="auto"/>
        <w:right w:val="none" w:sz="0" w:space="0" w:color="auto"/>
      </w:divBdr>
    </w:div>
    <w:div w:id="1964115915">
      <w:bodyDiv w:val="1"/>
      <w:marLeft w:val="0"/>
      <w:marRight w:val="0"/>
      <w:marTop w:val="0"/>
      <w:marBottom w:val="0"/>
      <w:divBdr>
        <w:top w:val="none" w:sz="0" w:space="0" w:color="auto"/>
        <w:left w:val="none" w:sz="0" w:space="0" w:color="auto"/>
        <w:bottom w:val="none" w:sz="0" w:space="0" w:color="auto"/>
        <w:right w:val="none" w:sz="0" w:space="0" w:color="auto"/>
      </w:divBdr>
      <w:divsChild>
        <w:div w:id="1732463908">
          <w:marLeft w:val="0"/>
          <w:marRight w:val="0"/>
          <w:marTop w:val="0"/>
          <w:marBottom w:val="0"/>
          <w:divBdr>
            <w:top w:val="none" w:sz="0" w:space="0" w:color="auto"/>
            <w:left w:val="none" w:sz="0" w:space="0" w:color="auto"/>
            <w:bottom w:val="none" w:sz="0" w:space="0" w:color="auto"/>
            <w:right w:val="none" w:sz="0" w:space="0" w:color="auto"/>
          </w:divBdr>
          <w:divsChild>
            <w:div w:id="2043819064">
              <w:marLeft w:val="0"/>
              <w:marRight w:val="0"/>
              <w:marTop w:val="0"/>
              <w:marBottom w:val="0"/>
              <w:divBdr>
                <w:top w:val="none" w:sz="0" w:space="0" w:color="auto"/>
                <w:left w:val="none" w:sz="0" w:space="0" w:color="auto"/>
                <w:bottom w:val="none" w:sz="0" w:space="0" w:color="auto"/>
                <w:right w:val="none" w:sz="0" w:space="0" w:color="auto"/>
              </w:divBdr>
              <w:divsChild>
                <w:div w:id="207769135">
                  <w:marLeft w:val="0"/>
                  <w:marRight w:val="0"/>
                  <w:marTop w:val="0"/>
                  <w:marBottom w:val="0"/>
                  <w:divBdr>
                    <w:top w:val="none" w:sz="0" w:space="0" w:color="auto"/>
                    <w:left w:val="none" w:sz="0" w:space="0" w:color="auto"/>
                    <w:bottom w:val="none" w:sz="0" w:space="0" w:color="auto"/>
                    <w:right w:val="none" w:sz="0" w:space="0" w:color="auto"/>
                  </w:divBdr>
                  <w:divsChild>
                    <w:div w:id="1446846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7071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5.xm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emf"/><Relationship Id="rId29" Type="http://schemas.openxmlformats.org/officeDocument/2006/relationships/image" Target="media/image17.png"/><Relationship Id="rId41" Type="http://schemas.openxmlformats.org/officeDocument/2006/relationships/image" Target="media/image29.png"/><Relationship Id="rId54"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61" Type="http://schemas.openxmlformats.org/officeDocument/2006/relationships/theme" Target="theme/theme1.xml"/><Relationship Id="rId10" Type="http://schemas.openxmlformats.org/officeDocument/2006/relationships/footer" Target="footer2.xm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8" Type="http://schemas.openxmlformats.org/officeDocument/2006/relationships/image" Target="media/image1.png"/><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footer" Target="footer4.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footer" Target="footer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37708B-0555-4C46-A753-C61D326793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144</TotalTime>
  <Pages>1</Pages>
  <Words>315132</Words>
  <Characters>1796253</Characters>
  <Application>Microsoft Office Word</Application>
  <DocSecurity>0</DocSecurity>
  <Lines>14968</Lines>
  <Paragraphs>4214</Paragraphs>
  <ScaleCrop>false</ScaleCrop>
  <HeadingPairs>
    <vt:vector size="2" baseType="variant">
      <vt:variant>
        <vt:lpstr>Title</vt:lpstr>
      </vt:variant>
      <vt:variant>
        <vt:i4>1</vt:i4>
      </vt:variant>
    </vt:vector>
  </HeadingPairs>
  <TitlesOfParts>
    <vt:vector size="1" baseType="lpstr">
      <vt:lpstr/>
    </vt:vector>
  </TitlesOfParts>
  <Company>IST Austria</Company>
  <LinksUpToDate>false</LinksUpToDate>
  <CharactersWithSpaces>2107171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Vladyslav Kravchuk</dc:creator>
  <cp:keywords/>
  <dc:description/>
  <cp:lastModifiedBy>Vladyslav Kravchuk</cp:lastModifiedBy>
  <cp:revision>21</cp:revision>
  <cp:lastPrinted>2023-04-19T14:21:00Z</cp:lastPrinted>
  <dcterms:created xsi:type="dcterms:W3CDTF">2023-04-05T11:04:00Z</dcterms:created>
  <dcterms:modified xsi:type="dcterms:W3CDTF">2023-04-19T14:26:00Z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e2f6f57e-996e-3b8a-8d57-08992aa1b99a</vt:lpwstr>
  </property>
  <property fmtid="{D5CDD505-2E9C-101B-9397-08002B2CF9AE}" pid="4" name="Mendeley Citation Style_1">
    <vt:lpwstr>http://www.zotero.org/styles/the-embo-journal</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7th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 6th edition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12th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9th edition</vt:lpwstr>
  </property>
  <property fmtid="{D5CDD505-2E9C-101B-9397-08002B2CF9AE}" pid="23" name="Mendeley Recent Style Id 9_1">
    <vt:lpwstr>http://www.zotero.org/styles/the-embo-journal</vt:lpwstr>
  </property>
  <property fmtid="{D5CDD505-2E9C-101B-9397-08002B2CF9AE}" pid="24" name="Mendeley Recent Style Name 9_1">
    <vt:lpwstr>The EMBO Journal</vt:lpwstr>
  </property>
</Properties>
</file>